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9030E" w:rsidRPr="00265854" w:rsidRDefault="0039030E" w:rsidP="002E499F">
      <w:pPr>
        <w:pageBreakBefore/>
        <w:tabs>
          <w:tab w:val="right" w:pos="3119"/>
          <w:tab w:val="left" w:pos="3600"/>
        </w:tabs>
        <w:jc w:val="both"/>
        <w:outlineLvl w:val="0"/>
        <w:rPr>
          <w:rFonts w:ascii="Calibri" w:hAnsi="Calibri" w:cs="Calibri"/>
          <w:szCs w:val="22"/>
        </w:rPr>
      </w:pPr>
      <w:r w:rsidRPr="00265854">
        <w:rPr>
          <w:rFonts w:ascii="Calibri" w:hAnsi="Calibri" w:cs="Calibri"/>
          <w:b/>
          <w:sz w:val="28"/>
          <w:szCs w:val="22"/>
        </w:rPr>
        <w:t>SÚHRNNÁ TECHNICKÁ SPRÁ</w:t>
      </w:r>
      <w:r w:rsidR="005C5267" w:rsidRPr="00265854">
        <w:rPr>
          <w:rFonts w:ascii="Calibri" w:hAnsi="Calibri" w:cs="Calibri"/>
          <w:b/>
          <w:sz w:val="28"/>
          <w:szCs w:val="22"/>
        </w:rPr>
        <w:t>VA</w:t>
      </w:r>
      <w:r w:rsidRPr="00265854">
        <w:rPr>
          <w:rFonts w:ascii="Calibri" w:hAnsi="Calibri" w:cs="Calibri"/>
          <w:szCs w:val="22"/>
        </w:rPr>
        <w:tab/>
      </w:r>
    </w:p>
    <w:p w:rsidR="003B0C2B" w:rsidRPr="00D655F3" w:rsidRDefault="003B0C2B" w:rsidP="003B0C2B">
      <w:pPr>
        <w:tabs>
          <w:tab w:val="right" w:pos="3119"/>
          <w:tab w:val="left" w:pos="3402"/>
        </w:tabs>
        <w:jc w:val="both"/>
        <w:outlineLvl w:val="0"/>
        <w:rPr>
          <w:rFonts w:ascii="Calibri" w:hAnsi="Calibri" w:cs="Calibri"/>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Default="003B0C2B" w:rsidP="003B0C2B">
      <w:pPr>
        <w:tabs>
          <w:tab w:val="right" w:pos="3119"/>
          <w:tab w:val="left" w:pos="3402"/>
        </w:tabs>
        <w:jc w:val="both"/>
        <w:outlineLvl w:val="0"/>
        <w:rPr>
          <w:rFonts w:ascii="Calibri" w:hAnsi="Calibri" w:cs="Calibri"/>
          <w:sz w:val="20"/>
          <w:szCs w:val="22"/>
        </w:rPr>
      </w:pPr>
    </w:p>
    <w:p w:rsidR="003B0C2B" w:rsidRDefault="003B0C2B" w:rsidP="003B0C2B">
      <w:pPr>
        <w:tabs>
          <w:tab w:val="right" w:pos="3119"/>
          <w:tab w:val="left" w:pos="3402"/>
        </w:tabs>
        <w:jc w:val="both"/>
        <w:outlineLvl w:val="0"/>
        <w:rPr>
          <w:rFonts w:ascii="Calibri" w:hAnsi="Calibri" w:cs="Calibri"/>
          <w:sz w:val="20"/>
          <w:szCs w:val="22"/>
        </w:rPr>
      </w:pPr>
    </w:p>
    <w:p w:rsidR="003B0C2B" w:rsidRDefault="003B0C2B" w:rsidP="003B0C2B">
      <w:pPr>
        <w:tabs>
          <w:tab w:val="right" w:pos="3119"/>
          <w:tab w:val="left" w:pos="3402"/>
        </w:tabs>
        <w:jc w:val="both"/>
        <w:outlineLvl w:val="0"/>
        <w:rPr>
          <w:rFonts w:ascii="Calibri" w:hAnsi="Calibri" w:cs="Calibri"/>
          <w:sz w:val="20"/>
          <w:szCs w:val="22"/>
        </w:rPr>
      </w:pPr>
    </w:p>
    <w:p w:rsidR="003B0C2B" w:rsidRDefault="003B0C2B" w:rsidP="003B0C2B">
      <w:pPr>
        <w:tabs>
          <w:tab w:val="right" w:pos="3119"/>
          <w:tab w:val="left" w:pos="3402"/>
        </w:tabs>
        <w:jc w:val="both"/>
        <w:outlineLvl w:val="0"/>
        <w:rPr>
          <w:rFonts w:ascii="Calibri" w:hAnsi="Calibri" w:cs="Calibri"/>
          <w:sz w:val="20"/>
          <w:szCs w:val="22"/>
        </w:rPr>
      </w:pPr>
    </w:p>
    <w:p w:rsidR="003B0C2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tabs>
          <w:tab w:val="right" w:pos="3119"/>
          <w:tab w:val="left" w:pos="3402"/>
        </w:tabs>
        <w:jc w:val="both"/>
        <w:outlineLvl w:val="0"/>
        <w:rPr>
          <w:rFonts w:ascii="Calibri" w:hAnsi="Calibri" w:cs="Calibri"/>
          <w:sz w:val="20"/>
          <w:szCs w:val="22"/>
        </w:rPr>
      </w:pPr>
    </w:p>
    <w:p w:rsidR="003B0C2B" w:rsidRPr="00D9488B" w:rsidRDefault="003B0C2B" w:rsidP="003B0C2B">
      <w:pPr>
        <w:autoSpaceDE w:val="0"/>
        <w:autoSpaceDN w:val="0"/>
        <w:adjustRightInd w:val="0"/>
        <w:jc w:val="both"/>
        <w:rPr>
          <w:rFonts w:ascii="Calibri" w:hAnsi="Calibri" w:cs="Calibri"/>
          <w:sz w:val="20"/>
          <w:szCs w:val="22"/>
        </w:rPr>
      </w:pPr>
    </w:p>
    <w:p w:rsidR="00DE3E67" w:rsidRPr="00D9488B" w:rsidRDefault="00DE3E67" w:rsidP="00DE3E67">
      <w:pPr>
        <w:autoSpaceDE w:val="0"/>
        <w:autoSpaceDN w:val="0"/>
        <w:adjustRightInd w:val="0"/>
        <w:jc w:val="both"/>
        <w:rPr>
          <w:rFonts w:ascii="Calibri" w:hAnsi="Calibri" w:cs="Calibri"/>
          <w:b/>
          <w:sz w:val="20"/>
          <w:szCs w:val="22"/>
        </w:rPr>
      </w:pPr>
      <w:r w:rsidRPr="00D9488B">
        <w:rPr>
          <w:rFonts w:ascii="Calibri" w:hAnsi="Calibri" w:cs="Calibri"/>
          <w:b/>
          <w:sz w:val="20"/>
          <w:szCs w:val="22"/>
        </w:rPr>
        <w:t>VINÁRSTVO S</w:t>
      </w:r>
    </w:p>
    <w:p w:rsidR="00DE3E67" w:rsidRPr="00D9488B" w:rsidRDefault="00DE3E67" w:rsidP="00DE3E67">
      <w:pPr>
        <w:pStyle w:val="Normal13"/>
        <w:tabs>
          <w:tab w:val="right" w:pos="3119"/>
        </w:tabs>
        <w:spacing w:line="240" w:lineRule="auto"/>
        <w:ind w:left="3538" w:hanging="3538"/>
        <w:rPr>
          <w:rFonts w:ascii="Calibri" w:hAnsi="Calibri" w:cs="Calibri"/>
          <w:sz w:val="20"/>
          <w:szCs w:val="22"/>
          <w:lang w:val="sk-SK"/>
        </w:rPr>
      </w:pPr>
      <w:r w:rsidRPr="00D9488B">
        <w:rPr>
          <w:rFonts w:ascii="Calibri" w:hAnsi="Calibri" w:cs="Calibri"/>
          <w:sz w:val="20"/>
          <w:szCs w:val="22"/>
          <w:lang w:val="sk-SK"/>
        </w:rPr>
        <w:t xml:space="preserve">Parcela č.: </w:t>
      </w:r>
    </w:p>
    <w:p w:rsidR="00DE3E67" w:rsidRDefault="00DE3E67" w:rsidP="00DE3E67">
      <w:pPr>
        <w:pStyle w:val="Normal13"/>
        <w:tabs>
          <w:tab w:val="right" w:pos="3119"/>
        </w:tabs>
        <w:spacing w:line="240" w:lineRule="auto"/>
        <w:ind w:left="3538" w:hanging="3538"/>
        <w:rPr>
          <w:rFonts w:ascii="Calibri" w:hAnsi="Calibri" w:cs="Calibri"/>
          <w:sz w:val="20"/>
          <w:szCs w:val="22"/>
        </w:rPr>
      </w:pPr>
      <w:r>
        <w:rPr>
          <w:rFonts w:ascii="Calibri" w:hAnsi="Calibri" w:cs="Calibri"/>
          <w:sz w:val="20"/>
          <w:szCs w:val="22"/>
        </w:rPr>
        <w:t>2362/5, 2370/1, 2370/2, 2366/9, 2366/10, 2366/11, 2366/12, 2367/2</w:t>
      </w:r>
    </w:p>
    <w:p w:rsidR="00DE3E67" w:rsidRPr="00D9488B" w:rsidRDefault="00DE3E67" w:rsidP="00DE3E67">
      <w:pPr>
        <w:pStyle w:val="Normal13"/>
        <w:tabs>
          <w:tab w:val="right" w:pos="3119"/>
        </w:tabs>
        <w:spacing w:line="240" w:lineRule="auto"/>
        <w:ind w:left="3538" w:hanging="3538"/>
        <w:rPr>
          <w:rFonts w:ascii="Calibri" w:hAnsi="Calibri" w:cs="Calibri"/>
          <w:sz w:val="20"/>
          <w:szCs w:val="22"/>
        </w:rPr>
      </w:pPr>
      <w:r w:rsidRPr="00D9488B">
        <w:rPr>
          <w:rFonts w:ascii="Calibri" w:hAnsi="Calibri" w:cs="Calibri"/>
          <w:color w:val="000000"/>
          <w:sz w:val="20"/>
          <w:szCs w:val="22"/>
        </w:rPr>
        <w:t>k.ú. Strekov, okres Nové Zámky</w:t>
      </w:r>
    </w:p>
    <w:p w:rsidR="00DE3E67" w:rsidRPr="00D9488B" w:rsidRDefault="00DE3E67" w:rsidP="00DE3E67">
      <w:pPr>
        <w:pStyle w:val="Normal13"/>
        <w:tabs>
          <w:tab w:val="right" w:pos="3119"/>
        </w:tabs>
        <w:spacing w:line="240" w:lineRule="auto"/>
        <w:ind w:left="3538"/>
        <w:rPr>
          <w:rFonts w:ascii="Calibri" w:hAnsi="Calibri" w:cs="Calibri"/>
          <w:b/>
          <w:sz w:val="20"/>
          <w:szCs w:val="22"/>
          <w:lang w:val="sk-SK"/>
        </w:rPr>
      </w:pPr>
    </w:p>
    <w:p w:rsidR="00DE3E67" w:rsidRPr="00D9488B" w:rsidRDefault="00DE3E67" w:rsidP="00DE3E67">
      <w:pPr>
        <w:pStyle w:val="Normal13"/>
        <w:tabs>
          <w:tab w:val="right" w:pos="3119"/>
        </w:tabs>
        <w:spacing w:line="240" w:lineRule="auto"/>
        <w:ind w:left="3538"/>
        <w:rPr>
          <w:rFonts w:ascii="Calibri" w:hAnsi="Calibri" w:cs="Calibri"/>
          <w:sz w:val="20"/>
          <w:szCs w:val="22"/>
          <w:lang w:val="sk-SK"/>
        </w:rPr>
      </w:pPr>
    </w:p>
    <w:p w:rsidR="00DE3E67" w:rsidRPr="00D9488B" w:rsidRDefault="00DE3E67" w:rsidP="00DE3E67">
      <w:pPr>
        <w:pStyle w:val="Normal13"/>
        <w:tabs>
          <w:tab w:val="right" w:pos="3119"/>
        </w:tabs>
        <w:spacing w:line="240" w:lineRule="auto"/>
        <w:ind w:left="3538"/>
        <w:rPr>
          <w:rFonts w:ascii="Calibri" w:hAnsi="Calibri" w:cs="Calibri"/>
          <w:sz w:val="20"/>
          <w:szCs w:val="22"/>
          <w:lang w:val="sk-SK"/>
        </w:rPr>
      </w:pPr>
    </w:p>
    <w:p w:rsidR="00DE3E67" w:rsidRPr="00D9488B" w:rsidRDefault="00DE3E67" w:rsidP="00DE3E67">
      <w:pPr>
        <w:tabs>
          <w:tab w:val="right" w:pos="3119"/>
          <w:tab w:val="left" w:pos="3600"/>
        </w:tabs>
        <w:jc w:val="both"/>
        <w:rPr>
          <w:rFonts w:ascii="Calibri" w:hAnsi="Calibri" w:cs="Calibri"/>
          <w:b/>
          <w:sz w:val="20"/>
          <w:szCs w:val="22"/>
        </w:rPr>
      </w:pPr>
      <w:r w:rsidRPr="00D9488B">
        <w:rPr>
          <w:rFonts w:ascii="Calibri" w:hAnsi="Calibri" w:cs="Calibri"/>
          <w:b/>
          <w:sz w:val="20"/>
          <w:szCs w:val="22"/>
        </w:rPr>
        <w:t>STUPEŇ DOKUMENTÁCIE :</w:t>
      </w:r>
      <w:r w:rsidRPr="00D9488B">
        <w:rPr>
          <w:rFonts w:ascii="Calibri" w:hAnsi="Calibri" w:cs="Calibri"/>
          <w:b/>
          <w:sz w:val="20"/>
          <w:szCs w:val="22"/>
        </w:rPr>
        <w:tab/>
      </w:r>
    </w:p>
    <w:p w:rsidR="00DE3E67" w:rsidRPr="00D9488B" w:rsidRDefault="00DE3E67" w:rsidP="00DE3E67">
      <w:pPr>
        <w:tabs>
          <w:tab w:val="right" w:pos="3119"/>
          <w:tab w:val="left" w:pos="3600"/>
        </w:tabs>
        <w:jc w:val="both"/>
        <w:rPr>
          <w:rFonts w:ascii="Calibri" w:hAnsi="Calibri" w:cs="Calibri"/>
          <w:sz w:val="20"/>
          <w:szCs w:val="22"/>
        </w:rPr>
      </w:pPr>
      <w:r>
        <w:rPr>
          <w:rFonts w:ascii="Calibri" w:hAnsi="Calibri" w:cs="Calibri"/>
          <w:sz w:val="20"/>
          <w:szCs w:val="22"/>
        </w:rPr>
        <w:t>REALIZAČNÝ PROJEKT</w:t>
      </w:r>
    </w:p>
    <w:p w:rsidR="00DE3E67" w:rsidRPr="00D9488B" w:rsidRDefault="00DE3E67" w:rsidP="00DE3E67">
      <w:pPr>
        <w:tabs>
          <w:tab w:val="right" w:pos="3119"/>
          <w:tab w:val="left" w:pos="3600"/>
        </w:tabs>
        <w:jc w:val="both"/>
        <w:rPr>
          <w:rFonts w:ascii="Calibri" w:hAnsi="Calibri" w:cs="Calibri"/>
          <w:b/>
          <w:sz w:val="20"/>
          <w:szCs w:val="22"/>
        </w:rPr>
      </w:pPr>
      <w:r w:rsidRPr="00D9488B">
        <w:rPr>
          <w:rFonts w:ascii="Calibri" w:hAnsi="Calibri" w:cs="Calibri"/>
          <w:b/>
          <w:sz w:val="20"/>
          <w:szCs w:val="22"/>
        </w:rPr>
        <w:tab/>
      </w:r>
      <w:r w:rsidRPr="00D9488B">
        <w:rPr>
          <w:rFonts w:ascii="Calibri" w:hAnsi="Calibri" w:cs="Calibri"/>
          <w:b/>
          <w:sz w:val="20"/>
          <w:szCs w:val="22"/>
        </w:rPr>
        <w:tab/>
      </w:r>
    </w:p>
    <w:p w:rsidR="00DE3E67" w:rsidRPr="00D9488B" w:rsidRDefault="00DE3E67" w:rsidP="00DE3E67">
      <w:pPr>
        <w:autoSpaceDE w:val="0"/>
        <w:autoSpaceDN w:val="0"/>
        <w:adjustRightInd w:val="0"/>
        <w:jc w:val="both"/>
        <w:rPr>
          <w:rFonts w:ascii="Calibri" w:hAnsi="Calibri" w:cs="Calibri"/>
          <w:b/>
          <w:sz w:val="20"/>
          <w:szCs w:val="22"/>
        </w:rPr>
      </w:pPr>
      <w:r w:rsidRPr="00D9488B">
        <w:rPr>
          <w:rFonts w:ascii="Calibri" w:hAnsi="Calibri" w:cs="Calibri"/>
          <w:b/>
          <w:sz w:val="20"/>
          <w:szCs w:val="22"/>
        </w:rPr>
        <w:t>INVESTOR :</w:t>
      </w:r>
      <w:r w:rsidRPr="00D9488B">
        <w:rPr>
          <w:rFonts w:ascii="Calibri" w:hAnsi="Calibri" w:cs="Calibri"/>
          <w:b/>
          <w:sz w:val="20"/>
          <w:szCs w:val="22"/>
        </w:rPr>
        <w:tab/>
      </w:r>
    </w:p>
    <w:p w:rsidR="00DE3E67" w:rsidRPr="00D9488B" w:rsidRDefault="00DE3E67" w:rsidP="00DE3E67">
      <w:pPr>
        <w:autoSpaceDE w:val="0"/>
        <w:autoSpaceDN w:val="0"/>
        <w:adjustRightInd w:val="0"/>
        <w:jc w:val="both"/>
        <w:rPr>
          <w:rFonts w:ascii="Calibri" w:hAnsi="Calibri" w:cs="Calibri"/>
          <w:bCs/>
          <w:color w:val="000000"/>
          <w:sz w:val="20"/>
          <w:szCs w:val="22"/>
        </w:rPr>
      </w:pPr>
      <w:r w:rsidRPr="00D9488B">
        <w:rPr>
          <w:rFonts w:ascii="Calibri" w:hAnsi="Calibri" w:cs="Calibri"/>
          <w:bCs/>
          <w:color w:val="000000"/>
          <w:sz w:val="20"/>
          <w:szCs w:val="22"/>
        </w:rPr>
        <w:t>STON a.s. , Uhrova 18, 831 01 Bratislava</w:t>
      </w:r>
    </w:p>
    <w:p w:rsidR="00DE3E67" w:rsidRPr="00D9488B" w:rsidRDefault="00DE3E67" w:rsidP="00DE3E67">
      <w:pPr>
        <w:autoSpaceDE w:val="0"/>
        <w:autoSpaceDN w:val="0"/>
        <w:adjustRightInd w:val="0"/>
        <w:jc w:val="both"/>
        <w:rPr>
          <w:rFonts w:ascii="Calibri" w:hAnsi="Calibri" w:cs="Calibri"/>
          <w:sz w:val="20"/>
          <w:szCs w:val="22"/>
        </w:rPr>
      </w:pPr>
    </w:p>
    <w:p w:rsidR="00DE3E67" w:rsidRPr="00D9488B" w:rsidRDefault="00DE3E67" w:rsidP="00DE3E67">
      <w:pPr>
        <w:autoSpaceDE w:val="0"/>
        <w:autoSpaceDN w:val="0"/>
        <w:adjustRightInd w:val="0"/>
        <w:jc w:val="both"/>
        <w:rPr>
          <w:rFonts w:ascii="Calibri" w:hAnsi="Calibri" w:cs="Calibri"/>
          <w:b/>
          <w:color w:val="000000"/>
          <w:sz w:val="20"/>
          <w:szCs w:val="22"/>
        </w:rPr>
      </w:pPr>
      <w:r w:rsidRPr="00D9488B">
        <w:rPr>
          <w:rFonts w:ascii="Calibri" w:hAnsi="Calibri" w:cs="Calibri"/>
          <w:b/>
          <w:sz w:val="20"/>
          <w:szCs w:val="22"/>
        </w:rPr>
        <w:t>MIESTO STAVBY:</w:t>
      </w:r>
      <w:r w:rsidRPr="00D9488B">
        <w:rPr>
          <w:rFonts w:ascii="Calibri" w:hAnsi="Calibri" w:cs="Calibri"/>
          <w:b/>
          <w:color w:val="000000"/>
          <w:sz w:val="20"/>
          <w:szCs w:val="22"/>
        </w:rPr>
        <w:tab/>
      </w:r>
      <w:r w:rsidRPr="00D9488B">
        <w:rPr>
          <w:rFonts w:ascii="Calibri" w:hAnsi="Calibri" w:cs="Calibri"/>
          <w:b/>
          <w:color w:val="000000"/>
          <w:sz w:val="20"/>
          <w:szCs w:val="22"/>
        </w:rPr>
        <w:tab/>
      </w:r>
    </w:p>
    <w:p w:rsidR="00DE3E67" w:rsidRPr="00D9488B" w:rsidRDefault="00DE3E67" w:rsidP="00DE3E67">
      <w:pPr>
        <w:pStyle w:val="Normal13"/>
        <w:tabs>
          <w:tab w:val="right" w:pos="3119"/>
        </w:tabs>
        <w:spacing w:line="240" w:lineRule="auto"/>
        <w:ind w:left="3538" w:hanging="3538"/>
        <w:rPr>
          <w:rFonts w:ascii="Calibri" w:hAnsi="Calibri" w:cs="Calibri"/>
          <w:sz w:val="20"/>
          <w:szCs w:val="22"/>
          <w:lang w:val="sk-SK"/>
        </w:rPr>
      </w:pPr>
      <w:r w:rsidRPr="00D9488B">
        <w:rPr>
          <w:rFonts w:ascii="Calibri" w:hAnsi="Calibri" w:cs="Calibri"/>
          <w:sz w:val="20"/>
          <w:szCs w:val="22"/>
          <w:lang w:val="sk-SK"/>
        </w:rPr>
        <w:t xml:space="preserve">Parcela č.: </w:t>
      </w:r>
    </w:p>
    <w:p w:rsidR="00DE3E67" w:rsidRDefault="00DE3E67" w:rsidP="00DE3E67">
      <w:pPr>
        <w:pStyle w:val="Normal13"/>
        <w:tabs>
          <w:tab w:val="right" w:pos="3119"/>
        </w:tabs>
        <w:spacing w:line="240" w:lineRule="auto"/>
        <w:ind w:left="3538" w:hanging="3538"/>
        <w:rPr>
          <w:rFonts w:ascii="Calibri" w:hAnsi="Calibri" w:cs="Calibri"/>
          <w:sz w:val="20"/>
          <w:szCs w:val="22"/>
        </w:rPr>
      </w:pPr>
      <w:r>
        <w:rPr>
          <w:rFonts w:ascii="Calibri" w:hAnsi="Calibri" w:cs="Calibri"/>
          <w:sz w:val="20"/>
          <w:szCs w:val="22"/>
        </w:rPr>
        <w:t>2362/5, 2370/1, 2370/2, 2366/9, 2366/10, 2366/11, 2366/12, 2367/2</w:t>
      </w:r>
    </w:p>
    <w:p w:rsidR="00DE3E67" w:rsidRPr="00D9488B" w:rsidRDefault="00DE3E67" w:rsidP="00DE3E67">
      <w:pPr>
        <w:pStyle w:val="Normal13"/>
        <w:tabs>
          <w:tab w:val="right" w:pos="3119"/>
        </w:tabs>
        <w:spacing w:line="240" w:lineRule="auto"/>
        <w:ind w:left="3538" w:hanging="3538"/>
        <w:rPr>
          <w:rFonts w:ascii="Calibri" w:hAnsi="Calibri" w:cs="Calibri"/>
          <w:sz w:val="20"/>
          <w:szCs w:val="22"/>
        </w:rPr>
      </w:pPr>
      <w:r w:rsidRPr="00D9488B">
        <w:rPr>
          <w:rFonts w:ascii="Calibri" w:hAnsi="Calibri" w:cs="Calibri"/>
          <w:color w:val="000000"/>
          <w:sz w:val="20"/>
          <w:szCs w:val="22"/>
        </w:rPr>
        <w:t>k.ú. Strekov, okres Nové Zámky</w:t>
      </w:r>
    </w:p>
    <w:p w:rsidR="00DE3E67" w:rsidRPr="00D9488B" w:rsidRDefault="00DE3E67" w:rsidP="00DE3E67">
      <w:pPr>
        <w:tabs>
          <w:tab w:val="right" w:pos="3119"/>
          <w:tab w:val="left" w:pos="3600"/>
        </w:tabs>
        <w:jc w:val="both"/>
        <w:outlineLvl w:val="0"/>
        <w:rPr>
          <w:rFonts w:ascii="Calibri" w:hAnsi="Calibri" w:cs="Calibri"/>
          <w:sz w:val="20"/>
          <w:szCs w:val="22"/>
        </w:rPr>
      </w:pPr>
    </w:p>
    <w:p w:rsidR="00DE3E67" w:rsidRPr="00D9488B" w:rsidRDefault="00DE3E67" w:rsidP="00DE3E67">
      <w:pPr>
        <w:tabs>
          <w:tab w:val="right" w:pos="3119"/>
          <w:tab w:val="left" w:pos="3600"/>
        </w:tabs>
        <w:jc w:val="both"/>
        <w:outlineLvl w:val="0"/>
        <w:rPr>
          <w:rFonts w:ascii="Calibri" w:hAnsi="Calibri" w:cs="Calibri"/>
          <w:b/>
          <w:sz w:val="20"/>
          <w:szCs w:val="22"/>
        </w:rPr>
      </w:pPr>
      <w:r w:rsidRPr="00D9488B">
        <w:rPr>
          <w:rFonts w:ascii="Calibri" w:hAnsi="Calibri" w:cs="Calibri"/>
          <w:b/>
          <w:sz w:val="20"/>
          <w:szCs w:val="22"/>
        </w:rPr>
        <w:t>HLAVNÝ ARCHITEKT PROJEKTU:</w:t>
      </w:r>
    </w:p>
    <w:p w:rsidR="00DE3E67" w:rsidRPr="00D9488B" w:rsidRDefault="00DE3E67" w:rsidP="00DE3E67">
      <w:pPr>
        <w:tabs>
          <w:tab w:val="right" w:pos="3119"/>
          <w:tab w:val="left" w:pos="3600"/>
        </w:tabs>
        <w:jc w:val="both"/>
        <w:outlineLvl w:val="0"/>
        <w:rPr>
          <w:rFonts w:ascii="Calibri" w:hAnsi="Calibri" w:cs="Calibri"/>
          <w:sz w:val="20"/>
          <w:szCs w:val="22"/>
        </w:rPr>
      </w:pPr>
      <w:r w:rsidRPr="00D9488B">
        <w:rPr>
          <w:rFonts w:ascii="Calibri" w:hAnsi="Calibri" w:cs="Calibri"/>
          <w:sz w:val="20"/>
          <w:szCs w:val="22"/>
        </w:rPr>
        <w:t>Ing. arch. Tomáš Krištek</w:t>
      </w:r>
    </w:p>
    <w:p w:rsidR="00DE3E67" w:rsidRPr="00D9488B" w:rsidRDefault="00DE3E67" w:rsidP="00DE3E67">
      <w:pPr>
        <w:autoSpaceDE w:val="0"/>
        <w:autoSpaceDN w:val="0"/>
        <w:adjustRightInd w:val="0"/>
        <w:jc w:val="both"/>
        <w:rPr>
          <w:rFonts w:ascii="Calibri" w:hAnsi="Calibri" w:cs="Calibri"/>
          <w:sz w:val="20"/>
          <w:szCs w:val="22"/>
        </w:rPr>
      </w:pPr>
    </w:p>
    <w:p w:rsidR="00DE3E67" w:rsidRPr="00D9488B" w:rsidRDefault="00DE3E67" w:rsidP="00DE3E67">
      <w:pPr>
        <w:autoSpaceDE w:val="0"/>
        <w:autoSpaceDN w:val="0"/>
        <w:adjustRightInd w:val="0"/>
        <w:jc w:val="both"/>
        <w:rPr>
          <w:rFonts w:ascii="Calibri" w:hAnsi="Calibri" w:cs="Calibri"/>
          <w:b/>
          <w:sz w:val="20"/>
          <w:szCs w:val="22"/>
        </w:rPr>
      </w:pPr>
      <w:r w:rsidRPr="00D9488B">
        <w:rPr>
          <w:rFonts w:ascii="Calibri" w:hAnsi="Calibri" w:cs="Calibri"/>
          <w:b/>
          <w:sz w:val="20"/>
          <w:szCs w:val="22"/>
        </w:rPr>
        <w:t>VYPRACOVAL:</w:t>
      </w:r>
    </w:p>
    <w:p w:rsidR="00DE3E67" w:rsidRPr="00D9488B" w:rsidRDefault="00DE3E67" w:rsidP="00DE3E67">
      <w:pPr>
        <w:autoSpaceDE w:val="0"/>
        <w:autoSpaceDN w:val="0"/>
        <w:adjustRightInd w:val="0"/>
        <w:jc w:val="both"/>
        <w:rPr>
          <w:rFonts w:ascii="Calibri" w:hAnsi="Calibri" w:cs="Calibri"/>
          <w:sz w:val="20"/>
          <w:szCs w:val="22"/>
        </w:rPr>
      </w:pPr>
      <w:r>
        <w:rPr>
          <w:rFonts w:ascii="Calibri" w:hAnsi="Calibri" w:cs="Calibri"/>
          <w:sz w:val="20"/>
          <w:szCs w:val="22"/>
        </w:rPr>
        <w:t>Ing. Ladislav kodaj, Ing. Ján Majerník</w:t>
      </w:r>
      <w:r w:rsidRPr="00D9488B">
        <w:rPr>
          <w:rFonts w:ascii="Calibri" w:hAnsi="Calibri" w:cs="Calibri"/>
          <w:sz w:val="20"/>
          <w:szCs w:val="22"/>
        </w:rPr>
        <w:t xml:space="preserve"> Ing.arch. Michal Krcho</w:t>
      </w:r>
    </w:p>
    <w:p w:rsidR="00DE3E67" w:rsidRPr="00D9488B" w:rsidRDefault="00DE3E67" w:rsidP="00DE3E67">
      <w:pPr>
        <w:tabs>
          <w:tab w:val="right" w:pos="3119"/>
          <w:tab w:val="left" w:pos="3600"/>
        </w:tabs>
        <w:jc w:val="both"/>
        <w:outlineLvl w:val="0"/>
        <w:rPr>
          <w:rFonts w:ascii="Calibri" w:hAnsi="Calibri" w:cs="Calibri"/>
          <w:sz w:val="20"/>
          <w:szCs w:val="22"/>
        </w:rPr>
      </w:pPr>
    </w:p>
    <w:p w:rsidR="00DE3E67" w:rsidRPr="00D9488B" w:rsidRDefault="00DE3E67" w:rsidP="00DE3E67">
      <w:pPr>
        <w:tabs>
          <w:tab w:val="right" w:pos="3119"/>
          <w:tab w:val="left" w:pos="3600"/>
        </w:tabs>
        <w:jc w:val="both"/>
        <w:outlineLvl w:val="0"/>
        <w:rPr>
          <w:rFonts w:ascii="Calibri" w:hAnsi="Calibri" w:cs="Calibri"/>
          <w:b/>
          <w:sz w:val="20"/>
          <w:szCs w:val="22"/>
        </w:rPr>
      </w:pPr>
      <w:r w:rsidRPr="00D9488B">
        <w:rPr>
          <w:rFonts w:ascii="Calibri" w:hAnsi="Calibri" w:cs="Calibri"/>
          <w:b/>
          <w:sz w:val="20"/>
          <w:szCs w:val="22"/>
        </w:rPr>
        <w:t>DÁTUM:</w:t>
      </w:r>
      <w:r w:rsidRPr="00D9488B">
        <w:rPr>
          <w:rFonts w:ascii="Calibri" w:hAnsi="Calibri" w:cs="Calibri"/>
          <w:b/>
          <w:sz w:val="20"/>
          <w:szCs w:val="22"/>
        </w:rPr>
        <w:tab/>
      </w:r>
    </w:p>
    <w:p w:rsidR="00DE3E67" w:rsidRPr="00D9488B" w:rsidRDefault="00DE3E67" w:rsidP="00DE3E67">
      <w:pPr>
        <w:tabs>
          <w:tab w:val="right" w:pos="3119"/>
          <w:tab w:val="left" w:pos="3600"/>
        </w:tabs>
        <w:jc w:val="both"/>
        <w:outlineLvl w:val="0"/>
        <w:rPr>
          <w:rFonts w:ascii="Calibri" w:hAnsi="Calibri" w:cs="Calibri"/>
          <w:sz w:val="20"/>
          <w:szCs w:val="22"/>
        </w:rPr>
      </w:pPr>
      <w:r w:rsidRPr="00D9488B">
        <w:rPr>
          <w:rFonts w:ascii="Calibri" w:hAnsi="Calibri" w:cs="Calibri"/>
          <w:sz w:val="20"/>
          <w:szCs w:val="22"/>
        </w:rPr>
        <w:t>0</w:t>
      </w:r>
      <w:r w:rsidR="00211BA8">
        <w:rPr>
          <w:rFonts w:ascii="Calibri" w:hAnsi="Calibri" w:cs="Calibri"/>
          <w:sz w:val="20"/>
          <w:szCs w:val="22"/>
        </w:rPr>
        <w:t>3</w:t>
      </w:r>
      <w:r w:rsidRPr="00D9488B">
        <w:rPr>
          <w:rFonts w:ascii="Calibri" w:hAnsi="Calibri" w:cs="Calibri"/>
          <w:sz w:val="20"/>
          <w:szCs w:val="22"/>
        </w:rPr>
        <w:t>/20</w:t>
      </w:r>
      <w:r>
        <w:rPr>
          <w:rFonts w:ascii="Calibri" w:hAnsi="Calibri" w:cs="Calibri"/>
          <w:sz w:val="20"/>
          <w:szCs w:val="22"/>
        </w:rPr>
        <w:t>20</w:t>
      </w:r>
    </w:p>
    <w:p w:rsidR="005A2AD3" w:rsidRPr="003B0C2B" w:rsidRDefault="005A2AD3" w:rsidP="002E499F">
      <w:pPr>
        <w:pageBreakBefore/>
        <w:widowControl w:val="0"/>
        <w:tabs>
          <w:tab w:val="left" w:pos="0"/>
          <w:tab w:val="left" w:pos="2552"/>
          <w:tab w:val="left" w:pos="4395"/>
          <w:tab w:val="left" w:pos="5529"/>
          <w:tab w:val="left" w:pos="7513"/>
        </w:tabs>
        <w:autoSpaceDE w:val="0"/>
        <w:ind w:right="-22"/>
        <w:rPr>
          <w:rFonts w:ascii="Calibri" w:hAnsi="Calibri" w:cs="Calibri"/>
          <w:b/>
          <w:bCs/>
          <w:sz w:val="20"/>
          <w:szCs w:val="22"/>
        </w:rPr>
      </w:pPr>
      <w:r w:rsidRPr="003B0C2B">
        <w:rPr>
          <w:rFonts w:ascii="Calibri" w:hAnsi="Calibri" w:cs="Calibri"/>
          <w:b/>
          <w:bCs/>
          <w:sz w:val="20"/>
          <w:szCs w:val="22"/>
        </w:rPr>
        <w:lastRenderedPageBreak/>
        <w:t xml:space="preserve">OBSAH DOKUMENTÁCIE </w:t>
      </w:r>
      <w:r w:rsidR="009C75DF" w:rsidRPr="003B0C2B">
        <w:rPr>
          <w:rFonts w:ascii="Calibri" w:hAnsi="Calibri" w:cs="Calibri"/>
          <w:b/>
          <w:bCs/>
          <w:sz w:val="20"/>
          <w:szCs w:val="22"/>
        </w:rPr>
        <w:t>D</w:t>
      </w:r>
      <w:r w:rsidRPr="003B0C2B">
        <w:rPr>
          <w:rFonts w:ascii="Calibri" w:hAnsi="Calibri" w:cs="Calibri"/>
          <w:b/>
          <w:bCs/>
          <w:sz w:val="20"/>
          <w:szCs w:val="22"/>
        </w:rPr>
        <w:t>SP</w:t>
      </w:r>
    </w:p>
    <w:p w:rsidR="005A2AD3" w:rsidRPr="003B0C2B" w:rsidRDefault="005A2AD3" w:rsidP="002E499F">
      <w:pPr>
        <w:widowControl w:val="0"/>
        <w:tabs>
          <w:tab w:val="left" w:pos="0"/>
          <w:tab w:val="left" w:pos="2552"/>
          <w:tab w:val="left" w:pos="4395"/>
          <w:tab w:val="left" w:pos="5529"/>
          <w:tab w:val="left" w:pos="7513"/>
        </w:tabs>
        <w:autoSpaceDE w:val="0"/>
        <w:ind w:right="-22"/>
        <w:rPr>
          <w:rFonts w:ascii="Calibri" w:hAnsi="Calibri" w:cs="Calibri"/>
          <w:b/>
          <w:bCs/>
          <w:sz w:val="20"/>
          <w:szCs w:val="22"/>
        </w:rPr>
      </w:pPr>
    </w:p>
    <w:p w:rsidR="005A2AD3" w:rsidRPr="003B0C2B" w:rsidRDefault="005A2AD3" w:rsidP="002E499F">
      <w:pPr>
        <w:widowControl w:val="0"/>
        <w:tabs>
          <w:tab w:val="left" w:pos="0"/>
          <w:tab w:val="left" w:pos="2552"/>
          <w:tab w:val="left" w:pos="4395"/>
          <w:tab w:val="left" w:pos="5529"/>
          <w:tab w:val="left" w:pos="7513"/>
        </w:tabs>
        <w:autoSpaceDE w:val="0"/>
        <w:ind w:right="-22"/>
        <w:rPr>
          <w:rFonts w:ascii="Calibri" w:hAnsi="Calibri" w:cs="Calibri"/>
          <w:caps/>
          <w:sz w:val="20"/>
          <w:szCs w:val="22"/>
        </w:rPr>
      </w:pPr>
    </w:p>
    <w:p w:rsidR="005A2AD3" w:rsidRPr="003B0C2B" w:rsidRDefault="005A2AD3" w:rsidP="002E499F">
      <w:pPr>
        <w:widowControl w:val="0"/>
        <w:tabs>
          <w:tab w:val="left" w:pos="0"/>
          <w:tab w:val="left" w:pos="2552"/>
          <w:tab w:val="left" w:pos="4395"/>
          <w:tab w:val="left" w:pos="5529"/>
          <w:tab w:val="left" w:pos="7513"/>
        </w:tabs>
        <w:autoSpaceDE w:val="0"/>
        <w:ind w:right="-22"/>
        <w:rPr>
          <w:rFonts w:ascii="Calibri" w:hAnsi="Calibri" w:cs="Calibri"/>
          <w:caps/>
          <w:sz w:val="20"/>
          <w:szCs w:val="22"/>
        </w:rPr>
      </w:pPr>
      <w:r w:rsidRPr="003B0C2B">
        <w:rPr>
          <w:rFonts w:ascii="Calibri" w:hAnsi="Calibri" w:cs="Calibri"/>
          <w:caps/>
          <w:sz w:val="20"/>
          <w:szCs w:val="22"/>
        </w:rPr>
        <w:t>A – SPRIEVODNÁ SPRÁVA</w:t>
      </w:r>
    </w:p>
    <w:p w:rsidR="005A2AD3" w:rsidRPr="003B0C2B" w:rsidRDefault="005A2AD3" w:rsidP="002E499F">
      <w:pPr>
        <w:widowControl w:val="0"/>
        <w:tabs>
          <w:tab w:val="left" w:pos="0"/>
          <w:tab w:val="left" w:pos="2552"/>
          <w:tab w:val="left" w:pos="7513"/>
        </w:tabs>
        <w:autoSpaceDE w:val="0"/>
        <w:ind w:right="-22"/>
        <w:rPr>
          <w:rFonts w:ascii="Calibri" w:hAnsi="Calibri" w:cs="Calibri"/>
          <w:caps/>
          <w:sz w:val="20"/>
          <w:szCs w:val="22"/>
        </w:rPr>
      </w:pPr>
    </w:p>
    <w:p w:rsidR="005A2AD3" w:rsidRPr="003B0C2B" w:rsidRDefault="005A2AD3" w:rsidP="002E499F">
      <w:pPr>
        <w:widowControl w:val="0"/>
        <w:tabs>
          <w:tab w:val="left" w:pos="0"/>
          <w:tab w:val="left" w:pos="2552"/>
          <w:tab w:val="left" w:pos="7513"/>
        </w:tabs>
        <w:autoSpaceDE w:val="0"/>
        <w:ind w:right="-22"/>
        <w:rPr>
          <w:rFonts w:ascii="Calibri" w:hAnsi="Calibri" w:cs="Calibri"/>
          <w:caps/>
          <w:sz w:val="20"/>
          <w:szCs w:val="22"/>
        </w:rPr>
      </w:pPr>
      <w:r w:rsidRPr="003B0C2B">
        <w:rPr>
          <w:rFonts w:ascii="Calibri" w:hAnsi="Calibri" w:cs="Calibri"/>
          <w:caps/>
          <w:sz w:val="20"/>
          <w:szCs w:val="22"/>
        </w:rPr>
        <w:t>B – SÚHRNNÁ TECHNICKÁ SPRÁVA</w:t>
      </w:r>
    </w:p>
    <w:p w:rsidR="005A2AD3" w:rsidRPr="003B0C2B" w:rsidRDefault="005A2AD3" w:rsidP="002E499F">
      <w:pPr>
        <w:widowControl w:val="0"/>
        <w:tabs>
          <w:tab w:val="left" w:pos="0"/>
          <w:tab w:val="left" w:pos="2552"/>
          <w:tab w:val="left" w:pos="7513"/>
        </w:tabs>
        <w:autoSpaceDE w:val="0"/>
        <w:ind w:right="-22"/>
        <w:rPr>
          <w:rFonts w:ascii="Calibri" w:hAnsi="Calibri" w:cs="Calibri"/>
          <w:caps/>
          <w:sz w:val="20"/>
          <w:szCs w:val="22"/>
        </w:rPr>
      </w:pPr>
    </w:p>
    <w:p w:rsidR="005A2AD3" w:rsidRPr="003B0C2B" w:rsidRDefault="005A2AD3" w:rsidP="002E499F">
      <w:pPr>
        <w:widowControl w:val="0"/>
        <w:tabs>
          <w:tab w:val="left" w:pos="0"/>
          <w:tab w:val="left" w:pos="2552"/>
          <w:tab w:val="left" w:pos="7513"/>
        </w:tabs>
        <w:autoSpaceDE w:val="0"/>
        <w:ind w:right="-22"/>
        <w:rPr>
          <w:rFonts w:ascii="Calibri" w:hAnsi="Calibri" w:cs="Calibri"/>
          <w:caps/>
          <w:sz w:val="20"/>
          <w:szCs w:val="22"/>
        </w:rPr>
        <w:sectPr w:rsidR="005A2AD3" w:rsidRPr="003B0C2B" w:rsidSect="005A2AD3">
          <w:footerReference w:type="even" r:id="rId8"/>
          <w:footnotePr>
            <w:pos w:val="beneathText"/>
          </w:footnotePr>
          <w:pgSz w:w="11907" w:h="16839" w:code="9"/>
          <w:pgMar w:top="1710" w:right="1325" w:bottom="1440" w:left="1560" w:header="720" w:footer="720" w:gutter="0"/>
          <w:cols w:space="708"/>
          <w:docGrid w:linePitch="360" w:charSpace="32768"/>
        </w:sectPr>
      </w:pPr>
      <w:r w:rsidRPr="003B0C2B">
        <w:rPr>
          <w:rFonts w:ascii="Calibri" w:hAnsi="Calibri" w:cs="Calibri"/>
          <w:caps/>
          <w:sz w:val="20"/>
          <w:szCs w:val="22"/>
        </w:rPr>
        <w:t>C</w:t>
      </w:r>
      <w:r w:rsidR="009C75DF" w:rsidRPr="003B0C2B">
        <w:rPr>
          <w:rFonts w:ascii="Calibri" w:hAnsi="Calibri" w:cs="Calibri"/>
          <w:caps/>
          <w:sz w:val="20"/>
          <w:szCs w:val="22"/>
        </w:rPr>
        <w:t xml:space="preserve">  – PROJEKT ORGANIZÁCIE VÝSTAVB</w:t>
      </w:r>
      <w:r w:rsidR="007D02DA" w:rsidRPr="003B0C2B">
        <w:rPr>
          <w:rFonts w:ascii="Calibri" w:hAnsi="Calibri" w:cs="Calibri"/>
          <w:caps/>
          <w:sz w:val="20"/>
          <w:szCs w:val="22"/>
        </w:rPr>
        <w:t>y</w:t>
      </w:r>
    </w:p>
    <w:p w:rsidR="005A2AD3" w:rsidRPr="007D02DA" w:rsidRDefault="005A2AD3" w:rsidP="00165ED7">
      <w:pPr>
        <w:pStyle w:val="Nadpis1"/>
      </w:pPr>
      <w:bookmarkStart w:id="0" w:name="_Toc393700949"/>
      <w:r w:rsidRPr="007D02DA">
        <w:lastRenderedPageBreak/>
        <w:t>A. SPRIEVODNÁ SPRÁVA</w:t>
      </w:r>
      <w:bookmarkStart w:id="1" w:name="_Toc393700950"/>
      <w:bookmarkEnd w:id="0"/>
    </w:p>
    <w:p w:rsidR="007D02DA" w:rsidRPr="007D02DA" w:rsidRDefault="007D02DA" w:rsidP="007D02DA">
      <w:pPr>
        <w:pStyle w:val="Nadpis2"/>
        <w:numPr>
          <w:ilvl w:val="0"/>
          <w:numId w:val="0"/>
        </w:numPr>
        <w:rPr>
          <w:lang w:val="sk-SK"/>
        </w:rPr>
      </w:pPr>
    </w:p>
    <w:bookmarkEnd w:id="1"/>
    <w:p w:rsidR="00DE3E67" w:rsidRPr="003B0C2B" w:rsidRDefault="00DE3E67" w:rsidP="00DE3E67">
      <w:pPr>
        <w:jc w:val="both"/>
        <w:rPr>
          <w:rFonts w:ascii="Calibri" w:hAnsi="Calibri" w:cs="Calibri"/>
          <w:b/>
          <w:sz w:val="20"/>
          <w:szCs w:val="22"/>
        </w:rPr>
      </w:pPr>
      <w:r w:rsidRPr="003B0C2B">
        <w:rPr>
          <w:rFonts w:ascii="Calibri" w:hAnsi="Calibri" w:cs="Calibri"/>
          <w:b/>
          <w:sz w:val="20"/>
          <w:szCs w:val="22"/>
        </w:rPr>
        <w:t>IDENTIFIKAČNÉ ÚDAJE STAVBY A INVESTORA</w:t>
      </w:r>
    </w:p>
    <w:p w:rsidR="00DE3E67" w:rsidRPr="00D9488B" w:rsidRDefault="00DE3E67" w:rsidP="00DE3E67">
      <w:pPr>
        <w:jc w:val="both"/>
        <w:rPr>
          <w:rFonts w:ascii="Calibri" w:hAnsi="Calibri" w:cs="Calibri"/>
          <w:b/>
          <w:sz w:val="20"/>
          <w:szCs w:val="22"/>
        </w:rPr>
      </w:pPr>
    </w:p>
    <w:p w:rsidR="00DE3E67" w:rsidRPr="00D9488B" w:rsidRDefault="00DE3E67" w:rsidP="00DE3E67">
      <w:pPr>
        <w:autoSpaceDE w:val="0"/>
        <w:autoSpaceDN w:val="0"/>
        <w:adjustRightInd w:val="0"/>
        <w:ind w:left="2832" w:hanging="2832"/>
        <w:jc w:val="both"/>
        <w:rPr>
          <w:rFonts w:ascii="Calibri" w:hAnsi="Calibri" w:cs="Calibri"/>
          <w:bCs/>
          <w:sz w:val="20"/>
          <w:szCs w:val="22"/>
        </w:rPr>
      </w:pPr>
      <w:r w:rsidRPr="00D9488B">
        <w:rPr>
          <w:rFonts w:ascii="Calibri" w:hAnsi="Calibri" w:cs="Calibri"/>
          <w:sz w:val="20"/>
          <w:szCs w:val="22"/>
        </w:rPr>
        <w:t>Názov stavby:</w:t>
      </w:r>
      <w:r>
        <w:rPr>
          <w:rFonts w:ascii="Calibri" w:hAnsi="Calibri" w:cs="Calibri"/>
          <w:sz w:val="20"/>
          <w:szCs w:val="22"/>
        </w:rPr>
        <w:t xml:space="preserve">                                     </w:t>
      </w:r>
      <w:r w:rsidRPr="00D9488B">
        <w:rPr>
          <w:rFonts w:ascii="Calibri" w:hAnsi="Calibri" w:cs="Calibri"/>
          <w:sz w:val="20"/>
          <w:szCs w:val="22"/>
          <w:shd w:val="clear" w:color="auto" w:fill="FFFFFF"/>
        </w:rPr>
        <w:t>Vinárstvo S</w:t>
      </w:r>
    </w:p>
    <w:p w:rsidR="00DE3E67" w:rsidRDefault="00DE3E67" w:rsidP="00DE3E67">
      <w:pPr>
        <w:pStyle w:val="Normal13"/>
        <w:tabs>
          <w:tab w:val="right" w:pos="3119"/>
        </w:tabs>
        <w:spacing w:line="240" w:lineRule="auto"/>
        <w:ind w:left="3538" w:hanging="3538"/>
        <w:rPr>
          <w:rFonts w:ascii="Calibri" w:hAnsi="Calibri" w:cs="Calibri"/>
          <w:color w:val="000000"/>
          <w:sz w:val="20"/>
          <w:szCs w:val="22"/>
        </w:rPr>
      </w:pPr>
      <w:r w:rsidRPr="00D9488B">
        <w:rPr>
          <w:rFonts w:ascii="Calibri" w:hAnsi="Calibri" w:cs="Calibri"/>
          <w:sz w:val="20"/>
          <w:szCs w:val="22"/>
        </w:rPr>
        <w:t xml:space="preserve">Miesto </w:t>
      </w:r>
      <w:proofErr w:type="gramStart"/>
      <w:r w:rsidRPr="00D9488B">
        <w:rPr>
          <w:rFonts w:ascii="Calibri" w:hAnsi="Calibri" w:cs="Calibri"/>
          <w:sz w:val="20"/>
          <w:szCs w:val="22"/>
        </w:rPr>
        <w:t>stavby:</w:t>
      </w:r>
      <w:r w:rsidRPr="00D9488B">
        <w:rPr>
          <w:rFonts w:ascii="Calibri" w:hAnsi="Calibri" w:cs="Calibri"/>
          <w:sz w:val="24"/>
          <w:szCs w:val="22"/>
        </w:rPr>
        <w:t xml:space="preserve">   </w:t>
      </w:r>
      <w:proofErr w:type="gramEnd"/>
      <w:r w:rsidRPr="00D9488B">
        <w:rPr>
          <w:rFonts w:ascii="Calibri" w:hAnsi="Calibri" w:cs="Calibri"/>
          <w:sz w:val="24"/>
          <w:szCs w:val="22"/>
        </w:rPr>
        <w:t xml:space="preserve">                       </w:t>
      </w:r>
      <w:r>
        <w:rPr>
          <w:rFonts w:ascii="Calibri" w:hAnsi="Calibri" w:cs="Calibri"/>
          <w:sz w:val="24"/>
          <w:szCs w:val="22"/>
        </w:rPr>
        <w:t xml:space="preserve">    </w:t>
      </w:r>
      <w:r w:rsidRPr="00D9488B">
        <w:rPr>
          <w:rFonts w:ascii="Calibri" w:hAnsi="Calibri" w:cs="Calibri"/>
          <w:sz w:val="20"/>
          <w:szCs w:val="22"/>
          <w:lang w:val="sk-SK"/>
        </w:rPr>
        <w:t xml:space="preserve">Parcela č.: </w:t>
      </w:r>
      <w:r>
        <w:rPr>
          <w:rFonts w:ascii="Calibri" w:hAnsi="Calibri" w:cs="Calibri"/>
          <w:sz w:val="20"/>
          <w:szCs w:val="22"/>
        </w:rPr>
        <w:t xml:space="preserve">2366/1, 2366/2, 2366/3, 2366/4, 2367/2, 2362/1, 2362/2, 2370/1,    2370/2 </w:t>
      </w:r>
      <w:r w:rsidRPr="00D9488B">
        <w:rPr>
          <w:rFonts w:ascii="Calibri" w:hAnsi="Calibri" w:cs="Calibri"/>
          <w:color w:val="000000"/>
          <w:sz w:val="20"/>
          <w:szCs w:val="22"/>
        </w:rPr>
        <w:t>k.ú. Strekov, okres Nové Zámky</w:t>
      </w:r>
    </w:p>
    <w:p w:rsidR="00DE3E67" w:rsidRPr="00D9488B" w:rsidRDefault="00DE3E67" w:rsidP="00DE3E67">
      <w:pPr>
        <w:pStyle w:val="Normal13"/>
        <w:tabs>
          <w:tab w:val="right" w:pos="3119"/>
        </w:tabs>
        <w:spacing w:line="240" w:lineRule="auto"/>
        <w:ind w:left="3538" w:hanging="3538"/>
        <w:rPr>
          <w:rFonts w:ascii="Calibri" w:hAnsi="Calibri" w:cs="Calibri"/>
          <w:sz w:val="20"/>
          <w:szCs w:val="22"/>
        </w:rPr>
      </w:pPr>
    </w:p>
    <w:p w:rsidR="00DE3E67" w:rsidRPr="00D9488B" w:rsidRDefault="00DE3E67" w:rsidP="00DE3E67">
      <w:pPr>
        <w:jc w:val="both"/>
        <w:rPr>
          <w:rFonts w:ascii="Calibri" w:hAnsi="Calibri" w:cs="Calibri"/>
          <w:sz w:val="20"/>
          <w:szCs w:val="22"/>
        </w:rPr>
      </w:pPr>
      <w:r w:rsidRPr="00D9488B">
        <w:rPr>
          <w:rFonts w:ascii="Calibri" w:hAnsi="Calibri" w:cs="Calibri"/>
          <w:sz w:val="20"/>
          <w:szCs w:val="22"/>
        </w:rPr>
        <w:t>Kraj:</w:t>
      </w:r>
      <w:r w:rsidRPr="00D9488B">
        <w:rPr>
          <w:rFonts w:ascii="Calibri" w:hAnsi="Calibri" w:cs="Calibri"/>
          <w:sz w:val="20"/>
          <w:szCs w:val="22"/>
        </w:rPr>
        <w:tab/>
      </w:r>
      <w:r w:rsidRPr="00D9488B">
        <w:rPr>
          <w:rFonts w:ascii="Calibri" w:hAnsi="Calibri" w:cs="Calibri"/>
          <w:sz w:val="20"/>
          <w:szCs w:val="22"/>
        </w:rPr>
        <w:tab/>
      </w:r>
      <w:r w:rsidRPr="00D9488B">
        <w:rPr>
          <w:rFonts w:ascii="Calibri" w:hAnsi="Calibri" w:cs="Calibri"/>
          <w:sz w:val="20"/>
          <w:szCs w:val="22"/>
        </w:rPr>
        <w:tab/>
        <w:t xml:space="preserve">         </w:t>
      </w:r>
      <w:r>
        <w:rPr>
          <w:rFonts w:ascii="Calibri" w:hAnsi="Calibri" w:cs="Calibri"/>
          <w:sz w:val="20"/>
          <w:szCs w:val="22"/>
        </w:rPr>
        <w:t xml:space="preserve"> </w:t>
      </w:r>
      <w:r w:rsidRPr="00D9488B">
        <w:rPr>
          <w:rFonts w:ascii="Calibri" w:hAnsi="Calibri" w:cs="Calibri"/>
          <w:sz w:val="20"/>
          <w:szCs w:val="22"/>
        </w:rPr>
        <w:t xml:space="preserve">     Nitriansky</w:t>
      </w:r>
    </w:p>
    <w:p w:rsidR="00DE3E67" w:rsidRPr="00D9488B" w:rsidRDefault="00DE3E67" w:rsidP="00DE3E67">
      <w:pPr>
        <w:autoSpaceDE w:val="0"/>
        <w:autoSpaceDN w:val="0"/>
        <w:adjustRightInd w:val="0"/>
        <w:jc w:val="both"/>
        <w:rPr>
          <w:rFonts w:ascii="Calibri" w:hAnsi="Calibri" w:cs="Calibri"/>
          <w:bCs/>
          <w:color w:val="000000"/>
          <w:sz w:val="20"/>
          <w:szCs w:val="22"/>
        </w:rPr>
      </w:pPr>
      <w:r w:rsidRPr="00D9488B">
        <w:rPr>
          <w:rFonts w:ascii="Calibri" w:hAnsi="Calibri" w:cs="Calibri"/>
          <w:sz w:val="20"/>
          <w:szCs w:val="22"/>
        </w:rPr>
        <w:t>Investor:</w:t>
      </w:r>
      <w:r w:rsidRPr="00D9488B">
        <w:rPr>
          <w:rFonts w:ascii="Calibri" w:hAnsi="Calibri" w:cs="Calibri"/>
          <w:sz w:val="20"/>
          <w:szCs w:val="22"/>
        </w:rPr>
        <w:tab/>
        <w:t xml:space="preserve">                           </w:t>
      </w:r>
      <w:r>
        <w:rPr>
          <w:rFonts w:ascii="Calibri" w:hAnsi="Calibri" w:cs="Calibri"/>
          <w:sz w:val="20"/>
          <w:szCs w:val="22"/>
        </w:rPr>
        <w:t xml:space="preserve"> </w:t>
      </w:r>
      <w:r w:rsidRPr="00D9488B">
        <w:rPr>
          <w:rFonts w:ascii="Calibri" w:hAnsi="Calibri" w:cs="Calibri"/>
          <w:sz w:val="20"/>
          <w:szCs w:val="22"/>
        </w:rPr>
        <w:t xml:space="preserve">  </w:t>
      </w:r>
      <w:r>
        <w:rPr>
          <w:rFonts w:ascii="Calibri" w:hAnsi="Calibri" w:cs="Calibri"/>
          <w:sz w:val="20"/>
          <w:szCs w:val="22"/>
        </w:rPr>
        <w:t xml:space="preserve"> </w:t>
      </w:r>
      <w:r w:rsidRPr="00D9488B">
        <w:rPr>
          <w:rFonts w:ascii="Calibri" w:hAnsi="Calibri" w:cs="Calibri"/>
          <w:bCs/>
          <w:color w:val="000000"/>
          <w:sz w:val="20"/>
          <w:szCs w:val="22"/>
        </w:rPr>
        <w:t>STON a.s. , Uhrova 18, 831 01 Bratislava</w:t>
      </w:r>
    </w:p>
    <w:p w:rsidR="00DE3E67" w:rsidRPr="00D9488B" w:rsidRDefault="00DE3E67" w:rsidP="00DE3E67">
      <w:pPr>
        <w:autoSpaceDE w:val="0"/>
        <w:autoSpaceDN w:val="0"/>
        <w:adjustRightInd w:val="0"/>
        <w:ind w:left="1410" w:hanging="1410"/>
        <w:rPr>
          <w:rFonts w:ascii="Calibri" w:hAnsi="Calibri" w:cs="Calibri"/>
          <w:sz w:val="20"/>
          <w:szCs w:val="22"/>
        </w:rPr>
      </w:pPr>
    </w:p>
    <w:p w:rsidR="00DE3E67" w:rsidRPr="00D9488B" w:rsidRDefault="00DE3E67" w:rsidP="00DE3E67">
      <w:pPr>
        <w:autoSpaceDE w:val="0"/>
        <w:autoSpaceDN w:val="0"/>
        <w:adjustRightInd w:val="0"/>
        <w:ind w:left="1410" w:hanging="1410"/>
        <w:rPr>
          <w:rFonts w:ascii="Calibri" w:hAnsi="Calibri" w:cs="Calibri"/>
          <w:sz w:val="20"/>
          <w:szCs w:val="22"/>
        </w:rPr>
      </w:pPr>
      <w:r w:rsidRPr="00D9488B">
        <w:rPr>
          <w:rFonts w:ascii="Calibri" w:hAnsi="Calibri" w:cs="Calibri"/>
          <w:sz w:val="20"/>
          <w:szCs w:val="22"/>
        </w:rPr>
        <w:t>Zodpovedný projektant</w:t>
      </w:r>
      <w:r>
        <w:rPr>
          <w:rFonts w:ascii="Calibri" w:hAnsi="Calibri" w:cs="Calibri"/>
          <w:sz w:val="20"/>
          <w:szCs w:val="22"/>
        </w:rPr>
        <w:t xml:space="preserve"> časti</w:t>
      </w:r>
      <w:r w:rsidRPr="00D9488B">
        <w:rPr>
          <w:rFonts w:ascii="Calibri" w:hAnsi="Calibri" w:cs="Calibri"/>
          <w:sz w:val="20"/>
          <w:szCs w:val="22"/>
        </w:rPr>
        <w:t>:</w:t>
      </w:r>
      <w:r>
        <w:rPr>
          <w:rFonts w:ascii="Calibri" w:hAnsi="Calibri" w:cs="Calibri"/>
          <w:sz w:val="20"/>
          <w:szCs w:val="22"/>
        </w:rPr>
        <w:t xml:space="preserve">          </w:t>
      </w:r>
      <w:r w:rsidRPr="00D9488B">
        <w:rPr>
          <w:rFonts w:ascii="Calibri" w:hAnsi="Calibri" w:cs="Calibri"/>
          <w:sz w:val="20"/>
          <w:szCs w:val="22"/>
        </w:rPr>
        <w:t xml:space="preserve">Ing. </w:t>
      </w:r>
      <w:r>
        <w:rPr>
          <w:rFonts w:ascii="Calibri" w:hAnsi="Calibri" w:cs="Calibri"/>
          <w:sz w:val="20"/>
          <w:szCs w:val="22"/>
        </w:rPr>
        <w:t>Ján Majerník</w:t>
      </w:r>
    </w:p>
    <w:p w:rsidR="00DE3E67" w:rsidRPr="00D9488B" w:rsidRDefault="00DE3E67" w:rsidP="00DE3E67">
      <w:pPr>
        <w:autoSpaceDE w:val="0"/>
        <w:autoSpaceDN w:val="0"/>
        <w:adjustRightInd w:val="0"/>
        <w:ind w:left="2832" w:hanging="2832"/>
        <w:rPr>
          <w:rFonts w:ascii="Calibri" w:hAnsi="Calibri" w:cs="Calibri"/>
          <w:sz w:val="20"/>
          <w:szCs w:val="22"/>
        </w:rPr>
      </w:pPr>
      <w:r w:rsidRPr="00D9488B">
        <w:rPr>
          <w:rFonts w:ascii="Calibri" w:hAnsi="Calibri" w:cs="Calibri"/>
          <w:sz w:val="20"/>
          <w:szCs w:val="22"/>
        </w:rPr>
        <w:t>Vypracoval:</w:t>
      </w:r>
      <w:r w:rsidRPr="00D9488B">
        <w:rPr>
          <w:rFonts w:ascii="Calibri" w:hAnsi="Calibri" w:cs="Calibri"/>
          <w:sz w:val="20"/>
          <w:szCs w:val="22"/>
        </w:rPr>
        <w:tab/>
        <w:t xml:space="preserve">Ing. </w:t>
      </w:r>
      <w:r>
        <w:rPr>
          <w:rFonts w:ascii="Calibri" w:hAnsi="Calibri" w:cs="Calibri"/>
          <w:sz w:val="20"/>
          <w:szCs w:val="22"/>
        </w:rPr>
        <w:t>Ladislav Koday</w:t>
      </w:r>
      <w:r w:rsidRPr="00D9488B">
        <w:rPr>
          <w:rFonts w:ascii="Calibri" w:hAnsi="Calibri" w:cs="Calibri"/>
          <w:sz w:val="20"/>
          <w:szCs w:val="22"/>
        </w:rPr>
        <w:t xml:space="preserve"> </w:t>
      </w:r>
    </w:p>
    <w:p w:rsidR="00DE3E67" w:rsidRPr="00D9488B" w:rsidRDefault="00DE3E67" w:rsidP="00DE3E67">
      <w:pPr>
        <w:autoSpaceDE w:val="0"/>
        <w:autoSpaceDN w:val="0"/>
        <w:adjustRightInd w:val="0"/>
        <w:ind w:left="2832" w:hanging="2832"/>
        <w:rPr>
          <w:rFonts w:ascii="Calibri" w:hAnsi="Calibri" w:cs="Calibri"/>
          <w:sz w:val="20"/>
          <w:szCs w:val="22"/>
        </w:rPr>
      </w:pPr>
      <w:r w:rsidRPr="00D9488B">
        <w:rPr>
          <w:rFonts w:ascii="Calibri" w:hAnsi="Calibri" w:cs="Calibri"/>
          <w:sz w:val="20"/>
          <w:szCs w:val="22"/>
        </w:rPr>
        <w:t xml:space="preserve">                                                       </w:t>
      </w:r>
      <w:r>
        <w:rPr>
          <w:rFonts w:ascii="Calibri" w:hAnsi="Calibri" w:cs="Calibri"/>
          <w:sz w:val="20"/>
          <w:szCs w:val="22"/>
        </w:rPr>
        <w:t xml:space="preserve">      </w:t>
      </w:r>
      <w:r w:rsidRPr="00D9488B">
        <w:rPr>
          <w:rFonts w:ascii="Calibri" w:hAnsi="Calibri" w:cs="Calibri"/>
          <w:sz w:val="20"/>
          <w:szCs w:val="22"/>
        </w:rPr>
        <w:t xml:space="preserve">  Ing.arch Michal Krcho</w:t>
      </w:r>
    </w:p>
    <w:p w:rsidR="00DE3E67" w:rsidRDefault="00DE3E67" w:rsidP="00DE3E67">
      <w:pPr>
        <w:autoSpaceDE w:val="0"/>
        <w:autoSpaceDN w:val="0"/>
        <w:adjustRightInd w:val="0"/>
        <w:ind w:left="1410" w:hanging="1410"/>
        <w:rPr>
          <w:rFonts w:ascii="Calibri" w:hAnsi="Calibri" w:cs="Calibri"/>
          <w:sz w:val="20"/>
          <w:szCs w:val="22"/>
        </w:rPr>
      </w:pPr>
    </w:p>
    <w:p w:rsidR="00DE3E67" w:rsidRPr="00D9488B" w:rsidRDefault="00DE3E67" w:rsidP="00DE3E67">
      <w:pPr>
        <w:autoSpaceDE w:val="0"/>
        <w:autoSpaceDN w:val="0"/>
        <w:adjustRightInd w:val="0"/>
        <w:ind w:left="1410" w:hanging="1410"/>
        <w:rPr>
          <w:rFonts w:ascii="Calibri" w:hAnsi="Calibri" w:cs="Calibri"/>
          <w:sz w:val="20"/>
          <w:szCs w:val="22"/>
        </w:rPr>
      </w:pPr>
      <w:r>
        <w:rPr>
          <w:rFonts w:ascii="Calibri" w:hAnsi="Calibri" w:cs="Calibri"/>
          <w:sz w:val="20"/>
          <w:szCs w:val="22"/>
        </w:rPr>
        <w:t>Stavebná časť:</w:t>
      </w:r>
      <w:r>
        <w:rPr>
          <w:rFonts w:ascii="Calibri" w:hAnsi="Calibri" w:cs="Calibri"/>
          <w:sz w:val="20"/>
          <w:szCs w:val="22"/>
        </w:rPr>
        <w:tab/>
      </w:r>
      <w:r>
        <w:rPr>
          <w:rFonts w:ascii="Calibri" w:hAnsi="Calibri" w:cs="Calibri"/>
          <w:sz w:val="20"/>
          <w:szCs w:val="22"/>
        </w:rPr>
        <w:tab/>
      </w:r>
      <w:r>
        <w:rPr>
          <w:rFonts w:ascii="Calibri" w:hAnsi="Calibri" w:cs="Calibri"/>
          <w:sz w:val="20"/>
          <w:szCs w:val="22"/>
        </w:rPr>
        <w:tab/>
      </w:r>
      <w:r>
        <w:rPr>
          <w:rFonts w:ascii="Calibri" w:hAnsi="Calibri" w:cs="Calibri"/>
          <w:sz w:val="20"/>
          <w:szCs w:val="22"/>
        </w:rPr>
        <w:tab/>
        <w:t>Ing. Ján Majerník, Ing Ladislav Koday, Ing. Tomáš Horák</w:t>
      </w:r>
    </w:p>
    <w:p w:rsidR="00DE3E67" w:rsidRPr="00D9488B" w:rsidRDefault="00DE3E67" w:rsidP="00DE3E67">
      <w:pPr>
        <w:autoSpaceDE w:val="0"/>
        <w:autoSpaceDN w:val="0"/>
        <w:adjustRightInd w:val="0"/>
        <w:ind w:left="1410" w:hanging="1410"/>
        <w:rPr>
          <w:rFonts w:ascii="Calibri" w:hAnsi="Calibri" w:cs="Calibri"/>
          <w:sz w:val="20"/>
          <w:szCs w:val="22"/>
          <w:shd w:val="clear" w:color="auto" w:fill="FFFFFF"/>
        </w:rPr>
      </w:pPr>
      <w:r w:rsidRPr="00D9488B">
        <w:rPr>
          <w:rFonts w:ascii="Calibri" w:hAnsi="Calibri" w:cs="Calibri"/>
          <w:sz w:val="20"/>
          <w:szCs w:val="22"/>
        </w:rPr>
        <w:t>Statické posúdenie:</w:t>
      </w:r>
      <w:r w:rsidRPr="00D9488B">
        <w:rPr>
          <w:rFonts w:ascii="Calibri" w:hAnsi="Calibri" w:cs="Calibri"/>
          <w:sz w:val="20"/>
          <w:szCs w:val="22"/>
        </w:rPr>
        <w:tab/>
      </w:r>
      <w:r w:rsidRPr="00D9488B">
        <w:rPr>
          <w:rFonts w:ascii="Calibri" w:hAnsi="Calibri" w:cs="Calibri"/>
          <w:sz w:val="20"/>
          <w:szCs w:val="22"/>
        </w:rPr>
        <w:tab/>
      </w:r>
      <w:r w:rsidRPr="00D9488B">
        <w:rPr>
          <w:rFonts w:ascii="Calibri" w:hAnsi="Calibri" w:cs="Calibri"/>
          <w:sz w:val="20"/>
          <w:szCs w:val="22"/>
          <w:shd w:val="clear" w:color="auto" w:fill="FFFFFF"/>
        </w:rPr>
        <w:t>Ing. Vladimír Duchoň, PhD.</w:t>
      </w:r>
      <w:r>
        <w:rPr>
          <w:rFonts w:ascii="Calibri" w:hAnsi="Calibri" w:cs="Calibri"/>
          <w:sz w:val="20"/>
          <w:szCs w:val="22"/>
          <w:shd w:val="clear" w:color="auto" w:fill="FFFFFF"/>
        </w:rPr>
        <w:t>, Ing. Miroslav Mach</w:t>
      </w:r>
    </w:p>
    <w:p w:rsidR="00DE3E67" w:rsidRPr="00D9488B" w:rsidRDefault="00DE3E67" w:rsidP="00DE3E67">
      <w:pPr>
        <w:autoSpaceDE w:val="0"/>
        <w:autoSpaceDN w:val="0"/>
        <w:adjustRightInd w:val="0"/>
        <w:ind w:left="1410" w:hanging="1410"/>
        <w:rPr>
          <w:rFonts w:ascii="Calibri" w:hAnsi="Calibri" w:cs="Calibri"/>
          <w:sz w:val="20"/>
          <w:szCs w:val="22"/>
        </w:rPr>
      </w:pPr>
      <w:r w:rsidRPr="00D9488B">
        <w:rPr>
          <w:rFonts w:ascii="Calibri" w:hAnsi="Calibri" w:cs="Calibri"/>
          <w:sz w:val="20"/>
          <w:szCs w:val="22"/>
        </w:rPr>
        <w:t xml:space="preserve">Protipožiarna bezpečnosť:         </w:t>
      </w:r>
      <w:r>
        <w:rPr>
          <w:rFonts w:ascii="Calibri" w:hAnsi="Calibri" w:cs="Calibri"/>
          <w:sz w:val="20"/>
          <w:szCs w:val="22"/>
        </w:rPr>
        <w:t xml:space="preserve">      </w:t>
      </w:r>
      <w:r w:rsidRPr="00D9488B">
        <w:rPr>
          <w:rFonts w:ascii="Calibri" w:hAnsi="Calibri" w:cs="Calibri"/>
          <w:sz w:val="20"/>
          <w:szCs w:val="22"/>
        </w:rPr>
        <w:t xml:space="preserve"> Ing. Jana Kriváček-Koropecká</w:t>
      </w:r>
      <w:r>
        <w:rPr>
          <w:rFonts w:ascii="Calibri" w:hAnsi="Calibri" w:cs="Calibri"/>
          <w:sz w:val="20"/>
          <w:szCs w:val="22"/>
        </w:rPr>
        <w:t xml:space="preserve"> (Konzultačne - RP sa nerobí)</w:t>
      </w:r>
      <w:r w:rsidRPr="00D9488B">
        <w:rPr>
          <w:rFonts w:ascii="Calibri" w:hAnsi="Calibri" w:cs="Calibri"/>
          <w:sz w:val="20"/>
          <w:szCs w:val="22"/>
        </w:rPr>
        <w:t xml:space="preserve">                                                 </w:t>
      </w:r>
    </w:p>
    <w:p w:rsidR="00DE3E67" w:rsidRPr="00D9488B" w:rsidRDefault="00DE3E67" w:rsidP="00DE3E67">
      <w:pPr>
        <w:rPr>
          <w:rFonts w:ascii="Calibri" w:hAnsi="Calibri" w:cs="Calibri"/>
          <w:sz w:val="20"/>
          <w:szCs w:val="22"/>
        </w:rPr>
      </w:pPr>
      <w:r>
        <w:rPr>
          <w:rFonts w:ascii="Calibri" w:hAnsi="Calibri" w:cs="Calibri"/>
          <w:sz w:val="20"/>
          <w:szCs w:val="22"/>
        </w:rPr>
        <w:t>Vykurovanie:</w:t>
      </w:r>
      <w:r>
        <w:rPr>
          <w:rFonts w:ascii="Calibri" w:hAnsi="Calibri" w:cs="Calibri"/>
          <w:sz w:val="20"/>
          <w:szCs w:val="22"/>
        </w:rPr>
        <w:tab/>
        <w:t xml:space="preserve">                                </w:t>
      </w:r>
      <w:r w:rsidRPr="00D9488B">
        <w:rPr>
          <w:rFonts w:ascii="Calibri" w:hAnsi="Calibri" w:cs="Calibri"/>
          <w:sz w:val="20"/>
          <w:szCs w:val="22"/>
        </w:rPr>
        <w:t>Ing. Roman Uhnák</w:t>
      </w:r>
    </w:p>
    <w:p w:rsidR="00DE3E67" w:rsidRPr="003B0C2B" w:rsidRDefault="00DE3E67" w:rsidP="00DE3E67">
      <w:pPr>
        <w:rPr>
          <w:rFonts w:ascii="Calibri" w:hAnsi="Calibri" w:cs="Calibri"/>
          <w:sz w:val="20"/>
          <w:szCs w:val="22"/>
        </w:rPr>
      </w:pPr>
      <w:r w:rsidRPr="00D9488B">
        <w:rPr>
          <w:rFonts w:ascii="Calibri" w:hAnsi="Calibri" w:cs="Calibri"/>
          <w:sz w:val="20"/>
          <w:szCs w:val="22"/>
        </w:rPr>
        <w:t xml:space="preserve">Elektroinštalácia, bleskozvod:   </w:t>
      </w:r>
      <w:r>
        <w:rPr>
          <w:rFonts w:ascii="Calibri" w:hAnsi="Calibri" w:cs="Calibri"/>
          <w:sz w:val="20"/>
          <w:szCs w:val="22"/>
        </w:rPr>
        <w:t xml:space="preserve">      </w:t>
      </w:r>
      <w:r w:rsidRPr="00D9488B">
        <w:rPr>
          <w:rFonts w:ascii="Calibri" w:hAnsi="Calibri" w:cs="Calibri"/>
          <w:sz w:val="20"/>
          <w:szCs w:val="22"/>
        </w:rPr>
        <w:t xml:space="preserve"> </w:t>
      </w:r>
      <w:r w:rsidRPr="00D9488B">
        <w:rPr>
          <w:rFonts w:ascii="Calibri" w:hAnsi="Calibri" w:cs="Calibri"/>
          <w:sz w:val="20"/>
          <w:szCs w:val="22"/>
          <w:shd w:val="clear" w:color="auto" w:fill="FFFFFF"/>
          <w:lang w:val="cs-CZ" w:eastAsia="en-US"/>
        </w:rPr>
        <w:t>Ing. Marek Gešnábel, Ing. Ján Kišeľa</w:t>
      </w:r>
      <w:r>
        <w:rPr>
          <w:rFonts w:ascii="Calibri" w:hAnsi="Calibri" w:cs="Calibri"/>
          <w:sz w:val="20"/>
          <w:szCs w:val="22"/>
          <w:shd w:val="clear" w:color="auto" w:fill="FFFFFF"/>
          <w:lang w:val="cs-CZ" w:eastAsia="en-US"/>
        </w:rPr>
        <w:t>, Ing. Juraj Szabo</w:t>
      </w:r>
    </w:p>
    <w:p w:rsidR="00DE3E67" w:rsidRPr="00D9488B" w:rsidRDefault="00DE3E67" w:rsidP="00DE3E67">
      <w:pPr>
        <w:rPr>
          <w:rFonts w:ascii="Calibri" w:hAnsi="Calibri" w:cs="Calibri"/>
          <w:sz w:val="20"/>
          <w:szCs w:val="22"/>
          <w:shd w:val="clear" w:color="auto" w:fill="FFFFFF"/>
          <w:lang w:val="cs-CZ" w:eastAsia="en-US"/>
        </w:rPr>
      </w:pPr>
      <w:r w:rsidRPr="00D9488B">
        <w:rPr>
          <w:rFonts w:ascii="Calibri" w:hAnsi="Calibri" w:cs="Calibri"/>
          <w:sz w:val="20"/>
          <w:szCs w:val="22"/>
        </w:rPr>
        <w:t xml:space="preserve">Chladenie a vetranie:                 </w:t>
      </w:r>
      <w:r>
        <w:rPr>
          <w:rFonts w:ascii="Calibri" w:hAnsi="Calibri" w:cs="Calibri"/>
          <w:sz w:val="20"/>
          <w:szCs w:val="22"/>
        </w:rPr>
        <w:t xml:space="preserve">      </w:t>
      </w:r>
      <w:r w:rsidRPr="00D9488B">
        <w:rPr>
          <w:rFonts w:ascii="Calibri" w:hAnsi="Calibri" w:cs="Calibri"/>
          <w:sz w:val="20"/>
          <w:szCs w:val="22"/>
        </w:rPr>
        <w:t xml:space="preserve">  </w:t>
      </w:r>
      <w:r w:rsidRPr="00D9488B">
        <w:rPr>
          <w:rFonts w:ascii="Calibri" w:hAnsi="Calibri" w:cs="Calibri"/>
          <w:sz w:val="20"/>
          <w:szCs w:val="22"/>
          <w:shd w:val="clear" w:color="auto" w:fill="FFFFFF"/>
          <w:lang w:val="cs-CZ" w:eastAsia="en-US"/>
        </w:rPr>
        <w:t>Ing. Daniela Mazúrová, Ing. Daniela Štolcová</w:t>
      </w:r>
    </w:p>
    <w:p w:rsidR="00DE3E67" w:rsidRPr="00D9488B" w:rsidRDefault="00DE3E67" w:rsidP="00DE3E67">
      <w:pPr>
        <w:rPr>
          <w:rFonts w:ascii="Calibri" w:hAnsi="Calibri" w:cs="Calibri"/>
          <w:sz w:val="20"/>
          <w:szCs w:val="22"/>
        </w:rPr>
      </w:pPr>
      <w:r w:rsidRPr="00D9488B">
        <w:rPr>
          <w:rFonts w:ascii="Calibri" w:hAnsi="Calibri" w:cs="Calibri"/>
          <w:sz w:val="20"/>
          <w:szCs w:val="22"/>
        </w:rPr>
        <w:t>ZTI vnútorná:</w:t>
      </w:r>
      <w:r w:rsidRPr="00D9488B">
        <w:rPr>
          <w:rFonts w:ascii="Calibri" w:hAnsi="Calibri" w:cs="Calibri"/>
          <w:sz w:val="20"/>
          <w:szCs w:val="22"/>
        </w:rPr>
        <w:tab/>
      </w:r>
      <w:r w:rsidRPr="00D9488B">
        <w:rPr>
          <w:rFonts w:ascii="Calibri" w:hAnsi="Calibri" w:cs="Calibri"/>
          <w:sz w:val="20"/>
          <w:szCs w:val="22"/>
        </w:rPr>
        <w:tab/>
        <w:t xml:space="preserve">             </w:t>
      </w:r>
      <w:r>
        <w:rPr>
          <w:rFonts w:ascii="Calibri" w:hAnsi="Calibri" w:cs="Calibri"/>
          <w:sz w:val="20"/>
          <w:szCs w:val="22"/>
        </w:rPr>
        <w:t xml:space="preserve">  </w:t>
      </w:r>
      <w:r w:rsidRPr="00D9488B">
        <w:rPr>
          <w:rFonts w:ascii="Calibri" w:hAnsi="Calibri" w:cs="Calibri"/>
          <w:sz w:val="20"/>
          <w:szCs w:val="22"/>
        </w:rPr>
        <w:t xml:space="preserve"> Ing. Tomáš Cesnek, Ing. Ľuboš Rodenák</w:t>
      </w:r>
    </w:p>
    <w:p w:rsidR="00DE3E67" w:rsidRPr="00D9488B" w:rsidRDefault="00DE3E67" w:rsidP="00DE3E67">
      <w:pPr>
        <w:rPr>
          <w:rFonts w:ascii="Calibri" w:hAnsi="Calibri" w:cs="Calibri"/>
          <w:sz w:val="20"/>
          <w:szCs w:val="22"/>
        </w:rPr>
      </w:pPr>
      <w:r w:rsidRPr="00D9488B">
        <w:rPr>
          <w:rFonts w:ascii="Calibri" w:hAnsi="Calibri" w:cs="Calibri"/>
          <w:sz w:val="20"/>
          <w:szCs w:val="22"/>
        </w:rPr>
        <w:t>ZTI vonkajšia:</w:t>
      </w:r>
      <w:r w:rsidRPr="00D9488B">
        <w:rPr>
          <w:rFonts w:ascii="Calibri" w:hAnsi="Calibri" w:cs="Calibri"/>
          <w:sz w:val="20"/>
          <w:szCs w:val="22"/>
        </w:rPr>
        <w:tab/>
      </w:r>
      <w:r w:rsidRPr="00D9488B">
        <w:rPr>
          <w:rFonts w:ascii="Calibri" w:hAnsi="Calibri" w:cs="Calibri"/>
          <w:sz w:val="20"/>
          <w:szCs w:val="22"/>
        </w:rPr>
        <w:tab/>
        <w:t xml:space="preserve">            </w:t>
      </w:r>
      <w:r>
        <w:rPr>
          <w:rFonts w:ascii="Calibri" w:hAnsi="Calibri" w:cs="Calibri"/>
          <w:sz w:val="20"/>
          <w:szCs w:val="22"/>
        </w:rPr>
        <w:t xml:space="preserve">  </w:t>
      </w:r>
      <w:r w:rsidRPr="00D9488B">
        <w:rPr>
          <w:rFonts w:ascii="Calibri" w:hAnsi="Calibri" w:cs="Calibri"/>
          <w:sz w:val="20"/>
          <w:szCs w:val="22"/>
        </w:rPr>
        <w:t xml:space="preserve">  Ing. Miroslava Vaňurová</w:t>
      </w:r>
    </w:p>
    <w:p w:rsidR="00DE3E67" w:rsidRPr="00D9488B" w:rsidRDefault="00DE3E67" w:rsidP="00DE3E67">
      <w:pPr>
        <w:rPr>
          <w:rFonts w:ascii="Calibri" w:hAnsi="Calibri" w:cs="Calibri"/>
          <w:sz w:val="20"/>
          <w:szCs w:val="22"/>
        </w:rPr>
      </w:pPr>
      <w:r w:rsidRPr="00D9488B">
        <w:rPr>
          <w:rFonts w:ascii="Calibri" w:hAnsi="Calibri" w:cs="Calibri"/>
          <w:sz w:val="20"/>
          <w:szCs w:val="22"/>
        </w:rPr>
        <w:t>Technológia vinárstva:</w:t>
      </w:r>
      <w:r w:rsidRPr="00D9488B">
        <w:rPr>
          <w:rFonts w:ascii="Calibri" w:hAnsi="Calibri" w:cs="Calibri"/>
          <w:sz w:val="20"/>
          <w:szCs w:val="22"/>
        </w:rPr>
        <w:tab/>
        <w:t xml:space="preserve">           </w:t>
      </w:r>
      <w:r>
        <w:rPr>
          <w:rFonts w:ascii="Calibri" w:hAnsi="Calibri" w:cs="Calibri"/>
          <w:sz w:val="20"/>
          <w:szCs w:val="22"/>
        </w:rPr>
        <w:t xml:space="preserve">  </w:t>
      </w:r>
      <w:r w:rsidRPr="00D9488B">
        <w:rPr>
          <w:rFonts w:ascii="Calibri" w:hAnsi="Calibri" w:cs="Calibri"/>
          <w:sz w:val="20"/>
          <w:szCs w:val="22"/>
        </w:rPr>
        <w:t xml:space="preserve">   Ing. Kurt Kristel</w:t>
      </w:r>
    </w:p>
    <w:p w:rsidR="00DE3E67" w:rsidRPr="00D9488B" w:rsidRDefault="00DE3E67" w:rsidP="00DE3E67">
      <w:pPr>
        <w:rPr>
          <w:rFonts w:ascii="Calibri" w:hAnsi="Calibri" w:cs="Calibri"/>
          <w:sz w:val="20"/>
          <w:szCs w:val="22"/>
        </w:rPr>
      </w:pPr>
      <w:r w:rsidRPr="00D9488B">
        <w:rPr>
          <w:rFonts w:ascii="Calibri" w:hAnsi="Calibri" w:cs="Calibri"/>
          <w:sz w:val="20"/>
          <w:szCs w:val="22"/>
        </w:rPr>
        <w:t>Teplotechnické posúdenie:</w:t>
      </w:r>
      <w:r w:rsidRPr="00D9488B">
        <w:rPr>
          <w:rFonts w:ascii="Calibri" w:hAnsi="Calibri" w:cs="Calibri"/>
          <w:sz w:val="20"/>
          <w:szCs w:val="22"/>
        </w:rPr>
        <w:tab/>
        <w:t>Ing. Tomáš Horák</w:t>
      </w:r>
      <w:r>
        <w:rPr>
          <w:rFonts w:ascii="Calibri" w:hAnsi="Calibri" w:cs="Calibri"/>
          <w:sz w:val="20"/>
          <w:szCs w:val="22"/>
        </w:rPr>
        <w:t xml:space="preserve"> (Konzultačne - RP sa nerobí)</w:t>
      </w:r>
      <w:r w:rsidRPr="00D9488B">
        <w:rPr>
          <w:rFonts w:ascii="Calibri" w:hAnsi="Calibri" w:cs="Calibri"/>
          <w:sz w:val="20"/>
          <w:szCs w:val="22"/>
        </w:rPr>
        <w:t xml:space="preserve">                                                 </w:t>
      </w:r>
    </w:p>
    <w:p w:rsidR="00DE3E67" w:rsidRPr="00D9488B" w:rsidRDefault="00DE3E67" w:rsidP="00DE3E67">
      <w:pPr>
        <w:rPr>
          <w:rFonts w:ascii="Calibri" w:hAnsi="Calibri" w:cs="Calibri"/>
          <w:sz w:val="20"/>
          <w:szCs w:val="22"/>
        </w:rPr>
      </w:pPr>
      <w:r w:rsidRPr="00D9488B">
        <w:rPr>
          <w:rFonts w:ascii="Calibri" w:hAnsi="Calibri" w:cs="Calibri"/>
          <w:sz w:val="20"/>
          <w:szCs w:val="22"/>
        </w:rPr>
        <w:t>Dopravné riešenie:</w:t>
      </w:r>
      <w:r w:rsidRPr="00D9488B">
        <w:rPr>
          <w:rFonts w:ascii="Calibri" w:hAnsi="Calibri" w:cs="Calibri"/>
          <w:sz w:val="20"/>
          <w:szCs w:val="22"/>
        </w:rPr>
        <w:tab/>
        <w:t xml:space="preserve">           </w:t>
      </w:r>
      <w:r>
        <w:rPr>
          <w:rFonts w:ascii="Calibri" w:hAnsi="Calibri" w:cs="Calibri"/>
          <w:sz w:val="20"/>
          <w:szCs w:val="22"/>
        </w:rPr>
        <w:t xml:space="preserve">  </w:t>
      </w:r>
      <w:r w:rsidRPr="00D9488B">
        <w:rPr>
          <w:rFonts w:ascii="Calibri" w:hAnsi="Calibri" w:cs="Calibri"/>
          <w:sz w:val="20"/>
          <w:szCs w:val="22"/>
        </w:rPr>
        <w:t xml:space="preserve">   Ing. Viktor Neumann</w:t>
      </w:r>
      <w:r>
        <w:rPr>
          <w:rFonts w:ascii="Calibri" w:hAnsi="Calibri" w:cs="Calibri"/>
          <w:sz w:val="20"/>
          <w:szCs w:val="22"/>
        </w:rPr>
        <w:t xml:space="preserve"> (Konzultačne - RP sa nerobí)</w:t>
      </w:r>
      <w:r w:rsidRPr="00D9488B">
        <w:rPr>
          <w:rFonts w:ascii="Calibri" w:hAnsi="Calibri" w:cs="Calibri"/>
          <w:sz w:val="20"/>
          <w:szCs w:val="22"/>
        </w:rPr>
        <w:t xml:space="preserve">                                                 </w:t>
      </w:r>
    </w:p>
    <w:p w:rsidR="00DE3E67" w:rsidRPr="00D9488B" w:rsidRDefault="00DE3E67" w:rsidP="00DE3E67">
      <w:pPr>
        <w:rPr>
          <w:rFonts w:ascii="Calibri" w:hAnsi="Calibri" w:cs="Calibri"/>
          <w:sz w:val="20"/>
          <w:szCs w:val="22"/>
        </w:rPr>
      </w:pPr>
      <w:r w:rsidRPr="00D9488B">
        <w:rPr>
          <w:rFonts w:ascii="Calibri" w:hAnsi="Calibri" w:cs="Calibri"/>
          <w:sz w:val="20"/>
          <w:szCs w:val="22"/>
        </w:rPr>
        <w:t xml:space="preserve">Krajinná architektúra:               </w:t>
      </w:r>
      <w:r>
        <w:rPr>
          <w:rFonts w:ascii="Calibri" w:hAnsi="Calibri" w:cs="Calibri"/>
          <w:sz w:val="20"/>
          <w:szCs w:val="22"/>
        </w:rPr>
        <w:t xml:space="preserve">      </w:t>
      </w:r>
      <w:r w:rsidRPr="00D9488B">
        <w:rPr>
          <w:rFonts w:ascii="Calibri" w:hAnsi="Calibri" w:cs="Calibri"/>
          <w:sz w:val="20"/>
          <w:szCs w:val="22"/>
        </w:rPr>
        <w:t xml:space="preserve">   Ing. Michal Marcinov, Bc. Dominika Lovásiková  </w:t>
      </w:r>
      <w:r>
        <w:rPr>
          <w:rFonts w:ascii="Calibri" w:hAnsi="Calibri" w:cs="Calibri"/>
          <w:sz w:val="20"/>
          <w:szCs w:val="22"/>
        </w:rPr>
        <w:t>(Konzultačne - RP sa nerobí)</w:t>
      </w:r>
      <w:r w:rsidRPr="00D9488B">
        <w:rPr>
          <w:rFonts w:ascii="Calibri" w:hAnsi="Calibri" w:cs="Calibri"/>
          <w:sz w:val="20"/>
          <w:szCs w:val="22"/>
        </w:rPr>
        <w:t xml:space="preserve">                                                 </w:t>
      </w:r>
    </w:p>
    <w:p w:rsidR="00DE3E67" w:rsidRPr="00D9488B" w:rsidRDefault="00DE3E67" w:rsidP="00DE3E67">
      <w:pPr>
        <w:jc w:val="both"/>
        <w:rPr>
          <w:rFonts w:ascii="Calibri" w:hAnsi="Calibri" w:cs="Calibri"/>
          <w:sz w:val="20"/>
          <w:szCs w:val="22"/>
        </w:rPr>
      </w:pPr>
      <w:r w:rsidRPr="00D9488B">
        <w:rPr>
          <w:rFonts w:ascii="Calibri" w:hAnsi="Calibri" w:cs="Calibri"/>
          <w:sz w:val="20"/>
          <w:szCs w:val="22"/>
        </w:rPr>
        <w:t>Stupeň PD:</w:t>
      </w:r>
      <w:r w:rsidRPr="00D9488B">
        <w:rPr>
          <w:rFonts w:ascii="Calibri" w:hAnsi="Calibri" w:cs="Calibri"/>
          <w:sz w:val="20"/>
          <w:szCs w:val="22"/>
        </w:rPr>
        <w:tab/>
      </w:r>
      <w:r w:rsidRPr="00D9488B">
        <w:rPr>
          <w:rFonts w:ascii="Calibri" w:hAnsi="Calibri" w:cs="Calibri"/>
          <w:sz w:val="20"/>
          <w:szCs w:val="22"/>
        </w:rPr>
        <w:tab/>
      </w:r>
      <w:r w:rsidRPr="00D9488B">
        <w:rPr>
          <w:rFonts w:ascii="Calibri" w:hAnsi="Calibri" w:cs="Calibri"/>
          <w:sz w:val="20"/>
          <w:szCs w:val="22"/>
        </w:rPr>
        <w:tab/>
      </w:r>
      <w:r>
        <w:rPr>
          <w:rFonts w:ascii="Calibri" w:hAnsi="Calibri" w:cs="Calibri"/>
          <w:sz w:val="20"/>
          <w:szCs w:val="22"/>
        </w:rPr>
        <w:t>Realizačný Projekt</w:t>
      </w:r>
    </w:p>
    <w:p w:rsidR="00DE3E67" w:rsidRPr="00D9488B" w:rsidRDefault="00DE3E67" w:rsidP="00DE3E67">
      <w:pPr>
        <w:jc w:val="both"/>
        <w:rPr>
          <w:rFonts w:ascii="Calibri" w:hAnsi="Calibri" w:cs="Calibri"/>
          <w:sz w:val="20"/>
          <w:szCs w:val="22"/>
        </w:rPr>
      </w:pPr>
    </w:p>
    <w:p w:rsidR="00DE3E67" w:rsidRPr="00D9488B" w:rsidRDefault="00DE3E67" w:rsidP="00DE3E67">
      <w:pPr>
        <w:pStyle w:val="Nadpis2"/>
        <w:numPr>
          <w:ilvl w:val="0"/>
          <w:numId w:val="0"/>
        </w:numPr>
        <w:jc w:val="both"/>
        <w:rPr>
          <w:rFonts w:ascii="Calibri" w:hAnsi="Calibri" w:cs="Calibri"/>
          <w:szCs w:val="22"/>
        </w:rPr>
      </w:pPr>
      <w:r w:rsidRPr="00D9488B">
        <w:rPr>
          <w:rFonts w:ascii="Calibri" w:hAnsi="Calibri" w:cs="Calibri"/>
          <w:szCs w:val="22"/>
        </w:rPr>
        <w:t>ZÁKLADNÉ PLOŠNÉ UKAZOVATELE</w:t>
      </w:r>
    </w:p>
    <w:p w:rsidR="00DE3E67" w:rsidRPr="00D9488B" w:rsidRDefault="00DE3E67" w:rsidP="00DE3E67">
      <w:pPr>
        <w:rPr>
          <w:sz w:val="20"/>
          <w:lang w:val="cs-CZ"/>
        </w:rPr>
      </w:pPr>
    </w:p>
    <w:p w:rsidR="00DE3E67" w:rsidRPr="00C66B20" w:rsidRDefault="00DE3E67" w:rsidP="00DE3E67">
      <w:pPr>
        <w:rPr>
          <w:rFonts w:ascii="Calibri" w:hAnsi="Calibri" w:cs="Calibri"/>
          <w:sz w:val="20"/>
          <w:lang w:val="cs-CZ"/>
        </w:rPr>
      </w:pPr>
      <w:r w:rsidRPr="00C66B20">
        <w:rPr>
          <w:rFonts w:ascii="Calibri" w:hAnsi="Calibri" w:cs="Calibri"/>
          <w:sz w:val="20"/>
          <w:lang w:val="cs-CZ"/>
        </w:rPr>
        <w:t xml:space="preserve">Celková ploha </w:t>
      </w:r>
      <w:proofErr w:type="gramStart"/>
      <w:r w:rsidRPr="00C66B20">
        <w:rPr>
          <w:rFonts w:ascii="Calibri" w:hAnsi="Calibri" w:cs="Calibri"/>
          <w:sz w:val="20"/>
          <w:lang w:val="cs-CZ"/>
        </w:rPr>
        <w:t xml:space="preserve">pozemku:   </w:t>
      </w:r>
      <w:proofErr w:type="gramEnd"/>
      <w:r w:rsidRPr="00C66B20">
        <w:rPr>
          <w:rFonts w:ascii="Calibri" w:hAnsi="Calibri" w:cs="Calibri"/>
          <w:sz w:val="20"/>
          <w:lang w:val="cs-CZ"/>
        </w:rPr>
        <w:t xml:space="preserve">                                          </w:t>
      </w:r>
      <w:r w:rsidR="00EE6A26">
        <w:rPr>
          <w:rFonts w:ascii="Calibri" w:hAnsi="Calibri" w:cs="Calibri"/>
          <w:sz w:val="20"/>
          <w:szCs w:val="22"/>
        </w:rPr>
        <w:t>7 423,4</w:t>
      </w:r>
      <w:r w:rsidRPr="00C66B20">
        <w:rPr>
          <w:rFonts w:ascii="Calibri" w:hAnsi="Calibri" w:cs="Calibri"/>
          <w:sz w:val="20"/>
          <w:szCs w:val="22"/>
        </w:rPr>
        <w:t>0 m2</w:t>
      </w:r>
    </w:p>
    <w:p w:rsidR="00DE3E67" w:rsidRPr="00C66B20" w:rsidRDefault="00DE3E67" w:rsidP="00DE3E67">
      <w:pPr>
        <w:rPr>
          <w:rFonts w:ascii="Calibri" w:hAnsi="Calibri" w:cs="Calibri"/>
          <w:sz w:val="20"/>
          <w:szCs w:val="22"/>
        </w:rPr>
      </w:pPr>
      <w:r w:rsidRPr="00C66B20">
        <w:rPr>
          <w:rFonts w:ascii="Calibri" w:hAnsi="Calibri" w:cs="Calibri"/>
          <w:sz w:val="20"/>
          <w:szCs w:val="22"/>
        </w:rPr>
        <w:t>Zastavaná plocha novými objektami:</w:t>
      </w:r>
      <w:r w:rsidRPr="00C66B20">
        <w:rPr>
          <w:rFonts w:ascii="Calibri" w:hAnsi="Calibri" w:cs="Calibri"/>
          <w:sz w:val="20"/>
          <w:szCs w:val="22"/>
        </w:rPr>
        <w:tab/>
        <w:t xml:space="preserve">           </w:t>
      </w:r>
      <w:r>
        <w:rPr>
          <w:rFonts w:ascii="Calibri" w:hAnsi="Calibri" w:cs="Calibri"/>
          <w:sz w:val="20"/>
          <w:szCs w:val="22"/>
        </w:rPr>
        <w:t>441,14</w:t>
      </w:r>
      <w:r w:rsidRPr="00C66B20">
        <w:rPr>
          <w:rFonts w:ascii="Calibri" w:hAnsi="Calibri" w:cs="Calibri"/>
          <w:sz w:val="20"/>
          <w:szCs w:val="22"/>
        </w:rPr>
        <w:t xml:space="preserve"> m2</w:t>
      </w:r>
    </w:p>
    <w:p w:rsidR="00DE3E67" w:rsidRPr="00C66B20" w:rsidRDefault="00DE3E67" w:rsidP="00DE3E67">
      <w:pPr>
        <w:rPr>
          <w:rFonts w:ascii="Calibri" w:hAnsi="Calibri" w:cs="Calibri"/>
          <w:sz w:val="20"/>
          <w:szCs w:val="22"/>
        </w:rPr>
      </w:pPr>
      <w:r w:rsidRPr="00C66B20">
        <w:rPr>
          <w:rFonts w:ascii="Calibri" w:hAnsi="Calibri" w:cs="Calibri"/>
          <w:sz w:val="20"/>
          <w:szCs w:val="22"/>
        </w:rPr>
        <w:t>Zastavaná plocha jestvujúcimi objektami:</w:t>
      </w:r>
      <w:r w:rsidRPr="00C66B20">
        <w:rPr>
          <w:rFonts w:ascii="Calibri" w:hAnsi="Calibri" w:cs="Calibri"/>
          <w:sz w:val="20"/>
          <w:szCs w:val="22"/>
        </w:rPr>
        <w:tab/>
        <w:t xml:space="preserve">           21,50 m2</w:t>
      </w:r>
    </w:p>
    <w:p w:rsidR="00DE3E67" w:rsidRPr="00C66B20" w:rsidRDefault="00DE3E67" w:rsidP="00DE3E67">
      <w:pPr>
        <w:rPr>
          <w:rFonts w:ascii="Calibri" w:hAnsi="Calibri" w:cs="Calibri"/>
          <w:sz w:val="20"/>
          <w:szCs w:val="22"/>
        </w:rPr>
      </w:pPr>
      <w:r w:rsidRPr="00C66B20">
        <w:rPr>
          <w:rFonts w:ascii="Calibri" w:hAnsi="Calibri" w:cs="Calibri"/>
          <w:sz w:val="20"/>
          <w:szCs w:val="22"/>
        </w:rPr>
        <w:t>Plocha zelene na rastlom teréne:                             6715,90 m2</w:t>
      </w:r>
    </w:p>
    <w:p w:rsidR="00DE3E67" w:rsidRPr="00D9488B" w:rsidRDefault="00DE3E67" w:rsidP="00DE3E67">
      <w:pPr>
        <w:rPr>
          <w:rFonts w:ascii="Calibri" w:hAnsi="Calibri" w:cs="Calibri"/>
          <w:sz w:val="20"/>
        </w:rPr>
      </w:pPr>
    </w:p>
    <w:p w:rsidR="00DE3E67" w:rsidRPr="00D9488B" w:rsidRDefault="00DE3E67" w:rsidP="00DE3E67">
      <w:pPr>
        <w:pStyle w:val="Nadpis2"/>
        <w:numPr>
          <w:ilvl w:val="0"/>
          <w:numId w:val="0"/>
        </w:numPr>
        <w:jc w:val="both"/>
        <w:rPr>
          <w:rFonts w:ascii="Calibri" w:hAnsi="Calibri" w:cs="Calibri"/>
          <w:szCs w:val="20"/>
        </w:rPr>
      </w:pPr>
      <w:r w:rsidRPr="00D9488B">
        <w:rPr>
          <w:rFonts w:ascii="Calibri" w:hAnsi="Calibri" w:cs="Calibri"/>
          <w:szCs w:val="20"/>
        </w:rPr>
        <w:t>URBANISTICKÉ UKAZOVATELE</w:t>
      </w:r>
    </w:p>
    <w:p w:rsidR="00DE3E67" w:rsidRPr="00D9488B" w:rsidRDefault="00DE3E67" w:rsidP="00DE3E67">
      <w:pPr>
        <w:rPr>
          <w:rFonts w:ascii="Calibri" w:hAnsi="Calibri" w:cs="Calibri"/>
          <w:sz w:val="20"/>
        </w:rPr>
      </w:pPr>
    </w:p>
    <w:p w:rsidR="00DE3E67" w:rsidRPr="00D9488B" w:rsidRDefault="00DE3E67" w:rsidP="00DE3E67">
      <w:pPr>
        <w:rPr>
          <w:rFonts w:ascii="Calibri" w:hAnsi="Calibri" w:cs="Calibri"/>
          <w:sz w:val="20"/>
        </w:rPr>
      </w:pPr>
      <w:r w:rsidRPr="00D9488B">
        <w:rPr>
          <w:rFonts w:ascii="Calibri" w:hAnsi="Calibri" w:cs="Calibri"/>
          <w:sz w:val="20"/>
        </w:rPr>
        <w:t>Počet nadzemných podlaží:</w:t>
      </w:r>
      <w:r>
        <w:rPr>
          <w:rFonts w:ascii="Calibri" w:hAnsi="Calibri" w:cs="Calibri"/>
          <w:sz w:val="20"/>
        </w:rPr>
        <w:tab/>
        <w:t xml:space="preserve">                        </w:t>
      </w:r>
      <w:r w:rsidRPr="00D9488B">
        <w:rPr>
          <w:rFonts w:ascii="Calibri" w:hAnsi="Calibri" w:cs="Calibri"/>
          <w:sz w:val="20"/>
        </w:rPr>
        <w:t xml:space="preserve">  2</w:t>
      </w:r>
    </w:p>
    <w:p w:rsidR="00DE3E67" w:rsidRPr="00D9488B" w:rsidRDefault="00DE3E67" w:rsidP="00DE3E67">
      <w:pPr>
        <w:rPr>
          <w:rFonts w:ascii="Calibri" w:hAnsi="Calibri" w:cs="Calibri"/>
          <w:sz w:val="20"/>
        </w:rPr>
      </w:pPr>
      <w:r w:rsidRPr="00D9488B">
        <w:rPr>
          <w:rFonts w:ascii="Calibri" w:hAnsi="Calibri" w:cs="Calibri"/>
          <w:sz w:val="20"/>
        </w:rPr>
        <w:t>Počet podzemných podlaží:</w:t>
      </w:r>
      <w:r>
        <w:rPr>
          <w:rFonts w:ascii="Calibri" w:hAnsi="Calibri" w:cs="Calibri"/>
          <w:sz w:val="20"/>
        </w:rPr>
        <w:tab/>
        <w:t xml:space="preserve">                         </w:t>
      </w:r>
      <w:r w:rsidRPr="00D9488B">
        <w:rPr>
          <w:rFonts w:ascii="Calibri" w:hAnsi="Calibri" w:cs="Calibri"/>
          <w:sz w:val="20"/>
        </w:rPr>
        <w:t xml:space="preserve"> 1</w:t>
      </w:r>
    </w:p>
    <w:p w:rsidR="00DE3E67" w:rsidRPr="00D9488B" w:rsidRDefault="00DE3E67" w:rsidP="00DE3E67">
      <w:pPr>
        <w:rPr>
          <w:rFonts w:ascii="Calibri" w:hAnsi="Calibri" w:cs="Calibri"/>
          <w:sz w:val="20"/>
        </w:rPr>
      </w:pPr>
      <w:r w:rsidRPr="00D9488B">
        <w:rPr>
          <w:rFonts w:ascii="Calibri" w:hAnsi="Calibri" w:cs="Calibri"/>
          <w:sz w:val="20"/>
        </w:rPr>
        <w:t>Počet podzemných podlaží veže:</w:t>
      </w:r>
      <w:r w:rsidRPr="00D9488B">
        <w:rPr>
          <w:rFonts w:ascii="Calibri" w:hAnsi="Calibri" w:cs="Calibri"/>
          <w:sz w:val="20"/>
        </w:rPr>
        <w:tab/>
        <w:t xml:space="preserve">                </w:t>
      </w:r>
      <w:r>
        <w:rPr>
          <w:rFonts w:ascii="Calibri" w:hAnsi="Calibri" w:cs="Calibri"/>
          <w:sz w:val="20"/>
        </w:rPr>
        <w:t xml:space="preserve">          </w:t>
      </w:r>
      <w:r w:rsidRPr="00D9488B">
        <w:rPr>
          <w:rFonts w:ascii="Calibri" w:hAnsi="Calibri" w:cs="Calibri"/>
          <w:sz w:val="20"/>
        </w:rPr>
        <w:t>1</w:t>
      </w:r>
    </w:p>
    <w:p w:rsidR="00DE3E67" w:rsidRDefault="00DE3E67" w:rsidP="00DE3E67">
      <w:pPr>
        <w:rPr>
          <w:rFonts w:ascii="Calibri" w:hAnsi="Calibri" w:cs="Calibri"/>
          <w:sz w:val="20"/>
        </w:rPr>
      </w:pPr>
      <w:r w:rsidRPr="00D9488B">
        <w:rPr>
          <w:rFonts w:ascii="Calibri" w:hAnsi="Calibri" w:cs="Calibri"/>
          <w:sz w:val="20"/>
        </w:rPr>
        <w:t xml:space="preserve">Celkový počet parkovacích stojísk:                         </w:t>
      </w:r>
      <w:r>
        <w:rPr>
          <w:rFonts w:ascii="Calibri" w:hAnsi="Calibri" w:cs="Calibri"/>
          <w:sz w:val="20"/>
        </w:rPr>
        <w:t xml:space="preserve">  </w:t>
      </w:r>
      <w:r w:rsidRPr="00D9488B">
        <w:rPr>
          <w:rFonts w:ascii="Calibri" w:hAnsi="Calibri" w:cs="Calibri"/>
          <w:sz w:val="20"/>
        </w:rPr>
        <w:t xml:space="preserve"> 5</w:t>
      </w:r>
    </w:p>
    <w:p w:rsidR="00DE3E67" w:rsidRDefault="00DE3E67" w:rsidP="00DE3E67">
      <w:pPr>
        <w:rPr>
          <w:rFonts w:ascii="Calibri" w:hAnsi="Calibri" w:cs="Calibri"/>
          <w:sz w:val="20"/>
        </w:rPr>
      </w:pPr>
    </w:p>
    <w:p w:rsidR="00DE3E67" w:rsidRPr="00D9488B" w:rsidRDefault="00DE3E67" w:rsidP="00DE3E67">
      <w:pPr>
        <w:pStyle w:val="Nadpis2"/>
        <w:numPr>
          <w:ilvl w:val="0"/>
          <w:numId w:val="0"/>
        </w:numPr>
        <w:jc w:val="both"/>
        <w:rPr>
          <w:rFonts w:ascii="Calibri" w:hAnsi="Calibri" w:cs="Calibri"/>
          <w:szCs w:val="20"/>
        </w:rPr>
      </w:pPr>
      <w:r w:rsidRPr="00D9488B">
        <w:rPr>
          <w:rFonts w:ascii="Calibri" w:hAnsi="Calibri" w:cs="Calibri"/>
          <w:szCs w:val="20"/>
        </w:rPr>
        <w:t>BILANCIE PLÔCH JEDNOTLIVÝCH STAVEBNÝCH OBJEKTOV</w:t>
      </w:r>
    </w:p>
    <w:p w:rsidR="00DE3E67" w:rsidRPr="00D9488B" w:rsidRDefault="00DE3E67" w:rsidP="00DE3E67">
      <w:pPr>
        <w:rPr>
          <w:rFonts w:ascii="Calibri" w:hAnsi="Calibri" w:cs="Calibri"/>
          <w:sz w:val="20"/>
        </w:rPr>
      </w:pPr>
    </w:p>
    <w:p w:rsidR="00DE3E67" w:rsidRPr="0022365D" w:rsidRDefault="00DE3E67" w:rsidP="00DE3E67">
      <w:pPr>
        <w:rPr>
          <w:rFonts w:ascii="Calibri" w:hAnsi="Calibri" w:cs="Calibri"/>
          <w:sz w:val="20"/>
        </w:rPr>
      </w:pPr>
      <w:r w:rsidRPr="0022365D">
        <w:rPr>
          <w:rFonts w:ascii="Calibri" w:hAnsi="Calibri" w:cs="Calibri"/>
          <w:sz w:val="20"/>
        </w:rPr>
        <w:t>SO 01 / SHOWROOM S UBYTOVANÍM</w:t>
      </w:r>
    </w:p>
    <w:p w:rsidR="00DE3E67" w:rsidRPr="0022365D" w:rsidRDefault="00DE3E67" w:rsidP="00DE3E67">
      <w:pPr>
        <w:rPr>
          <w:rFonts w:ascii="Calibri" w:hAnsi="Calibri" w:cs="Calibri"/>
          <w:sz w:val="20"/>
        </w:rPr>
      </w:pPr>
      <w:r w:rsidRPr="0022365D">
        <w:rPr>
          <w:rFonts w:ascii="Calibri" w:hAnsi="Calibri" w:cs="Calibri"/>
          <w:sz w:val="20"/>
        </w:rPr>
        <w:t>Zastavaná plocha:                                                       97,46 m2</w:t>
      </w:r>
    </w:p>
    <w:p w:rsidR="00DE3E67" w:rsidRPr="0022365D" w:rsidRDefault="00DE3E67" w:rsidP="00DE3E67">
      <w:pPr>
        <w:rPr>
          <w:rFonts w:ascii="Calibri" w:hAnsi="Calibri" w:cs="Calibri"/>
          <w:sz w:val="20"/>
        </w:rPr>
      </w:pPr>
      <w:r w:rsidRPr="0022365D">
        <w:rPr>
          <w:rFonts w:ascii="Calibri" w:hAnsi="Calibri" w:cs="Calibri"/>
          <w:sz w:val="20"/>
        </w:rPr>
        <w:t>Úžitková plocha 1.NP:                                                75,47 m2</w:t>
      </w:r>
    </w:p>
    <w:p w:rsidR="00DE3E67" w:rsidRPr="0022365D" w:rsidRDefault="00DE3E67" w:rsidP="00DE3E67">
      <w:pPr>
        <w:rPr>
          <w:rFonts w:ascii="Calibri" w:hAnsi="Calibri" w:cs="Calibri"/>
          <w:sz w:val="20"/>
        </w:rPr>
      </w:pPr>
      <w:r w:rsidRPr="0022365D">
        <w:rPr>
          <w:rFonts w:ascii="Calibri" w:hAnsi="Calibri" w:cs="Calibri"/>
          <w:sz w:val="20"/>
        </w:rPr>
        <w:t>Úžitková plocha 2.NP:                                                41,41 m2</w:t>
      </w:r>
    </w:p>
    <w:p w:rsidR="00DE3E67" w:rsidRPr="0022365D" w:rsidRDefault="00DE3E67" w:rsidP="00DE3E67">
      <w:pPr>
        <w:rPr>
          <w:rFonts w:ascii="Calibri" w:hAnsi="Calibri" w:cs="Calibri"/>
          <w:sz w:val="20"/>
        </w:rPr>
      </w:pPr>
      <w:r w:rsidRPr="0022365D">
        <w:rPr>
          <w:rFonts w:ascii="Calibri" w:hAnsi="Calibri" w:cs="Calibri"/>
          <w:sz w:val="20"/>
        </w:rPr>
        <w:t>Celková úžitková plocha spolu:                                116,88 m2</w:t>
      </w:r>
    </w:p>
    <w:p w:rsidR="00DE3E67" w:rsidRPr="0022365D" w:rsidRDefault="00DE3E67" w:rsidP="00DE3E67">
      <w:pPr>
        <w:rPr>
          <w:rFonts w:ascii="Calibri" w:hAnsi="Calibri" w:cs="Calibri"/>
          <w:sz w:val="20"/>
        </w:rPr>
      </w:pPr>
      <w:r w:rsidRPr="0022365D">
        <w:rPr>
          <w:rFonts w:ascii="Calibri" w:hAnsi="Calibri" w:cs="Calibri"/>
          <w:sz w:val="20"/>
        </w:rPr>
        <w:t>Obostavaný objem:                                                    538,39 m3</w:t>
      </w:r>
    </w:p>
    <w:p w:rsidR="00DE3E67" w:rsidRPr="0022365D" w:rsidRDefault="00DE3E67" w:rsidP="00DE3E67">
      <w:pPr>
        <w:rPr>
          <w:rFonts w:ascii="Calibri" w:hAnsi="Calibri" w:cs="Calibri"/>
          <w:sz w:val="20"/>
        </w:rPr>
      </w:pPr>
      <w:r w:rsidRPr="0022365D">
        <w:rPr>
          <w:rFonts w:ascii="Calibri" w:hAnsi="Calibri" w:cs="Calibri"/>
          <w:sz w:val="20"/>
        </w:rPr>
        <w:t xml:space="preserve">Typ a sklon strechy: </w:t>
      </w:r>
      <w:r w:rsidRPr="0022365D">
        <w:rPr>
          <w:rFonts w:ascii="Calibri" w:hAnsi="Calibri" w:cs="Calibri"/>
          <w:sz w:val="20"/>
        </w:rPr>
        <w:tab/>
      </w:r>
      <w:r w:rsidRPr="0022365D">
        <w:rPr>
          <w:rFonts w:ascii="Calibri" w:hAnsi="Calibri" w:cs="Calibri"/>
          <w:sz w:val="20"/>
        </w:rPr>
        <w:tab/>
        <w:t xml:space="preserve">                         sedlová strecha so sklonom 45° </w:t>
      </w:r>
    </w:p>
    <w:p w:rsidR="00DE3E67" w:rsidRPr="0022365D" w:rsidRDefault="00DE3E67" w:rsidP="00DE3E67">
      <w:pPr>
        <w:rPr>
          <w:rFonts w:ascii="Calibri" w:hAnsi="Calibri" w:cs="Calibri"/>
          <w:sz w:val="20"/>
        </w:rPr>
      </w:pPr>
    </w:p>
    <w:p w:rsidR="00DE3E67" w:rsidRPr="0022365D" w:rsidRDefault="00DE3E67" w:rsidP="00DE3E67">
      <w:pPr>
        <w:rPr>
          <w:rFonts w:ascii="Calibri" w:hAnsi="Calibri" w:cs="Calibri"/>
          <w:sz w:val="20"/>
        </w:rPr>
      </w:pPr>
      <w:r w:rsidRPr="0022365D">
        <w:rPr>
          <w:rFonts w:ascii="Calibri" w:hAnsi="Calibri" w:cs="Calibri"/>
          <w:sz w:val="20"/>
        </w:rPr>
        <w:t>SO 02 / VINÁRSKA VÝROBA</w:t>
      </w:r>
    </w:p>
    <w:p w:rsidR="00DE3E67" w:rsidRPr="0022365D" w:rsidRDefault="00DE3E67" w:rsidP="00DE3E67">
      <w:pPr>
        <w:rPr>
          <w:rFonts w:ascii="Calibri" w:hAnsi="Calibri" w:cs="Calibri"/>
          <w:sz w:val="20"/>
        </w:rPr>
      </w:pPr>
      <w:r w:rsidRPr="0022365D">
        <w:rPr>
          <w:rFonts w:ascii="Calibri" w:hAnsi="Calibri" w:cs="Calibri"/>
          <w:sz w:val="20"/>
        </w:rPr>
        <w:lastRenderedPageBreak/>
        <w:t>Zastavaná plocha:                                                       254,65 m2</w:t>
      </w:r>
    </w:p>
    <w:p w:rsidR="00DE3E67" w:rsidRPr="0022365D" w:rsidRDefault="00DE3E67" w:rsidP="00DE3E67">
      <w:pPr>
        <w:rPr>
          <w:rFonts w:ascii="Calibri" w:hAnsi="Calibri" w:cs="Calibri"/>
          <w:sz w:val="20"/>
        </w:rPr>
      </w:pPr>
      <w:r w:rsidRPr="0022365D">
        <w:rPr>
          <w:rFonts w:ascii="Calibri" w:hAnsi="Calibri" w:cs="Calibri"/>
          <w:sz w:val="20"/>
        </w:rPr>
        <w:t>Úžitková plocha 1.PP:                                                 219,16 m2</w:t>
      </w:r>
    </w:p>
    <w:p w:rsidR="00DE3E67" w:rsidRPr="0022365D" w:rsidRDefault="00DE3E67" w:rsidP="00DE3E67">
      <w:pPr>
        <w:rPr>
          <w:rFonts w:ascii="Calibri" w:hAnsi="Calibri" w:cs="Calibri"/>
          <w:sz w:val="20"/>
        </w:rPr>
      </w:pPr>
      <w:r w:rsidRPr="0022365D">
        <w:rPr>
          <w:rFonts w:ascii="Calibri" w:hAnsi="Calibri" w:cs="Calibri"/>
          <w:sz w:val="20"/>
        </w:rPr>
        <w:t>Úžitková plocha 1.NP:                                                204,73 m2</w:t>
      </w:r>
    </w:p>
    <w:p w:rsidR="00DE3E67" w:rsidRPr="0022365D" w:rsidRDefault="00DE3E67" w:rsidP="00DE3E67">
      <w:pPr>
        <w:rPr>
          <w:rFonts w:ascii="Calibri" w:hAnsi="Calibri" w:cs="Calibri"/>
          <w:sz w:val="20"/>
        </w:rPr>
      </w:pPr>
      <w:r w:rsidRPr="0022365D">
        <w:rPr>
          <w:rFonts w:ascii="Calibri" w:hAnsi="Calibri" w:cs="Calibri"/>
          <w:sz w:val="20"/>
        </w:rPr>
        <w:t>Úžitková plocha 2.NP:                                                65,92 m2</w:t>
      </w:r>
    </w:p>
    <w:p w:rsidR="00DE3E67" w:rsidRPr="0022365D" w:rsidRDefault="00DE3E67" w:rsidP="00DE3E67">
      <w:pPr>
        <w:rPr>
          <w:rFonts w:ascii="Calibri" w:hAnsi="Calibri" w:cs="Calibri"/>
          <w:sz w:val="20"/>
        </w:rPr>
      </w:pPr>
      <w:r w:rsidRPr="0022365D">
        <w:rPr>
          <w:rFonts w:ascii="Calibri" w:hAnsi="Calibri" w:cs="Calibri"/>
          <w:sz w:val="20"/>
        </w:rPr>
        <w:t>Celková úžitková plocha spolu:                                489,81 m2</w:t>
      </w:r>
    </w:p>
    <w:p w:rsidR="00DE3E67" w:rsidRPr="0022365D" w:rsidRDefault="00DE3E67" w:rsidP="00DE3E67">
      <w:pPr>
        <w:rPr>
          <w:rFonts w:ascii="Calibri" w:hAnsi="Calibri" w:cs="Calibri"/>
          <w:sz w:val="20"/>
        </w:rPr>
      </w:pPr>
      <w:r w:rsidRPr="0022365D">
        <w:rPr>
          <w:rFonts w:ascii="Calibri" w:hAnsi="Calibri" w:cs="Calibri"/>
          <w:sz w:val="20"/>
        </w:rPr>
        <w:t>Obostavaný objem:                                                    2361,03 m3</w:t>
      </w:r>
    </w:p>
    <w:p w:rsidR="00DE3E67" w:rsidRPr="0022365D" w:rsidRDefault="00DE3E67" w:rsidP="00DE3E67">
      <w:pPr>
        <w:rPr>
          <w:rFonts w:ascii="Calibri" w:hAnsi="Calibri" w:cs="Calibri"/>
          <w:sz w:val="20"/>
        </w:rPr>
      </w:pPr>
      <w:r w:rsidRPr="0022365D">
        <w:rPr>
          <w:rFonts w:ascii="Calibri" w:hAnsi="Calibri" w:cs="Calibri"/>
          <w:sz w:val="20"/>
        </w:rPr>
        <w:t xml:space="preserve">Typ a sklon strechy: </w:t>
      </w:r>
      <w:r w:rsidRPr="0022365D">
        <w:rPr>
          <w:rFonts w:ascii="Calibri" w:hAnsi="Calibri" w:cs="Calibri"/>
          <w:sz w:val="20"/>
        </w:rPr>
        <w:tab/>
      </w:r>
      <w:r w:rsidRPr="0022365D">
        <w:rPr>
          <w:rFonts w:ascii="Calibri" w:hAnsi="Calibri" w:cs="Calibri"/>
          <w:sz w:val="20"/>
        </w:rPr>
        <w:tab/>
        <w:t xml:space="preserve">                         sedlová strecha so sklonom 45° </w:t>
      </w:r>
    </w:p>
    <w:p w:rsidR="00DE3E67" w:rsidRPr="0022365D" w:rsidRDefault="00DE3E67" w:rsidP="00DE3E67">
      <w:pPr>
        <w:rPr>
          <w:rFonts w:ascii="Calibri" w:hAnsi="Calibri" w:cs="Calibri"/>
          <w:sz w:val="20"/>
        </w:rPr>
      </w:pPr>
    </w:p>
    <w:p w:rsidR="00DE3E67" w:rsidRPr="0022365D" w:rsidRDefault="00DE3E67" w:rsidP="00DE3E67">
      <w:pPr>
        <w:rPr>
          <w:rFonts w:ascii="Calibri" w:hAnsi="Calibri" w:cs="Calibri"/>
          <w:sz w:val="20"/>
        </w:rPr>
      </w:pPr>
      <w:r w:rsidRPr="0022365D">
        <w:rPr>
          <w:rFonts w:ascii="Calibri" w:hAnsi="Calibri" w:cs="Calibri"/>
          <w:sz w:val="20"/>
        </w:rPr>
        <w:t>SO 03 / HOSPODÁRSKY OBJEKT</w:t>
      </w:r>
    </w:p>
    <w:p w:rsidR="00DE3E67" w:rsidRPr="0022365D" w:rsidRDefault="00DE3E67" w:rsidP="00DE3E67">
      <w:pPr>
        <w:rPr>
          <w:rFonts w:ascii="Calibri" w:hAnsi="Calibri" w:cs="Calibri"/>
          <w:sz w:val="20"/>
        </w:rPr>
      </w:pPr>
      <w:r w:rsidRPr="0022365D">
        <w:rPr>
          <w:rFonts w:ascii="Calibri" w:hAnsi="Calibri" w:cs="Calibri"/>
          <w:sz w:val="20"/>
        </w:rPr>
        <w:t>Zastavaná plocha:                                                       89,03 m2</w:t>
      </w:r>
    </w:p>
    <w:p w:rsidR="00DE3E67" w:rsidRPr="0022365D" w:rsidRDefault="00DE3E67" w:rsidP="00DE3E67">
      <w:pPr>
        <w:rPr>
          <w:rFonts w:ascii="Calibri" w:hAnsi="Calibri" w:cs="Calibri"/>
          <w:sz w:val="20"/>
        </w:rPr>
      </w:pPr>
      <w:r w:rsidRPr="0022365D">
        <w:rPr>
          <w:rFonts w:ascii="Calibri" w:hAnsi="Calibri" w:cs="Calibri"/>
          <w:sz w:val="20"/>
        </w:rPr>
        <w:t>Úžitková plocha 1.NP:                                                75,03 m2</w:t>
      </w:r>
    </w:p>
    <w:p w:rsidR="00DE3E67" w:rsidRPr="0022365D" w:rsidRDefault="00DE3E67" w:rsidP="00DE3E67">
      <w:pPr>
        <w:rPr>
          <w:rFonts w:ascii="Calibri" w:hAnsi="Calibri" w:cs="Calibri"/>
          <w:sz w:val="20"/>
        </w:rPr>
      </w:pPr>
      <w:r w:rsidRPr="0022365D">
        <w:rPr>
          <w:rFonts w:ascii="Calibri" w:hAnsi="Calibri" w:cs="Calibri"/>
          <w:sz w:val="20"/>
        </w:rPr>
        <w:t>Celková úžitková plocha spolu:                                75,03 m2</w:t>
      </w:r>
    </w:p>
    <w:p w:rsidR="00DE3E67" w:rsidRPr="0022365D" w:rsidRDefault="00DE3E67" w:rsidP="00DE3E67">
      <w:pPr>
        <w:rPr>
          <w:rFonts w:ascii="Calibri" w:hAnsi="Calibri" w:cs="Calibri"/>
          <w:sz w:val="20"/>
        </w:rPr>
      </w:pPr>
      <w:r w:rsidRPr="0022365D">
        <w:rPr>
          <w:rFonts w:ascii="Calibri" w:hAnsi="Calibri" w:cs="Calibri"/>
          <w:sz w:val="20"/>
        </w:rPr>
        <w:t>Obostavaný objem:                                                    412,30 m3</w:t>
      </w:r>
    </w:p>
    <w:p w:rsidR="00DE3E67" w:rsidRPr="0022365D" w:rsidRDefault="00DE3E67" w:rsidP="00DE3E67">
      <w:pPr>
        <w:rPr>
          <w:rFonts w:ascii="Calibri" w:hAnsi="Calibri" w:cs="Calibri"/>
          <w:sz w:val="20"/>
        </w:rPr>
      </w:pPr>
      <w:r w:rsidRPr="0022365D">
        <w:rPr>
          <w:rFonts w:ascii="Calibri" w:hAnsi="Calibri" w:cs="Calibri"/>
          <w:sz w:val="20"/>
        </w:rPr>
        <w:t xml:space="preserve">Typ a sklon strechy: </w:t>
      </w:r>
      <w:r w:rsidRPr="0022365D">
        <w:rPr>
          <w:rFonts w:ascii="Calibri" w:hAnsi="Calibri" w:cs="Calibri"/>
          <w:sz w:val="20"/>
        </w:rPr>
        <w:tab/>
      </w:r>
      <w:r w:rsidRPr="0022365D">
        <w:rPr>
          <w:rFonts w:ascii="Calibri" w:hAnsi="Calibri" w:cs="Calibri"/>
          <w:sz w:val="20"/>
        </w:rPr>
        <w:tab/>
        <w:t xml:space="preserve">                         sedlová strecha so sklonom 45° </w:t>
      </w:r>
    </w:p>
    <w:p w:rsidR="00DE3E67" w:rsidRPr="0022365D" w:rsidRDefault="00DE3E67" w:rsidP="00DE3E67">
      <w:pPr>
        <w:rPr>
          <w:rFonts w:ascii="Calibri" w:hAnsi="Calibri" w:cs="Calibri"/>
          <w:sz w:val="20"/>
        </w:rPr>
      </w:pPr>
    </w:p>
    <w:p w:rsidR="00DE3E67" w:rsidRPr="0022365D" w:rsidRDefault="00DE3E67" w:rsidP="00DE3E67">
      <w:pPr>
        <w:rPr>
          <w:rFonts w:ascii="Calibri" w:hAnsi="Calibri" w:cs="Calibri"/>
          <w:sz w:val="20"/>
        </w:rPr>
      </w:pPr>
      <w:r w:rsidRPr="0022365D">
        <w:rPr>
          <w:rFonts w:ascii="Calibri" w:hAnsi="Calibri" w:cs="Calibri"/>
          <w:sz w:val="20"/>
        </w:rPr>
        <w:t>SO 04 / JESTVUJÚCA PIVNICA</w:t>
      </w:r>
    </w:p>
    <w:p w:rsidR="00DE3E67" w:rsidRPr="0022365D" w:rsidRDefault="00DE3E67" w:rsidP="00DE3E67">
      <w:pPr>
        <w:rPr>
          <w:rFonts w:ascii="Calibri" w:hAnsi="Calibri" w:cs="Calibri"/>
          <w:sz w:val="20"/>
        </w:rPr>
      </w:pPr>
      <w:r w:rsidRPr="0022365D">
        <w:rPr>
          <w:rFonts w:ascii="Calibri" w:hAnsi="Calibri" w:cs="Calibri"/>
          <w:sz w:val="20"/>
        </w:rPr>
        <w:t>Úžitková plocha 1.PP:                                                48,05 m2</w:t>
      </w:r>
    </w:p>
    <w:p w:rsidR="00DE3E67" w:rsidRPr="0022365D" w:rsidRDefault="00DE3E67" w:rsidP="00DE3E67">
      <w:pPr>
        <w:rPr>
          <w:rFonts w:ascii="Calibri" w:hAnsi="Calibri" w:cs="Calibri"/>
          <w:sz w:val="20"/>
        </w:rPr>
      </w:pPr>
      <w:r w:rsidRPr="0022365D">
        <w:rPr>
          <w:rFonts w:ascii="Calibri" w:hAnsi="Calibri" w:cs="Calibri"/>
          <w:sz w:val="20"/>
        </w:rPr>
        <w:t>Celková úžitková plocha spolu:                                48,05 m2</w:t>
      </w:r>
    </w:p>
    <w:p w:rsidR="00DE3E67" w:rsidRPr="0022365D" w:rsidRDefault="00DE3E67" w:rsidP="00DE3E67">
      <w:pPr>
        <w:rPr>
          <w:rFonts w:ascii="Calibri" w:hAnsi="Calibri" w:cs="Calibri"/>
          <w:sz w:val="20"/>
        </w:rPr>
      </w:pPr>
      <w:r w:rsidRPr="0022365D">
        <w:rPr>
          <w:rFonts w:ascii="Calibri" w:hAnsi="Calibri" w:cs="Calibri"/>
          <w:sz w:val="20"/>
        </w:rPr>
        <w:t>Obostavaný objem:                                                    146,70 m3</w:t>
      </w:r>
    </w:p>
    <w:p w:rsidR="00DE3E67" w:rsidRPr="0022365D" w:rsidRDefault="00DE3E67" w:rsidP="00DE3E67">
      <w:pPr>
        <w:rPr>
          <w:rFonts w:ascii="Calibri" w:hAnsi="Calibri" w:cs="Calibri"/>
          <w:sz w:val="20"/>
        </w:rPr>
      </w:pPr>
      <w:r w:rsidRPr="0022365D">
        <w:rPr>
          <w:rFonts w:ascii="Calibri" w:hAnsi="Calibri" w:cs="Calibri"/>
          <w:sz w:val="20"/>
        </w:rPr>
        <w:t xml:space="preserve">Typ a sklon strechy: </w:t>
      </w:r>
      <w:r w:rsidRPr="0022365D">
        <w:rPr>
          <w:rFonts w:ascii="Calibri" w:hAnsi="Calibri" w:cs="Calibri"/>
          <w:sz w:val="20"/>
        </w:rPr>
        <w:tab/>
      </w:r>
      <w:r w:rsidRPr="0022365D">
        <w:rPr>
          <w:rFonts w:ascii="Calibri" w:hAnsi="Calibri" w:cs="Calibri"/>
          <w:sz w:val="20"/>
        </w:rPr>
        <w:tab/>
        <w:t xml:space="preserve">                         jestvujúca klenba </w:t>
      </w:r>
    </w:p>
    <w:p w:rsidR="00DE3E67" w:rsidRPr="0022365D" w:rsidRDefault="00DE3E67" w:rsidP="00DE3E67">
      <w:pPr>
        <w:rPr>
          <w:rFonts w:ascii="Calibri" w:hAnsi="Calibri" w:cs="Calibri"/>
          <w:sz w:val="20"/>
        </w:rPr>
      </w:pPr>
    </w:p>
    <w:p w:rsidR="00DE3E67" w:rsidRDefault="00DE3E67" w:rsidP="00DE3E67">
      <w:pPr>
        <w:jc w:val="both"/>
        <w:rPr>
          <w:rFonts w:ascii="Calibri" w:hAnsi="Calibri" w:cs="Calibri"/>
          <w:sz w:val="20"/>
        </w:rPr>
      </w:pPr>
    </w:p>
    <w:p w:rsidR="00DE3E67" w:rsidRDefault="00DE3E67" w:rsidP="00DE3E67">
      <w:pPr>
        <w:jc w:val="both"/>
        <w:rPr>
          <w:rFonts w:ascii="Calibri" w:hAnsi="Calibri" w:cs="Calibri"/>
          <w:sz w:val="20"/>
        </w:rPr>
      </w:pPr>
    </w:p>
    <w:p w:rsidR="00DE3E67" w:rsidRPr="003B0C2B" w:rsidRDefault="00DE3E67" w:rsidP="00DE3E67">
      <w:pPr>
        <w:jc w:val="both"/>
        <w:rPr>
          <w:rFonts w:ascii="Calibri" w:hAnsi="Calibri" w:cs="Calibri"/>
          <w:b/>
          <w:sz w:val="20"/>
        </w:rPr>
      </w:pPr>
      <w:r w:rsidRPr="003B0C2B">
        <w:rPr>
          <w:rFonts w:ascii="Calibri" w:hAnsi="Calibri" w:cs="Calibri"/>
          <w:b/>
          <w:sz w:val="20"/>
        </w:rPr>
        <w:t>ZÁKLADNÉ  ÚDAJE CHARAKTERIZUJÚCE STAVBU</w:t>
      </w:r>
    </w:p>
    <w:p w:rsidR="00DE3E67" w:rsidRPr="00D02120" w:rsidRDefault="00DE3E67" w:rsidP="00DE3E67">
      <w:pPr>
        <w:autoSpaceDE w:val="0"/>
        <w:autoSpaceDN w:val="0"/>
        <w:adjustRightInd w:val="0"/>
        <w:jc w:val="both"/>
        <w:rPr>
          <w:rFonts w:ascii="Calibri" w:hAnsi="Calibri" w:cs="Calibri"/>
          <w:iCs/>
          <w:sz w:val="20"/>
        </w:rPr>
      </w:pPr>
      <w:r w:rsidRPr="00D02120">
        <w:rPr>
          <w:rFonts w:ascii="Calibri" w:hAnsi="Calibri" w:cs="Calibri"/>
          <w:iCs/>
          <w:sz w:val="20"/>
        </w:rPr>
        <w:tab/>
      </w:r>
    </w:p>
    <w:p w:rsidR="00DE3E67" w:rsidRDefault="00DE3E67" w:rsidP="00DE3E67">
      <w:pPr>
        <w:autoSpaceDE w:val="0"/>
        <w:autoSpaceDN w:val="0"/>
        <w:adjustRightInd w:val="0"/>
        <w:jc w:val="both"/>
        <w:rPr>
          <w:rFonts w:ascii="Calibri" w:hAnsi="Calibri" w:cs="Calibri"/>
          <w:iCs/>
          <w:sz w:val="20"/>
        </w:rPr>
      </w:pPr>
      <w:r w:rsidRPr="000E07FD">
        <w:rPr>
          <w:rFonts w:ascii="Calibri" w:hAnsi="Calibri" w:cs="Calibri"/>
          <w:iCs/>
          <w:sz w:val="20"/>
        </w:rPr>
        <w:t>Predmetná dokumentácia sa týka</w:t>
      </w:r>
      <w:r>
        <w:rPr>
          <w:rFonts w:ascii="Calibri" w:hAnsi="Calibri" w:cs="Calibri"/>
          <w:iCs/>
          <w:sz w:val="20"/>
        </w:rPr>
        <w:t xml:space="preserve"> novostavby komplexu Vinárstva S.</w:t>
      </w:r>
    </w:p>
    <w:p w:rsidR="00DE3E67" w:rsidRDefault="00DE3E67" w:rsidP="00DE3E67">
      <w:pPr>
        <w:autoSpaceDE w:val="0"/>
        <w:autoSpaceDN w:val="0"/>
        <w:adjustRightInd w:val="0"/>
        <w:jc w:val="both"/>
        <w:rPr>
          <w:rFonts w:ascii="Calibri" w:hAnsi="Calibri" w:cs="Calibri"/>
          <w:iCs/>
          <w:sz w:val="20"/>
        </w:rPr>
      </w:pPr>
    </w:p>
    <w:p w:rsidR="00DE3E67" w:rsidRDefault="00DE3E67" w:rsidP="00DE3E67">
      <w:pPr>
        <w:jc w:val="both"/>
        <w:rPr>
          <w:rFonts w:ascii="Calibri" w:hAnsi="Calibri" w:cs="Calibri"/>
          <w:sz w:val="20"/>
        </w:rPr>
      </w:pPr>
      <w:r w:rsidRPr="00A761C1">
        <w:rPr>
          <w:rFonts w:ascii="Calibri" w:hAnsi="Calibri" w:cs="Calibri"/>
          <w:sz w:val="20"/>
        </w:rPr>
        <w:t xml:space="preserve">Riešené územie sa nachádza v extraviláne obce Strekov, v lokalite Vinohrady – Stredný vrch, približne 2 kilometre od Hlavnej ulice. Obec Strekov leží 27 km od okresného mesta Nové Zámky. </w:t>
      </w:r>
    </w:p>
    <w:p w:rsidR="00DE3E67" w:rsidRDefault="00DE3E67" w:rsidP="00DE3E67">
      <w:pPr>
        <w:jc w:val="both"/>
        <w:rPr>
          <w:rFonts w:ascii="Calibri" w:hAnsi="Calibri" w:cs="Calibri"/>
          <w:sz w:val="20"/>
        </w:rPr>
      </w:pPr>
      <w:r w:rsidRPr="00A761C1">
        <w:rPr>
          <w:rFonts w:ascii="Calibri" w:hAnsi="Calibri" w:cs="Calibri"/>
          <w:sz w:val="20"/>
        </w:rPr>
        <w:t xml:space="preserve">Pozemok navrhovaného Vinárstva S je situovaný uprostred drobnej vidieckej zástavby prízemných podpivničených domov, slúžiacich pre potreby okolitých vínnych prevádzok. Má prevažne obdĺžnikový tvar a je zložený z niekoľkých úzkych podlhovastých parciel s orientáciou na juhozápad-severovýchod. Prístup na pozemok sa nachádza z jeho juhozápadnej strany, ktorá hraničí s miestnou spevnenou komunikáciou. Z hľadiska funkčnej náplne tvorí jeho prevažnú časť vinohrad, doplnený drobnou architektúrou v podobe </w:t>
      </w:r>
      <w:r>
        <w:rPr>
          <w:rFonts w:ascii="Calibri" w:hAnsi="Calibri" w:cs="Calibri"/>
          <w:sz w:val="20"/>
        </w:rPr>
        <w:t>2</w:t>
      </w:r>
      <w:r w:rsidRPr="00A761C1">
        <w:rPr>
          <w:rFonts w:ascii="Calibri" w:hAnsi="Calibri" w:cs="Calibri"/>
          <w:sz w:val="20"/>
        </w:rPr>
        <w:t xml:space="preserve"> </w:t>
      </w:r>
      <w:r>
        <w:rPr>
          <w:rFonts w:ascii="Calibri" w:hAnsi="Calibri" w:cs="Calibri"/>
          <w:sz w:val="20"/>
        </w:rPr>
        <w:t xml:space="preserve">jestvujúcich </w:t>
      </w:r>
      <w:r w:rsidRPr="00A761C1">
        <w:rPr>
          <w:rFonts w:ascii="Calibri" w:hAnsi="Calibri" w:cs="Calibri"/>
          <w:sz w:val="20"/>
        </w:rPr>
        <w:t>prízemných stavieb</w:t>
      </w:r>
      <w:r>
        <w:rPr>
          <w:rFonts w:ascii="Calibri" w:hAnsi="Calibri" w:cs="Calibri"/>
          <w:sz w:val="20"/>
        </w:rPr>
        <w:t xml:space="preserve"> z čoho 1 je určená na asanáciu.</w:t>
      </w:r>
    </w:p>
    <w:p w:rsidR="00DE3E67" w:rsidRPr="00A761C1" w:rsidRDefault="00DE3E67" w:rsidP="00DE3E67">
      <w:pPr>
        <w:jc w:val="both"/>
        <w:rPr>
          <w:rFonts w:ascii="Calibri" w:hAnsi="Calibri" w:cs="Calibri"/>
          <w:sz w:val="20"/>
        </w:rPr>
      </w:pPr>
      <w:r>
        <w:rPr>
          <w:rFonts w:ascii="Calibri" w:hAnsi="Calibri" w:cs="Calibri"/>
          <w:sz w:val="20"/>
        </w:rPr>
        <w:t xml:space="preserve">Na pozemku sa nachádza aj jedna pôvodná vínna pivnica, ktorá bude zachovaná a integrovaná do novonavrhovaného komplexu. Na pozemku sa nachádzajú aj niekoľko drevín v juhozápadnej časti pozemku s ktorými budeme pracovať v zmysle navrhovných sadových úprav. </w:t>
      </w:r>
      <w:r w:rsidRPr="00A761C1">
        <w:rPr>
          <w:rFonts w:ascii="Calibri" w:hAnsi="Calibri" w:cs="Calibri"/>
          <w:sz w:val="20"/>
        </w:rPr>
        <w:tab/>
      </w:r>
    </w:p>
    <w:p w:rsidR="00DE3E67" w:rsidRDefault="00DE3E67" w:rsidP="00DE3E67">
      <w:pPr>
        <w:jc w:val="both"/>
        <w:rPr>
          <w:rFonts w:ascii="Calibri" w:hAnsi="Calibri" w:cs="Calibri"/>
          <w:sz w:val="20"/>
        </w:rPr>
      </w:pPr>
    </w:p>
    <w:p w:rsidR="00DE3E67" w:rsidRDefault="00DE3E67" w:rsidP="00DE3E67">
      <w:pPr>
        <w:jc w:val="both"/>
        <w:rPr>
          <w:rFonts w:ascii="Calibri" w:hAnsi="Calibri" w:cs="Calibri"/>
          <w:sz w:val="20"/>
        </w:rPr>
      </w:pPr>
      <w:r w:rsidRPr="000E07FD">
        <w:rPr>
          <w:rFonts w:ascii="Calibri" w:hAnsi="Calibri" w:cs="Calibri"/>
          <w:sz w:val="20"/>
        </w:rPr>
        <w:t xml:space="preserve">Zámerom stavebníka je </w:t>
      </w:r>
      <w:r>
        <w:rPr>
          <w:rFonts w:ascii="Calibri" w:hAnsi="Calibri" w:cs="Calibri"/>
          <w:sz w:val="20"/>
        </w:rPr>
        <w:t xml:space="preserve">na tomto pozemku </w:t>
      </w:r>
      <w:r w:rsidRPr="000E07FD">
        <w:rPr>
          <w:rFonts w:ascii="Calibri" w:hAnsi="Calibri" w:cs="Calibri"/>
          <w:sz w:val="20"/>
        </w:rPr>
        <w:t xml:space="preserve">vybudovať súbor objektov vinárstva, ktoré v sebe združujú komplexnú prevádzku výroby (zber, lisovanie, fľaškovanie) až po samotnú degustáciu a prezentáciu vinárskych výrobkov (vrátane možnosti krátkodobého ubytovania, expozičných priestorov a vyhliadky). </w:t>
      </w:r>
    </w:p>
    <w:p w:rsidR="00DE3E67" w:rsidRDefault="00DE3E67" w:rsidP="00DE3E67">
      <w:pPr>
        <w:jc w:val="both"/>
        <w:rPr>
          <w:rFonts w:ascii="Calibri" w:hAnsi="Calibri" w:cs="Calibri"/>
          <w:sz w:val="20"/>
        </w:rPr>
      </w:pPr>
      <w:r>
        <w:rPr>
          <w:rFonts w:ascii="Calibri" w:hAnsi="Calibri" w:cs="Calibri"/>
          <w:sz w:val="20"/>
        </w:rPr>
        <w:t>Komplex vinárstva pozostáva z 5 stavieb: SO 01 - showroom s ubytovaním, SO 02 – vinárska výroba, SO 03 – hospodársky objekt, SO 04 – jestvujúca pivnica.</w:t>
      </w:r>
    </w:p>
    <w:p w:rsidR="00DE3E67" w:rsidRDefault="00DE3E67" w:rsidP="00DE3E67">
      <w:pPr>
        <w:jc w:val="both"/>
        <w:rPr>
          <w:rFonts w:ascii="Calibri" w:hAnsi="Calibri" w:cs="Calibri"/>
          <w:sz w:val="20"/>
        </w:rPr>
      </w:pPr>
    </w:p>
    <w:p w:rsidR="00DE3E67" w:rsidRDefault="00DE3E67" w:rsidP="00DE3E67">
      <w:pPr>
        <w:jc w:val="both"/>
        <w:rPr>
          <w:rFonts w:ascii="Calibri" w:hAnsi="Calibri" w:cs="Calibri"/>
          <w:sz w:val="20"/>
        </w:rPr>
      </w:pPr>
      <w:r>
        <w:rPr>
          <w:rFonts w:ascii="Calibri" w:hAnsi="Calibri" w:cs="Calibri"/>
          <w:sz w:val="20"/>
        </w:rPr>
        <w:t xml:space="preserve">Hmoty vinárstva </w:t>
      </w:r>
      <w:r w:rsidRPr="000E07FD">
        <w:rPr>
          <w:rFonts w:ascii="Calibri" w:hAnsi="Calibri" w:cs="Calibri"/>
          <w:sz w:val="20"/>
        </w:rPr>
        <w:t>citlivo reaguj</w:t>
      </w:r>
      <w:r>
        <w:rPr>
          <w:rFonts w:ascii="Calibri" w:hAnsi="Calibri" w:cs="Calibri"/>
          <w:sz w:val="20"/>
        </w:rPr>
        <w:t>ú</w:t>
      </w:r>
      <w:r w:rsidRPr="000E07FD">
        <w:rPr>
          <w:rFonts w:ascii="Calibri" w:hAnsi="Calibri" w:cs="Calibri"/>
          <w:sz w:val="20"/>
        </w:rPr>
        <w:t xml:space="preserve"> na svoje okolie a prevádzka celého komplexu je rozčlenená do niekoľkých samostatných funkčných celkov, ktoré sú v súlade s mierkou okolitých stavieb. Zároveň rozčlenenie celého vinárstva na viacero samostatných objektov umožňuje stavbe urbanizovať svoje prostredie a okrem samotných vnútorných priestorov vytvoriť aj viaceré pobytové dvory (</w:t>
      </w:r>
      <w:r>
        <w:rPr>
          <w:rFonts w:ascii="Calibri" w:hAnsi="Calibri" w:cs="Calibri"/>
          <w:sz w:val="20"/>
        </w:rPr>
        <w:t xml:space="preserve">dubový </w:t>
      </w:r>
      <w:r w:rsidRPr="000E07FD">
        <w:rPr>
          <w:rFonts w:ascii="Calibri" w:hAnsi="Calibri" w:cs="Calibri"/>
          <w:sz w:val="20"/>
        </w:rPr>
        <w:t xml:space="preserve">dvor, hospodársky dvor, </w:t>
      </w:r>
      <w:r>
        <w:rPr>
          <w:rFonts w:ascii="Calibri" w:hAnsi="Calibri" w:cs="Calibri"/>
          <w:sz w:val="20"/>
        </w:rPr>
        <w:t>jaseňová aleja</w:t>
      </w:r>
      <w:r w:rsidRPr="000E07FD">
        <w:rPr>
          <w:rFonts w:ascii="Calibri" w:hAnsi="Calibri" w:cs="Calibri"/>
          <w:sz w:val="20"/>
        </w:rPr>
        <w:t xml:space="preserve">) a záhrady, čím sa rozširuje pobytová a priestorová kvalita celého komplexu. </w:t>
      </w:r>
    </w:p>
    <w:p w:rsidR="00DE3E67" w:rsidRDefault="00DE3E67" w:rsidP="00DE3E67">
      <w:pPr>
        <w:jc w:val="both"/>
        <w:rPr>
          <w:rFonts w:ascii="Calibri" w:hAnsi="Calibri" w:cs="Calibri"/>
          <w:sz w:val="20"/>
        </w:rPr>
      </w:pPr>
    </w:p>
    <w:p w:rsidR="00DE3E67" w:rsidRDefault="00DE3E67" w:rsidP="00DE3E67">
      <w:pPr>
        <w:jc w:val="both"/>
        <w:rPr>
          <w:rFonts w:ascii="Calibri" w:hAnsi="Calibri" w:cs="Calibri"/>
          <w:sz w:val="20"/>
        </w:rPr>
      </w:pPr>
      <w:r w:rsidRPr="00224E05">
        <w:rPr>
          <w:rFonts w:ascii="Calibri" w:hAnsi="Calibri" w:cs="Calibri"/>
          <w:sz w:val="20"/>
        </w:rPr>
        <w:t xml:space="preserve">Z architektonického hľadiska sú všetky objekty vinárstva výtvarne stvárnené tak, aby splynuli s okolitou zástavbou a rozvíjali tradičnú architektúru tohoto vinárskeho regiónu. Všetky objekty sú murované, jednopodlažné (SO 01 – SO 03) so sedlovou strechou. Objekt hlavnej výroby (SO 02) je podpivničený tak, aby poskytoval dostatok priestoru na uskladnenie nerezových a drevených sudov a zároveň integroval historickú zachovanú pivnicu do novo navrhovanej stavby. Pôvodné historické priestory pivnice (SO 04) budú slúžiť na uskladnenie archívnych druhov vína. Priestory 2.NP sú tvorené iba podkrovím objektov (SO 01 – SO 03), ktoré slúžia ako doplňujúce </w:t>
      </w:r>
      <w:r w:rsidRPr="00224E05">
        <w:rPr>
          <w:rFonts w:ascii="Calibri" w:hAnsi="Calibri" w:cs="Calibri"/>
          <w:sz w:val="20"/>
        </w:rPr>
        <w:lastRenderedPageBreak/>
        <w:t xml:space="preserve">sklady a ubytovanie. Reprezentačné stavby vinárskej výroby a showroomu s ubytovaním pokrýva tradičná hlinená omietka jemne béžovej farby. Nový výtvarný prvok navrhovaných domov vytvárajú klenbové fasádne otvory vyplnené bezrámovými sklenými tabulami a dvernými krídlami s dreveným rámom. Tie jemne štrukturujú uličné fasády a presvetľujú vnútorné reprezentačné priestory. Ich architektúra však nie je náhodná, takéto výtvarné stvárnenie opäť odkazuje na tradičné klenbové priestory, charakteristické pre vínne pivnice, ako aj brány remeselníckych a vinohradníckych stavieb. Hospodársky objekt, stojaci za domom vínnej výroby je tvarovo zhodný so stavbami showroomu a výroby, jeho fasáda je ale naopak tvorená dreveným obložením prírodnej farby, čím reflektuje svoju funkciu „šopy“, teda skladu a technických miestností. </w:t>
      </w:r>
    </w:p>
    <w:p w:rsidR="00DE3E67" w:rsidRPr="00224E05" w:rsidRDefault="00DE3E67" w:rsidP="00DE3E67">
      <w:pPr>
        <w:jc w:val="both"/>
        <w:rPr>
          <w:rFonts w:ascii="Calibri" w:hAnsi="Calibri" w:cs="Calibri"/>
          <w:sz w:val="20"/>
        </w:rPr>
      </w:pPr>
      <w:r w:rsidRPr="00224E05">
        <w:rPr>
          <w:rFonts w:ascii="Calibri" w:hAnsi="Calibri" w:cs="Calibri"/>
          <w:sz w:val="20"/>
        </w:rPr>
        <w:t>Odlišné architektonické stvárnenie je naopak aplikované v návrhu vyhliadkovej veže. Jej nástupný priestor, zahrňujúci menšiu výstavnú miestnosť a vstup do vežovej časti je zasadený do terénu tak, aby nad terénom zostala viditeľná len jednoduchá silueta hlavnej veže. Tá je stavebne navrhnutá z oceľovej demontovateľnej konštrukcie a ľahkého obvodového plášťa z dreveného latovania.</w:t>
      </w:r>
    </w:p>
    <w:p w:rsidR="00DE3E67" w:rsidRDefault="00DE3E67" w:rsidP="00DE3E67">
      <w:pPr>
        <w:autoSpaceDE w:val="0"/>
        <w:autoSpaceDN w:val="0"/>
        <w:adjustRightInd w:val="0"/>
        <w:jc w:val="both"/>
        <w:rPr>
          <w:rFonts w:ascii="Calibri" w:hAnsi="Calibri" w:cs="Calibri"/>
          <w:sz w:val="20"/>
        </w:rPr>
      </w:pPr>
      <w:r w:rsidRPr="009E2EC2">
        <w:rPr>
          <w:rFonts w:ascii="Calibri" w:hAnsi="Calibri" w:cs="Calibri"/>
          <w:iCs/>
          <w:sz w:val="20"/>
        </w:rPr>
        <w:t xml:space="preserve">Nosnú konštrukciu </w:t>
      </w:r>
      <w:r>
        <w:rPr>
          <w:rFonts w:ascii="Calibri" w:hAnsi="Calibri" w:cs="Calibri"/>
          <w:iCs/>
          <w:sz w:val="20"/>
        </w:rPr>
        <w:t xml:space="preserve">objektov SO 01 a SO 02 </w:t>
      </w:r>
      <w:r w:rsidRPr="009E2EC2">
        <w:rPr>
          <w:rFonts w:ascii="Calibri" w:hAnsi="Calibri" w:cs="Calibri"/>
          <w:iCs/>
          <w:sz w:val="20"/>
        </w:rPr>
        <w:t xml:space="preserve">tvoria murované steny o hrúbke </w:t>
      </w:r>
      <w:r>
        <w:rPr>
          <w:rFonts w:ascii="Calibri" w:hAnsi="Calibri" w:cs="Calibri"/>
          <w:iCs/>
          <w:sz w:val="20"/>
        </w:rPr>
        <w:t>300mm s dodatočným zateplením v hrúbke 100 -150 mm z minerálnej izolácie. Pri objekte SO 02 je v rámci podzemného podlažia použitý na konštrukciu stien pohľadový železobetón. Nosná konštrukcia objektu  SO 03 je z priznaných betónových debniacich tvárnic v hrúbke 300mm. Konštrukciu stropov pri všetkých objektoch tvoria monolitické železobetónové dosky. O</w:t>
      </w:r>
      <w:r w:rsidRPr="009E2EC2">
        <w:rPr>
          <w:rFonts w:ascii="Calibri" w:hAnsi="Calibri" w:cs="Calibri"/>
          <w:iCs/>
          <w:sz w:val="20"/>
        </w:rPr>
        <w:t>bjekt</w:t>
      </w:r>
      <w:r>
        <w:rPr>
          <w:rFonts w:ascii="Calibri" w:hAnsi="Calibri" w:cs="Calibri"/>
          <w:iCs/>
          <w:sz w:val="20"/>
        </w:rPr>
        <w:t xml:space="preserve">y sú </w:t>
      </w:r>
      <w:r w:rsidRPr="009E2EC2">
        <w:rPr>
          <w:rFonts w:ascii="Calibri" w:hAnsi="Calibri" w:cs="Calibri"/>
          <w:iCs/>
          <w:sz w:val="20"/>
        </w:rPr>
        <w:t>prestrešen</w:t>
      </w:r>
      <w:r>
        <w:rPr>
          <w:rFonts w:ascii="Calibri" w:hAnsi="Calibri" w:cs="Calibri"/>
          <w:iCs/>
          <w:sz w:val="20"/>
        </w:rPr>
        <w:t>é</w:t>
      </w:r>
      <w:r w:rsidRPr="009E2EC2">
        <w:rPr>
          <w:rFonts w:ascii="Calibri" w:hAnsi="Calibri" w:cs="Calibri"/>
          <w:iCs/>
          <w:sz w:val="20"/>
        </w:rPr>
        <w:t xml:space="preserve"> </w:t>
      </w:r>
      <w:r>
        <w:rPr>
          <w:rFonts w:ascii="Calibri" w:hAnsi="Calibri" w:cs="Calibri"/>
          <w:iCs/>
          <w:sz w:val="20"/>
        </w:rPr>
        <w:t xml:space="preserve">sedlovou strechou v sklone 45 stupňov , s </w:t>
      </w:r>
      <w:r w:rsidRPr="009E2EC2">
        <w:rPr>
          <w:rFonts w:ascii="Calibri" w:hAnsi="Calibri" w:cs="Calibri"/>
          <w:iCs/>
          <w:sz w:val="20"/>
        </w:rPr>
        <w:t>konštrukciou z</w:t>
      </w:r>
      <w:r>
        <w:rPr>
          <w:rFonts w:ascii="Calibri" w:hAnsi="Calibri" w:cs="Calibri"/>
          <w:iCs/>
          <w:sz w:val="20"/>
        </w:rPr>
        <w:t> drevených krokiev. Ako strešná krytina je použitá keramická krytina.</w:t>
      </w:r>
    </w:p>
    <w:p w:rsidR="00DE3E67" w:rsidRPr="000E07FD" w:rsidRDefault="00DE3E67" w:rsidP="00DE3E67">
      <w:pPr>
        <w:jc w:val="both"/>
        <w:rPr>
          <w:rFonts w:ascii="Calibri" w:hAnsi="Calibri" w:cs="Calibri"/>
          <w:sz w:val="20"/>
        </w:rPr>
      </w:pPr>
      <w:r>
        <w:rPr>
          <w:rFonts w:ascii="Calibri" w:hAnsi="Calibri" w:cs="Calibri"/>
          <w:sz w:val="20"/>
        </w:rPr>
        <w:t xml:space="preserve">Okrem samotných stavieb je predmetom dokumentácie aj riešenie odkanalizovania komplexu, riešenie nových elektrických prípojok, rekonštrukcie jestvujúcej vodomernej šachty, terénne a sadové úpravy,  riešenie bezprostredných spevnených plôch určených na obsluhu vinárstva, parkovanie a taktiež ako pobytové plochy pre návštevníkov vinárstva. </w:t>
      </w:r>
    </w:p>
    <w:p w:rsidR="00DE3E67" w:rsidRPr="003B0C2B" w:rsidRDefault="00DE3E67" w:rsidP="00DE3E67">
      <w:pPr>
        <w:jc w:val="both"/>
        <w:rPr>
          <w:rFonts w:ascii="Calibri" w:hAnsi="Calibri" w:cs="Calibri"/>
          <w:iCs/>
          <w:sz w:val="20"/>
        </w:rPr>
      </w:pPr>
    </w:p>
    <w:p w:rsidR="00DE3E67" w:rsidRPr="003B0C2B" w:rsidRDefault="00DE3E67" w:rsidP="00DE3E67">
      <w:pPr>
        <w:jc w:val="both"/>
        <w:rPr>
          <w:rFonts w:ascii="Calibri" w:hAnsi="Calibri" w:cs="Calibri"/>
          <w:b/>
          <w:sz w:val="20"/>
        </w:rPr>
      </w:pPr>
      <w:r w:rsidRPr="003B0C2B">
        <w:rPr>
          <w:rFonts w:ascii="Calibri" w:hAnsi="Calibri" w:cs="Calibri"/>
          <w:b/>
          <w:sz w:val="20"/>
        </w:rPr>
        <w:t>PREHĽAD VÝCHODISKOVÝCH PODKLADOV</w:t>
      </w:r>
    </w:p>
    <w:p w:rsidR="00DE3E67" w:rsidRPr="003B0C2B" w:rsidRDefault="00DE3E67" w:rsidP="00DE3E67">
      <w:pPr>
        <w:jc w:val="both"/>
        <w:rPr>
          <w:rFonts w:ascii="Calibri" w:hAnsi="Calibri" w:cs="Calibri"/>
          <w:sz w:val="20"/>
        </w:rPr>
      </w:pPr>
    </w:p>
    <w:p w:rsidR="00DE3E67" w:rsidRPr="003B0C2B" w:rsidRDefault="00DE3E67" w:rsidP="00DE3E67">
      <w:pPr>
        <w:jc w:val="both"/>
        <w:rPr>
          <w:rFonts w:ascii="Calibri" w:hAnsi="Calibri" w:cs="Calibri"/>
          <w:sz w:val="20"/>
        </w:rPr>
      </w:pPr>
      <w:r w:rsidRPr="003B0C2B">
        <w:rPr>
          <w:rFonts w:ascii="Calibri" w:hAnsi="Calibri" w:cs="Calibri"/>
          <w:sz w:val="20"/>
        </w:rPr>
        <w:t>Pri spracovaní projektovej dokumentácie projektant vychádzal z týchto podkladov:</w:t>
      </w:r>
    </w:p>
    <w:p w:rsidR="00DE3E67" w:rsidRDefault="00DE3E67" w:rsidP="00DE3E67">
      <w:pPr>
        <w:jc w:val="both"/>
        <w:rPr>
          <w:rFonts w:ascii="Calibri" w:hAnsi="Calibri" w:cs="Calibri"/>
          <w:sz w:val="20"/>
        </w:rPr>
      </w:pPr>
    </w:p>
    <w:p w:rsidR="00DE3E67" w:rsidRPr="003B0C2B" w:rsidRDefault="00DE3E67" w:rsidP="00DE3E67">
      <w:pPr>
        <w:jc w:val="both"/>
        <w:rPr>
          <w:rFonts w:ascii="Calibri" w:hAnsi="Calibri" w:cs="Calibri"/>
          <w:sz w:val="20"/>
        </w:rPr>
      </w:pPr>
      <w:r>
        <w:rPr>
          <w:rFonts w:ascii="Calibri" w:hAnsi="Calibri" w:cs="Calibri"/>
          <w:sz w:val="20"/>
        </w:rPr>
        <w:t>- Dokumentácia pre Stavebné povolenie</w:t>
      </w:r>
    </w:p>
    <w:p w:rsidR="00DE3E67" w:rsidRPr="003B0C2B" w:rsidRDefault="00DE3E67" w:rsidP="00DE3E67">
      <w:pPr>
        <w:jc w:val="both"/>
        <w:rPr>
          <w:rFonts w:ascii="Calibri" w:hAnsi="Calibri" w:cs="Calibri"/>
          <w:sz w:val="20"/>
        </w:rPr>
      </w:pPr>
      <w:r w:rsidRPr="003B0C2B">
        <w:rPr>
          <w:rFonts w:ascii="Calibri" w:hAnsi="Calibri" w:cs="Calibri"/>
          <w:sz w:val="20"/>
        </w:rPr>
        <w:t>- Podrobné geodetické zameranie výškopisu a polohopisu v JTSK</w:t>
      </w:r>
    </w:p>
    <w:p w:rsidR="00DE3E67" w:rsidRPr="003B0C2B" w:rsidRDefault="00DE3E67" w:rsidP="00DE3E67">
      <w:pPr>
        <w:jc w:val="both"/>
        <w:rPr>
          <w:rFonts w:ascii="Calibri" w:hAnsi="Calibri" w:cs="Calibri"/>
          <w:sz w:val="20"/>
        </w:rPr>
      </w:pPr>
      <w:r w:rsidRPr="003B0C2B">
        <w:rPr>
          <w:rFonts w:ascii="Calibri" w:hAnsi="Calibri" w:cs="Calibri"/>
          <w:sz w:val="20"/>
        </w:rPr>
        <w:t>- Fotodokumentácia jestvujúceho stavu</w:t>
      </w:r>
    </w:p>
    <w:p w:rsidR="00DE3E67" w:rsidRPr="003B0C2B" w:rsidRDefault="00DE3E67" w:rsidP="00DE3E67">
      <w:pPr>
        <w:jc w:val="both"/>
        <w:rPr>
          <w:rFonts w:ascii="Calibri" w:hAnsi="Calibri" w:cs="Calibri"/>
          <w:sz w:val="20"/>
        </w:rPr>
      </w:pPr>
      <w:r w:rsidRPr="003B0C2B">
        <w:rPr>
          <w:rFonts w:ascii="Calibri" w:hAnsi="Calibri" w:cs="Calibri"/>
          <w:sz w:val="20"/>
        </w:rPr>
        <w:t>- Územný plán obce Strekov</w:t>
      </w:r>
    </w:p>
    <w:p w:rsidR="00DE3E67" w:rsidRPr="003B0C2B" w:rsidRDefault="00DE3E67" w:rsidP="00DE3E67">
      <w:pPr>
        <w:jc w:val="both"/>
        <w:rPr>
          <w:rFonts w:ascii="Calibri" w:hAnsi="Calibri" w:cs="Calibri"/>
          <w:sz w:val="20"/>
        </w:rPr>
      </w:pPr>
      <w:r w:rsidRPr="003B0C2B">
        <w:rPr>
          <w:rFonts w:ascii="Calibri" w:hAnsi="Calibri" w:cs="Calibri"/>
          <w:sz w:val="20"/>
        </w:rPr>
        <w:t>- Katastrálna mapa obce Strekov</w:t>
      </w:r>
    </w:p>
    <w:p w:rsidR="00DE3E67" w:rsidRPr="003B0C2B" w:rsidRDefault="00DE3E67" w:rsidP="00DE3E67">
      <w:pPr>
        <w:jc w:val="both"/>
        <w:rPr>
          <w:rFonts w:ascii="Calibri" w:hAnsi="Calibri" w:cs="Calibri"/>
          <w:sz w:val="20"/>
        </w:rPr>
      </w:pPr>
      <w:r w:rsidRPr="003B0C2B">
        <w:rPr>
          <w:rFonts w:ascii="Calibri" w:hAnsi="Calibri" w:cs="Calibri"/>
          <w:sz w:val="20"/>
        </w:rPr>
        <w:t>- Architektonicko – urbanistická štúdia, Vinárstvo S</w:t>
      </w:r>
    </w:p>
    <w:p w:rsidR="00DE3E67" w:rsidRDefault="00DE3E67" w:rsidP="00DE3E67">
      <w:pPr>
        <w:jc w:val="both"/>
        <w:rPr>
          <w:rFonts w:ascii="Calibri" w:hAnsi="Calibri" w:cs="Calibri"/>
          <w:sz w:val="20"/>
        </w:rPr>
      </w:pPr>
      <w:r w:rsidRPr="003B0C2B">
        <w:rPr>
          <w:rFonts w:ascii="Calibri" w:hAnsi="Calibri" w:cs="Calibri"/>
          <w:sz w:val="20"/>
        </w:rPr>
        <w:t>- Dokumentácia na územné rozhodnutie, Vinárstvo S</w:t>
      </w:r>
    </w:p>
    <w:p w:rsidR="00DE3E67" w:rsidRPr="003B0C2B" w:rsidRDefault="00DE3E67" w:rsidP="00DE3E67">
      <w:pPr>
        <w:jc w:val="both"/>
        <w:rPr>
          <w:rFonts w:ascii="Calibri" w:hAnsi="Calibri" w:cs="Calibri"/>
          <w:sz w:val="20"/>
        </w:rPr>
      </w:pPr>
      <w:r w:rsidRPr="003B0C2B">
        <w:rPr>
          <w:rFonts w:ascii="Calibri" w:hAnsi="Calibri" w:cs="Calibri"/>
          <w:sz w:val="20"/>
        </w:rPr>
        <w:t xml:space="preserve">- </w:t>
      </w:r>
      <w:r>
        <w:rPr>
          <w:rFonts w:ascii="Calibri" w:hAnsi="Calibri" w:cs="Calibri"/>
          <w:sz w:val="20"/>
        </w:rPr>
        <w:t>Revízia dokumentácie</w:t>
      </w:r>
      <w:r w:rsidRPr="003B0C2B">
        <w:rPr>
          <w:rFonts w:ascii="Calibri" w:hAnsi="Calibri" w:cs="Calibri"/>
          <w:sz w:val="20"/>
        </w:rPr>
        <w:t xml:space="preserve"> na územné rozhodnutie, Vinárstvo S</w:t>
      </w:r>
    </w:p>
    <w:p w:rsidR="00DE3E67" w:rsidRDefault="00DE3E67" w:rsidP="00DE3E67">
      <w:pPr>
        <w:jc w:val="both"/>
        <w:rPr>
          <w:rFonts w:ascii="Calibri" w:hAnsi="Calibri" w:cs="Calibri"/>
          <w:sz w:val="20"/>
        </w:rPr>
      </w:pPr>
      <w:r w:rsidRPr="003B0C2B">
        <w:rPr>
          <w:rFonts w:ascii="Calibri" w:hAnsi="Calibri" w:cs="Calibri"/>
          <w:sz w:val="20"/>
        </w:rPr>
        <w:t>- Stanoviská a vyjadrenia dotknutých orgánov k dokumentácii na územné rozhodnutie, Vinárstvo S</w:t>
      </w:r>
    </w:p>
    <w:p w:rsidR="00DE3E67" w:rsidRPr="003B0C2B" w:rsidRDefault="00DE3E67" w:rsidP="00DE3E67">
      <w:pPr>
        <w:jc w:val="both"/>
        <w:rPr>
          <w:rFonts w:ascii="Calibri" w:hAnsi="Calibri" w:cs="Calibri"/>
          <w:sz w:val="20"/>
        </w:rPr>
      </w:pPr>
      <w:r>
        <w:rPr>
          <w:rFonts w:ascii="Calibri" w:hAnsi="Calibri" w:cs="Calibri"/>
          <w:sz w:val="20"/>
        </w:rPr>
        <w:t>- Geologický a hydrogeologický prieskum</w:t>
      </w:r>
    </w:p>
    <w:p w:rsidR="00DE3E67" w:rsidRDefault="00DE3E67" w:rsidP="00DE3E67">
      <w:pPr>
        <w:jc w:val="both"/>
        <w:rPr>
          <w:rFonts w:ascii="Calibri" w:hAnsi="Calibri" w:cs="Calibri"/>
          <w:sz w:val="20"/>
        </w:rPr>
      </w:pPr>
    </w:p>
    <w:p w:rsidR="00DE3E67" w:rsidRDefault="00DE3E67" w:rsidP="00DE3E67">
      <w:pPr>
        <w:jc w:val="both"/>
        <w:rPr>
          <w:rFonts w:ascii="Calibri" w:hAnsi="Calibri" w:cs="Calibri"/>
          <w:sz w:val="20"/>
        </w:rPr>
      </w:pPr>
    </w:p>
    <w:p w:rsidR="00DE3E67" w:rsidRDefault="00DE3E67" w:rsidP="00DE3E67">
      <w:pPr>
        <w:jc w:val="both"/>
        <w:rPr>
          <w:rFonts w:ascii="Calibri" w:hAnsi="Calibri" w:cs="Calibri"/>
          <w:b/>
          <w:sz w:val="20"/>
        </w:rPr>
      </w:pPr>
    </w:p>
    <w:p w:rsidR="00DE3E67" w:rsidRPr="003B0C2B" w:rsidRDefault="00DE3E67" w:rsidP="00DE3E67">
      <w:pPr>
        <w:jc w:val="both"/>
        <w:rPr>
          <w:rFonts w:ascii="Calibri" w:hAnsi="Calibri" w:cs="Calibri"/>
          <w:b/>
          <w:sz w:val="20"/>
        </w:rPr>
      </w:pPr>
      <w:r w:rsidRPr="003B0C2B">
        <w:rPr>
          <w:rFonts w:ascii="Calibri" w:hAnsi="Calibri" w:cs="Calibri"/>
          <w:b/>
          <w:sz w:val="20"/>
        </w:rPr>
        <w:t>ČLENENIE STAVBY NA STAVEBNÉ OBJEKTY A PREVÁDZKOVÉ SÚBORY</w:t>
      </w:r>
    </w:p>
    <w:p w:rsidR="00DE3E67" w:rsidRPr="003B0C2B" w:rsidRDefault="00DE3E67" w:rsidP="00DE3E67">
      <w:pPr>
        <w:jc w:val="both"/>
        <w:rPr>
          <w:rFonts w:ascii="Calibri" w:hAnsi="Calibri" w:cs="Calibri"/>
          <w:b/>
          <w:sz w:val="20"/>
        </w:rPr>
      </w:pPr>
    </w:p>
    <w:p w:rsidR="00DE3E67" w:rsidRPr="003B0C2B" w:rsidRDefault="00DE3E67" w:rsidP="00DE3E67">
      <w:pPr>
        <w:jc w:val="both"/>
        <w:rPr>
          <w:rFonts w:ascii="Calibri" w:hAnsi="Calibri" w:cs="Calibri"/>
          <w:sz w:val="20"/>
        </w:rPr>
      </w:pPr>
      <w:r w:rsidRPr="003B0C2B">
        <w:rPr>
          <w:rFonts w:ascii="Calibri" w:hAnsi="Calibri" w:cs="Calibri"/>
          <w:sz w:val="20"/>
        </w:rPr>
        <w:t>Komplex je tvorený stavebnými objektami (SO) a dielčimi stavebnými objektami (DSO)</w:t>
      </w:r>
    </w:p>
    <w:p w:rsidR="00DE3E67" w:rsidRPr="003B0C2B" w:rsidRDefault="00DE3E67" w:rsidP="00DE3E67">
      <w:pPr>
        <w:ind w:firstLine="708"/>
        <w:jc w:val="both"/>
        <w:rPr>
          <w:rFonts w:ascii="Calibri" w:hAnsi="Calibri" w:cs="Calibri"/>
          <w:sz w:val="20"/>
        </w:rPr>
      </w:pPr>
    </w:p>
    <w:p w:rsidR="00DE3E67" w:rsidRPr="003B0C2B" w:rsidRDefault="00DE3E67" w:rsidP="00DE3E67">
      <w:pPr>
        <w:jc w:val="both"/>
        <w:rPr>
          <w:rFonts w:ascii="Calibri" w:hAnsi="Calibri" w:cs="Calibri"/>
          <w:sz w:val="20"/>
        </w:rPr>
      </w:pPr>
      <w:r w:rsidRPr="003B0C2B">
        <w:rPr>
          <w:rFonts w:ascii="Calibri" w:hAnsi="Calibri" w:cs="Calibri"/>
          <w:sz w:val="20"/>
        </w:rPr>
        <w:t>SO 01 /         showroom s ubytovaním</w:t>
      </w:r>
    </w:p>
    <w:p w:rsidR="00DE3E67" w:rsidRPr="003B0C2B" w:rsidRDefault="00DE3E67" w:rsidP="00DE3E67">
      <w:pPr>
        <w:jc w:val="both"/>
        <w:rPr>
          <w:rFonts w:ascii="Calibri" w:hAnsi="Calibri" w:cs="Calibri"/>
          <w:sz w:val="20"/>
        </w:rPr>
      </w:pPr>
      <w:r w:rsidRPr="003B0C2B">
        <w:rPr>
          <w:rFonts w:ascii="Calibri" w:hAnsi="Calibri" w:cs="Calibri"/>
          <w:sz w:val="20"/>
        </w:rPr>
        <w:t>SO 02 /         vinárska výroba</w:t>
      </w:r>
    </w:p>
    <w:p w:rsidR="00DE3E67" w:rsidRPr="003B0C2B" w:rsidRDefault="00DE3E67" w:rsidP="00DE3E67">
      <w:pPr>
        <w:jc w:val="both"/>
        <w:rPr>
          <w:rFonts w:ascii="Calibri" w:hAnsi="Calibri" w:cs="Calibri"/>
          <w:sz w:val="20"/>
        </w:rPr>
      </w:pPr>
      <w:r w:rsidRPr="003B0C2B">
        <w:rPr>
          <w:rFonts w:ascii="Calibri" w:hAnsi="Calibri" w:cs="Calibri"/>
          <w:sz w:val="20"/>
        </w:rPr>
        <w:t>SO 03 /         hospodársky objekt</w:t>
      </w:r>
    </w:p>
    <w:p w:rsidR="00DE3E67" w:rsidRPr="003B0C2B" w:rsidRDefault="00DE3E67" w:rsidP="00DE3E67">
      <w:pPr>
        <w:jc w:val="both"/>
        <w:rPr>
          <w:rFonts w:ascii="Calibri" w:hAnsi="Calibri" w:cs="Calibri"/>
          <w:sz w:val="20"/>
        </w:rPr>
      </w:pPr>
      <w:r w:rsidRPr="003B0C2B">
        <w:rPr>
          <w:rFonts w:ascii="Calibri" w:hAnsi="Calibri" w:cs="Calibri"/>
          <w:sz w:val="20"/>
        </w:rPr>
        <w:t>SO 04 /         jestvujúca pivnica</w:t>
      </w:r>
    </w:p>
    <w:p w:rsidR="00DE3E67" w:rsidRPr="003B0C2B" w:rsidRDefault="00DE3E67" w:rsidP="00DE3E67">
      <w:pPr>
        <w:jc w:val="both"/>
        <w:rPr>
          <w:rFonts w:ascii="Calibri" w:hAnsi="Calibri" w:cs="Calibri"/>
          <w:sz w:val="20"/>
        </w:rPr>
      </w:pPr>
      <w:r w:rsidRPr="003B0C2B">
        <w:rPr>
          <w:rFonts w:ascii="Calibri" w:hAnsi="Calibri" w:cs="Calibri"/>
          <w:sz w:val="20"/>
        </w:rPr>
        <w:t>SO 06.1 /      prípojka el. energie</w:t>
      </w:r>
    </w:p>
    <w:p w:rsidR="00DE3E67" w:rsidRPr="003B0C2B" w:rsidRDefault="00DE3E67" w:rsidP="00DE3E67">
      <w:pPr>
        <w:jc w:val="both"/>
        <w:rPr>
          <w:rFonts w:ascii="Calibri" w:hAnsi="Calibri" w:cs="Calibri"/>
          <w:sz w:val="20"/>
        </w:rPr>
      </w:pPr>
      <w:r w:rsidRPr="003B0C2B">
        <w:rPr>
          <w:rFonts w:ascii="Calibri" w:hAnsi="Calibri" w:cs="Calibri"/>
          <w:sz w:val="20"/>
        </w:rPr>
        <w:t>SO 07.1 /      prípojka vody</w:t>
      </w:r>
    </w:p>
    <w:p w:rsidR="00DE3E67" w:rsidRPr="003B0C2B" w:rsidRDefault="00DE3E67" w:rsidP="00DE3E67">
      <w:pPr>
        <w:jc w:val="both"/>
        <w:rPr>
          <w:rFonts w:ascii="Calibri" w:hAnsi="Calibri" w:cs="Calibri"/>
          <w:sz w:val="20"/>
        </w:rPr>
      </w:pPr>
      <w:r w:rsidRPr="003B0C2B">
        <w:rPr>
          <w:rFonts w:ascii="Calibri" w:hAnsi="Calibri" w:cs="Calibri"/>
          <w:sz w:val="20"/>
        </w:rPr>
        <w:t>SO 08.1 /      splašková kanalizácia</w:t>
      </w:r>
    </w:p>
    <w:p w:rsidR="00DE3E67" w:rsidRPr="003B0C2B" w:rsidRDefault="00DE3E67" w:rsidP="00DE3E67">
      <w:pPr>
        <w:jc w:val="both"/>
        <w:rPr>
          <w:rFonts w:ascii="Calibri" w:hAnsi="Calibri" w:cs="Calibri"/>
          <w:sz w:val="20"/>
        </w:rPr>
      </w:pPr>
      <w:r w:rsidRPr="003B0C2B">
        <w:rPr>
          <w:rFonts w:ascii="Calibri" w:hAnsi="Calibri" w:cs="Calibri"/>
          <w:sz w:val="20"/>
        </w:rPr>
        <w:t>SO 08.2 /      dažďová kanalizácia</w:t>
      </w:r>
    </w:p>
    <w:p w:rsidR="00DE3E67" w:rsidRPr="003B0C2B" w:rsidRDefault="00DE3E67" w:rsidP="00DE3E67">
      <w:pPr>
        <w:jc w:val="both"/>
        <w:rPr>
          <w:rFonts w:ascii="Calibri" w:hAnsi="Calibri" w:cs="Calibri"/>
          <w:sz w:val="20"/>
        </w:rPr>
      </w:pPr>
      <w:r w:rsidRPr="003B0C2B">
        <w:rPr>
          <w:rFonts w:ascii="Calibri" w:hAnsi="Calibri" w:cs="Calibri"/>
          <w:sz w:val="20"/>
        </w:rPr>
        <w:t>SO 09 /         požiarna nádrž</w:t>
      </w:r>
    </w:p>
    <w:p w:rsidR="00DE3E67" w:rsidRPr="003B0C2B" w:rsidRDefault="00DE3E67" w:rsidP="00DE3E67">
      <w:pPr>
        <w:jc w:val="both"/>
        <w:rPr>
          <w:rFonts w:ascii="Calibri" w:hAnsi="Calibri" w:cs="Calibri"/>
          <w:sz w:val="20"/>
        </w:rPr>
      </w:pPr>
      <w:r w:rsidRPr="003B0C2B">
        <w:rPr>
          <w:rFonts w:ascii="Calibri" w:hAnsi="Calibri" w:cs="Calibri"/>
          <w:sz w:val="20"/>
        </w:rPr>
        <w:t>SO 10 /         spevnené plochy a komunikácie ( dopravné riešenie )</w:t>
      </w:r>
    </w:p>
    <w:p w:rsidR="00DE3E67" w:rsidRPr="003B0C2B" w:rsidRDefault="00DE3E67" w:rsidP="00DE3E67">
      <w:pPr>
        <w:jc w:val="both"/>
        <w:rPr>
          <w:rFonts w:ascii="Calibri" w:hAnsi="Calibri" w:cs="Calibri"/>
          <w:sz w:val="20"/>
        </w:rPr>
      </w:pPr>
      <w:r w:rsidRPr="003B0C2B">
        <w:rPr>
          <w:rFonts w:ascii="Calibri" w:hAnsi="Calibri" w:cs="Calibri"/>
          <w:sz w:val="20"/>
        </w:rPr>
        <w:t>SO 11 /         terénne a sadové úpravy ( krajinná architektúra )</w:t>
      </w:r>
    </w:p>
    <w:p w:rsidR="00DE3E67" w:rsidRPr="003B0C2B" w:rsidRDefault="00DE3E67" w:rsidP="00DE3E67">
      <w:pPr>
        <w:jc w:val="both"/>
        <w:rPr>
          <w:rFonts w:ascii="Calibri" w:hAnsi="Calibri" w:cs="Calibri"/>
          <w:sz w:val="20"/>
        </w:rPr>
      </w:pPr>
    </w:p>
    <w:p w:rsidR="00DE3E67" w:rsidRPr="003B0C2B" w:rsidRDefault="00DE3E67" w:rsidP="00DE3E67">
      <w:pPr>
        <w:jc w:val="both"/>
        <w:rPr>
          <w:rFonts w:ascii="Calibri" w:hAnsi="Calibri" w:cs="Calibri"/>
          <w:sz w:val="20"/>
        </w:rPr>
      </w:pPr>
      <w:r w:rsidRPr="003B0C2B">
        <w:rPr>
          <w:rFonts w:ascii="Calibri" w:hAnsi="Calibri" w:cs="Calibri"/>
          <w:sz w:val="20"/>
        </w:rPr>
        <w:t>DSO 01.1 /    architektonicko stavebné riešenie</w:t>
      </w:r>
    </w:p>
    <w:p w:rsidR="00DE3E67" w:rsidRPr="003B0C2B" w:rsidRDefault="00DE3E67" w:rsidP="00DE3E67">
      <w:pPr>
        <w:jc w:val="both"/>
        <w:rPr>
          <w:rFonts w:ascii="Calibri" w:hAnsi="Calibri" w:cs="Calibri"/>
          <w:sz w:val="20"/>
        </w:rPr>
      </w:pPr>
      <w:r w:rsidRPr="003B0C2B">
        <w:rPr>
          <w:rFonts w:ascii="Calibri" w:hAnsi="Calibri" w:cs="Calibri"/>
          <w:sz w:val="20"/>
        </w:rPr>
        <w:lastRenderedPageBreak/>
        <w:t>DSO 01.2 /    statické posúdenie</w:t>
      </w:r>
    </w:p>
    <w:p w:rsidR="00DE3E67" w:rsidRPr="003B0C2B" w:rsidRDefault="00DE3E67" w:rsidP="00DE3E67">
      <w:pPr>
        <w:jc w:val="both"/>
        <w:rPr>
          <w:rFonts w:ascii="Calibri" w:hAnsi="Calibri" w:cs="Calibri"/>
          <w:sz w:val="20"/>
        </w:rPr>
      </w:pPr>
      <w:r w:rsidRPr="003B0C2B">
        <w:rPr>
          <w:rFonts w:ascii="Calibri" w:hAnsi="Calibri" w:cs="Calibri"/>
          <w:sz w:val="20"/>
        </w:rPr>
        <w:t>DSO 01.3 /    statické posúdenie (SO 05)</w:t>
      </w:r>
    </w:p>
    <w:p w:rsidR="00DE3E67" w:rsidRPr="003B0C2B" w:rsidRDefault="00DE3E67" w:rsidP="00DE3E67">
      <w:pPr>
        <w:jc w:val="both"/>
        <w:rPr>
          <w:rFonts w:ascii="Calibri" w:hAnsi="Calibri" w:cs="Calibri"/>
          <w:sz w:val="20"/>
        </w:rPr>
      </w:pPr>
      <w:r w:rsidRPr="003B0C2B">
        <w:rPr>
          <w:rFonts w:ascii="Calibri" w:hAnsi="Calibri" w:cs="Calibri"/>
          <w:sz w:val="20"/>
        </w:rPr>
        <w:t>DSO 01.4 /    protipožiarna bezpečnosť stavby</w:t>
      </w:r>
    </w:p>
    <w:p w:rsidR="00DE3E67" w:rsidRPr="003B0C2B" w:rsidRDefault="00DE3E67" w:rsidP="00DE3E67">
      <w:pPr>
        <w:jc w:val="both"/>
        <w:rPr>
          <w:rFonts w:ascii="Calibri" w:hAnsi="Calibri" w:cs="Calibri"/>
          <w:sz w:val="20"/>
        </w:rPr>
      </w:pPr>
      <w:r w:rsidRPr="003B0C2B">
        <w:rPr>
          <w:rFonts w:ascii="Calibri" w:hAnsi="Calibri" w:cs="Calibri"/>
          <w:sz w:val="20"/>
        </w:rPr>
        <w:t>DSO 01.5 /    vykurovanie</w:t>
      </w:r>
    </w:p>
    <w:p w:rsidR="00DE3E67" w:rsidRPr="003B0C2B" w:rsidRDefault="00DE3E67" w:rsidP="00DE3E67">
      <w:pPr>
        <w:jc w:val="both"/>
        <w:rPr>
          <w:rFonts w:ascii="Calibri" w:hAnsi="Calibri" w:cs="Calibri"/>
          <w:sz w:val="20"/>
        </w:rPr>
      </w:pPr>
      <w:r w:rsidRPr="003B0C2B">
        <w:rPr>
          <w:rFonts w:ascii="Calibri" w:hAnsi="Calibri" w:cs="Calibri"/>
          <w:sz w:val="20"/>
        </w:rPr>
        <w:t>DSO 01.6 /    elektroinštalácia a bleskozvod</w:t>
      </w:r>
    </w:p>
    <w:p w:rsidR="00DE3E67" w:rsidRPr="003B0C2B" w:rsidRDefault="00DE3E67" w:rsidP="00DE3E67">
      <w:pPr>
        <w:jc w:val="both"/>
        <w:rPr>
          <w:rFonts w:ascii="Calibri" w:hAnsi="Calibri" w:cs="Calibri"/>
          <w:sz w:val="20"/>
        </w:rPr>
      </w:pPr>
      <w:r w:rsidRPr="003B0C2B">
        <w:rPr>
          <w:rFonts w:ascii="Calibri" w:hAnsi="Calibri" w:cs="Calibri"/>
          <w:sz w:val="20"/>
        </w:rPr>
        <w:t>DSO 01.7 /    chladenie a vetranie</w:t>
      </w:r>
    </w:p>
    <w:p w:rsidR="00DE3E67" w:rsidRPr="003B0C2B" w:rsidRDefault="00DE3E67" w:rsidP="00DE3E67">
      <w:pPr>
        <w:jc w:val="both"/>
        <w:rPr>
          <w:rFonts w:ascii="Calibri" w:hAnsi="Calibri" w:cs="Calibri"/>
          <w:sz w:val="20"/>
        </w:rPr>
      </w:pPr>
      <w:r w:rsidRPr="003B0C2B">
        <w:rPr>
          <w:rFonts w:ascii="Calibri" w:hAnsi="Calibri" w:cs="Calibri"/>
          <w:sz w:val="20"/>
        </w:rPr>
        <w:t>DSO 01.8 /    zti vnútorná</w:t>
      </w:r>
    </w:p>
    <w:p w:rsidR="00DE3E67" w:rsidRPr="003B0C2B" w:rsidRDefault="00DE3E67" w:rsidP="00DE3E67">
      <w:pPr>
        <w:jc w:val="both"/>
        <w:rPr>
          <w:rFonts w:ascii="Calibri" w:hAnsi="Calibri" w:cs="Calibri"/>
          <w:sz w:val="20"/>
        </w:rPr>
      </w:pPr>
      <w:r w:rsidRPr="003B0C2B">
        <w:rPr>
          <w:rFonts w:ascii="Calibri" w:hAnsi="Calibri" w:cs="Calibri"/>
          <w:sz w:val="20"/>
        </w:rPr>
        <w:t>DSO 01.9 /    zti vonkajšia</w:t>
      </w:r>
    </w:p>
    <w:p w:rsidR="00DE3E67" w:rsidRPr="003B0C2B" w:rsidRDefault="00DE3E67" w:rsidP="00DE3E67">
      <w:pPr>
        <w:jc w:val="both"/>
        <w:rPr>
          <w:rFonts w:ascii="Calibri" w:hAnsi="Calibri" w:cs="Calibri"/>
          <w:sz w:val="20"/>
        </w:rPr>
      </w:pPr>
      <w:r w:rsidRPr="003B0C2B">
        <w:rPr>
          <w:rFonts w:ascii="Calibri" w:hAnsi="Calibri" w:cs="Calibri"/>
          <w:sz w:val="20"/>
        </w:rPr>
        <w:t>DSO 01.10 /  technológia vinárstva</w:t>
      </w:r>
    </w:p>
    <w:p w:rsidR="00DE3E67" w:rsidRPr="003B0C2B" w:rsidRDefault="00DE3E67" w:rsidP="00DE3E67">
      <w:pPr>
        <w:jc w:val="both"/>
        <w:rPr>
          <w:rFonts w:ascii="Calibri" w:hAnsi="Calibri" w:cs="Calibri"/>
          <w:sz w:val="20"/>
        </w:rPr>
      </w:pPr>
      <w:r w:rsidRPr="003B0C2B">
        <w:rPr>
          <w:rFonts w:ascii="Calibri" w:hAnsi="Calibri" w:cs="Calibri"/>
          <w:sz w:val="20"/>
        </w:rPr>
        <w:t>DSO 01.11 /  teplotechnické posúdenie</w:t>
      </w:r>
      <w:r>
        <w:rPr>
          <w:rFonts w:ascii="Calibri" w:hAnsi="Calibri" w:cs="Calibri"/>
          <w:sz w:val="20"/>
        </w:rPr>
        <w:t xml:space="preserve"> (z projektu DSP)</w:t>
      </w:r>
    </w:p>
    <w:p w:rsidR="00DE3E67" w:rsidRPr="003B0C2B" w:rsidRDefault="00DE3E67" w:rsidP="00DE3E67">
      <w:pPr>
        <w:jc w:val="both"/>
        <w:rPr>
          <w:rFonts w:ascii="Calibri" w:hAnsi="Calibri" w:cs="Calibri"/>
          <w:sz w:val="20"/>
        </w:rPr>
      </w:pPr>
      <w:r w:rsidRPr="003B0C2B">
        <w:rPr>
          <w:rFonts w:ascii="Calibri" w:hAnsi="Calibri" w:cs="Calibri"/>
          <w:sz w:val="20"/>
        </w:rPr>
        <w:t>DSO 01.12 /  dopravné riešenie</w:t>
      </w:r>
      <w:r>
        <w:rPr>
          <w:rFonts w:ascii="Calibri" w:hAnsi="Calibri" w:cs="Calibri"/>
          <w:sz w:val="20"/>
        </w:rPr>
        <w:t xml:space="preserve"> (z projektu DSP)</w:t>
      </w:r>
    </w:p>
    <w:p w:rsidR="00DE3E67" w:rsidRPr="003B0C2B" w:rsidRDefault="00DE3E67" w:rsidP="00DE3E67">
      <w:pPr>
        <w:jc w:val="both"/>
        <w:rPr>
          <w:rFonts w:ascii="Calibri" w:hAnsi="Calibri" w:cs="Calibri"/>
          <w:sz w:val="20"/>
        </w:rPr>
      </w:pPr>
      <w:r w:rsidRPr="003B0C2B">
        <w:rPr>
          <w:rFonts w:ascii="Calibri" w:hAnsi="Calibri" w:cs="Calibri"/>
          <w:sz w:val="20"/>
        </w:rPr>
        <w:t>DSO 01.13 /  terénne a sadové úpravy</w:t>
      </w:r>
      <w:r>
        <w:rPr>
          <w:rFonts w:ascii="Calibri" w:hAnsi="Calibri" w:cs="Calibri"/>
          <w:sz w:val="20"/>
        </w:rPr>
        <w:t xml:space="preserve"> (z projektu DSP)</w:t>
      </w:r>
    </w:p>
    <w:p w:rsidR="00DE3E67" w:rsidRDefault="00DE3E67" w:rsidP="00DE3E67">
      <w:pPr>
        <w:jc w:val="both"/>
        <w:rPr>
          <w:rFonts w:ascii="Calibri" w:hAnsi="Calibri" w:cs="Calibri"/>
          <w:sz w:val="20"/>
        </w:rPr>
      </w:pPr>
    </w:p>
    <w:p w:rsidR="00DE3E67" w:rsidRDefault="00DE3E67" w:rsidP="00DE3E67">
      <w:pPr>
        <w:jc w:val="both"/>
        <w:rPr>
          <w:rFonts w:ascii="Calibri" w:hAnsi="Calibri" w:cs="Calibri"/>
          <w:sz w:val="20"/>
        </w:rPr>
      </w:pPr>
    </w:p>
    <w:p w:rsidR="00DE3E67" w:rsidRPr="003B0C2B" w:rsidRDefault="00DE3E67" w:rsidP="00DE3E67">
      <w:pPr>
        <w:jc w:val="both"/>
        <w:rPr>
          <w:rFonts w:ascii="Calibri" w:hAnsi="Calibri" w:cs="Calibri"/>
          <w:sz w:val="20"/>
        </w:rPr>
      </w:pPr>
    </w:p>
    <w:p w:rsidR="00DE3E67" w:rsidRPr="003B0C2B" w:rsidRDefault="00DE3E67" w:rsidP="00DE3E67">
      <w:pPr>
        <w:jc w:val="both"/>
        <w:rPr>
          <w:rFonts w:ascii="Calibri" w:hAnsi="Calibri" w:cs="Calibri"/>
          <w:b/>
          <w:sz w:val="20"/>
        </w:rPr>
      </w:pPr>
      <w:r w:rsidRPr="003B0C2B">
        <w:rPr>
          <w:rFonts w:ascii="Calibri" w:hAnsi="Calibri" w:cs="Calibri"/>
          <w:b/>
          <w:sz w:val="20"/>
        </w:rPr>
        <w:t>VECNÉ A ČASOVÉ VÄZBY NA OKOLITÚ VÝSTAVBU</w:t>
      </w:r>
    </w:p>
    <w:p w:rsidR="00DE3E67" w:rsidRPr="003B0C2B" w:rsidRDefault="00DE3E67" w:rsidP="00DE3E67">
      <w:pPr>
        <w:jc w:val="both"/>
        <w:rPr>
          <w:rFonts w:ascii="Calibri" w:hAnsi="Calibri" w:cs="Calibri"/>
          <w:sz w:val="20"/>
        </w:rPr>
      </w:pPr>
    </w:p>
    <w:p w:rsidR="00DE3E67" w:rsidRPr="00476EB6" w:rsidRDefault="00DE3E67" w:rsidP="00DE3E67">
      <w:pPr>
        <w:jc w:val="both"/>
        <w:rPr>
          <w:rFonts w:ascii="Calibri" w:hAnsi="Calibri" w:cs="Calibri"/>
          <w:sz w:val="20"/>
        </w:rPr>
      </w:pPr>
      <w:r w:rsidRPr="003B0C2B">
        <w:rPr>
          <w:rFonts w:ascii="Calibri" w:hAnsi="Calibri" w:cs="Calibri"/>
          <w:sz w:val="20"/>
        </w:rPr>
        <w:t>Stavba nemá vecné a</w:t>
      </w:r>
      <w:r>
        <w:rPr>
          <w:rFonts w:ascii="Calibri" w:hAnsi="Calibri" w:cs="Calibri"/>
          <w:sz w:val="20"/>
        </w:rPr>
        <w:t>ni časové väzby na inú výstavbu.</w:t>
      </w:r>
    </w:p>
    <w:p w:rsidR="00DE3E67" w:rsidRDefault="00DE3E67" w:rsidP="00DE3E67">
      <w:pPr>
        <w:jc w:val="both"/>
        <w:rPr>
          <w:rFonts w:ascii="Calibri" w:hAnsi="Calibri" w:cs="Calibri"/>
          <w:b/>
          <w:sz w:val="20"/>
        </w:rPr>
      </w:pPr>
    </w:p>
    <w:p w:rsidR="00DE3E67" w:rsidRDefault="00DE3E67" w:rsidP="00DE3E67">
      <w:pPr>
        <w:jc w:val="both"/>
        <w:rPr>
          <w:rFonts w:ascii="Calibri" w:hAnsi="Calibri" w:cs="Calibri"/>
          <w:b/>
          <w:sz w:val="20"/>
        </w:rPr>
      </w:pPr>
    </w:p>
    <w:p w:rsidR="00DE3E67" w:rsidRPr="003B0C2B" w:rsidRDefault="00DE3E67" w:rsidP="00DE3E67">
      <w:pPr>
        <w:jc w:val="both"/>
        <w:rPr>
          <w:rFonts w:ascii="Calibri" w:hAnsi="Calibri" w:cs="Calibri"/>
          <w:sz w:val="20"/>
        </w:rPr>
      </w:pPr>
      <w:r w:rsidRPr="003B0C2B">
        <w:rPr>
          <w:rFonts w:ascii="Calibri" w:hAnsi="Calibri" w:cs="Calibri"/>
          <w:b/>
          <w:sz w:val="20"/>
        </w:rPr>
        <w:t>PREHĽAD UŽÍVATEĽOV A PREVÁDZKOVATEĽOV</w:t>
      </w:r>
    </w:p>
    <w:p w:rsidR="00DE3E67" w:rsidRPr="003B0C2B" w:rsidRDefault="00DE3E67" w:rsidP="00DE3E67">
      <w:pPr>
        <w:autoSpaceDE w:val="0"/>
        <w:autoSpaceDN w:val="0"/>
        <w:adjustRightInd w:val="0"/>
        <w:jc w:val="both"/>
        <w:rPr>
          <w:rFonts w:ascii="Calibri" w:hAnsi="Calibri" w:cs="Calibri"/>
          <w:sz w:val="20"/>
        </w:rPr>
      </w:pPr>
    </w:p>
    <w:p w:rsidR="00DE3E67" w:rsidRPr="005842D5" w:rsidRDefault="00DE3E67" w:rsidP="00DE3E67">
      <w:pPr>
        <w:autoSpaceDE w:val="0"/>
        <w:autoSpaceDN w:val="0"/>
        <w:adjustRightInd w:val="0"/>
        <w:jc w:val="both"/>
        <w:rPr>
          <w:rFonts w:ascii="Calibri" w:hAnsi="Calibri" w:cs="Calibri"/>
          <w:bCs/>
          <w:color w:val="000000"/>
          <w:sz w:val="20"/>
        </w:rPr>
      </w:pPr>
      <w:r w:rsidRPr="003B0C2B">
        <w:rPr>
          <w:rFonts w:ascii="Calibri" w:hAnsi="Calibri" w:cs="Calibri"/>
          <w:sz w:val="20"/>
        </w:rPr>
        <w:t xml:space="preserve">Užívateľom a prevádzkovateľom bude </w:t>
      </w:r>
      <w:r>
        <w:rPr>
          <w:rFonts w:ascii="Calibri" w:hAnsi="Calibri" w:cs="Calibri"/>
          <w:sz w:val="20"/>
        </w:rPr>
        <w:t xml:space="preserve">investor: </w:t>
      </w:r>
      <w:r w:rsidRPr="003B0C2B">
        <w:rPr>
          <w:rFonts w:ascii="Calibri" w:hAnsi="Calibri" w:cs="Calibri"/>
          <w:sz w:val="20"/>
        </w:rPr>
        <w:t>STON a.s</w:t>
      </w:r>
      <w:r w:rsidRPr="003B0C2B">
        <w:rPr>
          <w:rFonts w:ascii="Calibri" w:hAnsi="Calibri" w:cs="Calibri"/>
          <w:bCs/>
          <w:color w:val="000000"/>
          <w:sz w:val="20"/>
        </w:rPr>
        <w:t>.</w:t>
      </w:r>
    </w:p>
    <w:p w:rsidR="00DE3E67" w:rsidRDefault="00DE3E67" w:rsidP="00DE3E67">
      <w:pPr>
        <w:jc w:val="both"/>
        <w:rPr>
          <w:rFonts w:ascii="Calibri" w:hAnsi="Calibri" w:cs="Calibri"/>
          <w:sz w:val="20"/>
        </w:rPr>
      </w:pPr>
    </w:p>
    <w:p w:rsidR="00DE3E67" w:rsidRPr="003B0C2B" w:rsidRDefault="00DE3E67" w:rsidP="00DE3E67">
      <w:pPr>
        <w:jc w:val="both"/>
        <w:rPr>
          <w:rFonts w:ascii="Calibri" w:hAnsi="Calibri" w:cs="Calibri"/>
          <w:sz w:val="20"/>
        </w:rPr>
      </w:pPr>
    </w:p>
    <w:p w:rsidR="00DE3E67" w:rsidRPr="003B0C2B" w:rsidRDefault="00DE3E67" w:rsidP="00DE3E67">
      <w:pPr>
        <w:jc w:val="both"/>
        <w:rPr>
          <w:rFonts w:ascii="Calibri" w:hAnsi="Calibri" w:cs="Calibri"/>
          <w:b/>
          <w:sz w:val="20"/>
        </w:rPr>
      </w:pPr>
      <w:r w:rsidRPr="003B0C2B">
        <w:rPr>
          <w:rFonts w:ascii="Calibri" w:hAnsi="Calibri" w:cs="Calibri"/>
          <w:b/>
          <w:sz w:val="20"/>
        </w:rPr>
        <w:t>TERMÍNY VÝSTAVBY</w:t>
      </w:r>
    </w:p>
    <w:p w:rsidR="00DE3E67" w:rsidRPr="003B0C2B" w:rsidRDefault="00DE3E67" w:rsidP="00DE3E67">
      <w:pPr>
        <w:jc w:val="both"/>
        <w:rPr>
          <w:rFonts w:ascii="Calibri" w:hAnsi="Calibri" w:cs="Calibri"/>
          <w:sz w:val="20"/>
        </w:rPr>
      </w:pPr>
    </w:p>
    <w:p w:rsidR="00DE3E67" w:rsidRPr="003B0C2B" w:rsidRDefault="00DE3E67" w:rsidP="00DE3E67">
      <w:pPr>
        <w:jc w:val="both"/>
        <w:rPr>
          <w:rFonts w:ascii="Calibri" w:hAnsi="Calibri" w:cs="Calibri"/>
          <w:sz w:val="20"/>
        </w:rPr>
      </w:pPr>
      <w:r w:rsidRPr="003B0C2B">
        <w:rPr>
          <w:rFonts w:ascii="Calibri" w:hAnsi="Calibri" w:cs="Calibri"/>
          <w:sz w:val="20"/>
        </w:rPr>
        <w:t>Zahájenie výstavby:    0</w:t>
      </w:r>
      <w:r>
        <w:rPr>
          <w:rFonts w:ascii="Calibri" w:hAnsi="Calibri" w:cs="Calibri"/>
          <w:sz w:val="20"/>
        </w:rPr>
        <w:t>6</w:t>
      </w:r>
      <w:r w:rsidRPr="003B0C2B">
        <w:rPr>
          <w:rFonts w:ascii="Calibri" w:hAnsi="Calibri" w:cs="Calibri"/>
          <w:sz w:val="20"/>
        </w:rPr>
        <w:t xml:space="preserve"> / 20</w:t>
      </w:r>
      <w:r>
        <w:rPr>
          <w:rFonts w:ascii="Calibri" w:hAnsi="Calibri" w:cs="Calibri"/>
          <w:sz w:val="20"/>
        </w:rPr>
        <w:t>20</w:t>
      </w:r>
      <w:r w:rsidRPr="003B0C2B">
        <w:rPr>
          <w:rFonts w:ascii="Calibri" w:hAnsi="Calibri" w:cs="Calibri"/>
          <w:sz w:val="20"/>
        </w:rPr>
        <w:t xml:space="preserve"> </w:t>
      </w:r>
    </w:p>
    <w:p w:rsidR="00DE3E67" w:rsidRPr="003B0C2B" w:rsidRDefault="00DE3E67" w:rsidP="00DE3E67">
      <w:pPr>
        <w:jc w:val="both"/>
        <w:rPr>
          <w:rFonts w:ascii="Calibri" w:hAnsi="Calibri" w:cs="Calibri"/>
          <w:sz w:val="20"/>
        </w:rPr>
      </w:pPr>
      <w:r w:rsidRPr="003B0C2B">
        <w:rPr>
          <w:rFonts w:ascii="Calibri" w:hAnsi="Calibri" w:cs="Calibri"/>
          <w:sz w:val="20"/>
        </w:rPr>
        <w:t>Ukončenie výstavby:  0</w:t>
      </w:r>
      <w:r>
        <w:rPr>
          <w:rFonts w:ascii="Calibri" w:hAnsi="Calibri" w:cs="Calibri"/>
          <w:sz w:val="20"/>
        </w:rPr>
        <w:t xml:space="preserve">6 </w:t>
      </w:r>
      <w:r w:rsidRPr="003B0C2B">
        <w:rPr>
          <w:rFonts w:ascii="Calibri" w:hAnsi="Calibri" w:cs="Calibri"/>
          <w:sz w:val="20"/>
        </w:rPr>
        <w:t>/ 202</w:t>
      </w:r>
      <w:r>
        <w:rPr>
          <w:rFonts w:ascii="Calibri" w:hAnsi="Calibri" w:cs="Calibri"/>
          <w:sz w:val="20"/>
        </w:rPr>
        <w:t>2</w:t>
      </w:r>
      <w:r w:rsidRPr="003B0C2B">
        <w:rPr>
          <w:rFonts w:ascii="Calibri" w:hAnsi="Calibri" w:cs="Calibri"/>
          <w:sz w:val="20"/>
        </w:rPr>
        <w:t xml:space="preserve"> </w:t>
      </w:r>
    </w:p>
    <w:p w:rsidR="00DE3E67" w:rsidRPr="003B0C2B" w:rsidRDefault="00DE3E67" w:rsidP="00DE3E67">
      <w:pPr>
        <w:jc w:val="both"/>
        <w:rPr>
          <w:rFonts w:ascii="Calibri" w:hAnsi="Calibri" w:cs="Calibri"/>
          <w:sz w:val="20"/>
        </w:rPr>
      </w:pPr>
      <w:r w:rsidRPr="003B0C2B">
        <w:rPr>
          <w:rFonts w:ascii="Calibri" w:hAnsi="Calibri" w:cs="Calibri"/>
          <w:sz w:val="20"/>
        </w:rPr>
        <w:t xml:space="preserve">Predpokladaná lehota výstavby je 24 mesiacov.  </w:t>
      </w:r>
    </w:p>
    <w:p w:rsidR="00DE3E67" w:rsidRDefault="00DE3E67" w:rsidP="00DE3E67">
      <w:pPr>
        <w:jc w:val="both"/>
        <w:rPr>
          <w:rFonts w:ascii="Calibri" w:hAnsi="Calibri" w:cs="Calibri"/>
          <w:sz w:val="20"/>
        </w:rPr>
      </w:pPr>
    </w:p>
    <w:p w:rsidR="00DE3E67" w:rsidRPr="003B0C2B" w:rsidRDefault="00DE3E67" w:rsidP="00DE3E67">
      <w:pPr>
        <w:jc w:val="both"/>
        <w:rPr>
          <w:rFonts w:ascii="Calibri" w:hAnsi="Calibri" w:cs="Calibri"/>
          <w:sz w:val="20"/>
        </w:rPr>
      </w:pPr>
    </w:p>
    <w:p w:rsidR="00DE3E67" w:rsidRPr="003B0C2B" w:rsidRDefault="00DE3E67" w:rsidP="00DE3E67">
      <w:pPr>
        <w:jc w:val="both"/>
        <w:rPr>
          <w:rFonts w:ascii="Calibri" w:hAnsi="Calibri" w:cs="Calibri"/>
          <w:b/>
          <w:sz w:val="20"/>
        </w:rPr>
      </w:pPr>
      <w:r w:rsidRPr="003B0C2B">
        <w:rPr>
          <w:rFonts w:ascii="Calibri" w:hAnsi="Calibri" w:cs="Calibri"/>
          <w:b/>
          <w:sz w:val="20"/>
        </w:rPr>
        <w:t>CELKOVÉ NÁKLADY STAVBY</w:t>
      </w:r>
    </w:p>
    <w:p w:rsidR="00DE3E67" w:rsidRPr="003B0C2B" w:rsidRDefault="00DE3E67" w:rsidP="00DE3E67">
      <w:pPr>
        <w:jc w:val="both"/>
        <w:rPr>
          <w:rFonts w:ascii="Calibri" w:hAnsi="Calibri" w:cs="Calibri"/>
          <w:sz w:val="20"/>
        </w:rPr>
      </w:pPr>
    </w:p>
    <w:p w:rsidR="00DE3E67" w:rsidRPr="003B0C2B" w:rsidRDefault="00DE3E67" w:rsidP="00DE3E67">
      <w:pPr>
        <w:jc w:val="both"/>
        <w:rPr>
          <w:rFonts w:ascii="Calibri" w:hAnsi="Calibri" w:cs="Calibri"/>
          <w:sz w:val="20"/>
        </w:rPr>
      </w:pPr>
      <w:r>
        <w:rPr>
          <w:rFonts w:ascii="Calibri" w:hAnsi="Calibri" w:cs="Calibri"/>
          <w:sz w:val="20"/>
        </w:rPr>
        <w:t>Rozpočet je spracovaný v samostnej prílohe projektu</w:t>
      </w:r>
    </w:p>
    <w:p w:rsidR="003B0C2B" w:rsidRPr="00265854" w:rsidRDefault="003B0C2B" w:rsidP="0009245A">
      <w:pPr>
        <w:widowControl w:val="0"/>
        <w:tabs>
          <w:tab w:val="left" w:pos="0"/>
        </w:tabs>
        <w:autoSpaceDE w:val="0"/>
        <w:autoSpaceDN w:val="0"/>
        <w:adjustRightInd w:val="0"/>
        <w:spacing w:before="18"/>
        <w:ind w:right="160"/>
        <w:jc w:val="both"/>
        <w:rPr>
          <w:rFonts w:ascii="Calibri" w:hAnsi="Calibri" w:cs="Calibri"/>
          <w:b/>
          <w:spacing w:val="1"/>
          <w:sz w:val="20"/>
          <w:lang w:eastAsia="cs-CZ"/>
        </w:rPr>
      </w:pPr>
    </w:p>
    <w:p w:rsidR="00DE3AB5" w:rsidRPr="003B0C2B" w:rsidRDefault="00DE3AB5" w:rsidP="0009245A">
      <w:pPr>
        <w:pStyle w:val="Nadpis2"/>
        <w:numPr>
          <w:ilvl w:val="0"/>
          <w:numId w:val="0"/>
        </w:numPr>
        <w:ind w:left="397" w:hanging="397"/>
        <w:rPr>
          <w:rFonts w:ascii="Calibri" w:hAnsi="Calibri" w:cs="Calibri"/>
          <w:szCs w:val="20"/>
          <w:lang w:val="sk-SK"/>
        </w:rPr>
      </w:pPr>
      <w:r w:rsidRPr="003B0C2B">
        <w:rPr>
          <w:rFonts w:ascii="Calibri" w:hAnsi="Calibri" w:cs="Calibri"/>
          <w:szCs w:val="20"/>
          <w:lang w:val="sk-SK"/>
        </w:rPr>
        <w:t>POPIS JESTVUJÚCEHO STAVU</w:t>
      </w:r>
      <w:r w:rsidR="00097146">
        <w:rPr>
          <w:rFonts w:ascii="Calibri" w:hAnsi="Calibri" w:cs="Calibri"/>
          <w:szCs w:val="20"/>
          <w:lang w:val="sk-SK"/>
        </w:rPr>
        <w:t xml:space="preserve"> POZEMKU PRE PLÁNOVANÚ VÝSTAVBU</w:t>
      </w:r>
    </w:p>
    <w:p w:rsidR="003B0C2B" w:rsidRPr="003B0C2B" w:rsidRDefault="003B0C2B" w:rsidP="003B0C2B">
      <w:pPr>
        <w:rPr>
          <w:highlight w:val="yellow"/>
        </w:rPr>
      </w:pPr>
    </w:p>
    <w:p w:rsidR="00B64F97" w:rsidRDefault="00097146" w:rsidP="007A3A8A">
      <w:pPr>
        <w:jc w:val="both"/>
        <w:rPr>
          <w:rFonts w:ascii="Calibri" w:hAnsi="Calibri" w:cs="Calibri"/>
          <w:sz w:val="20"/>
        </w:rPr>
      </w:pPr>
      <w:r w:rsidRPr="00A761C1">
        <w:rPr>
          <w:rFonts w:ascii="Calibri" w:hAnsi="Calibri" w:cs="Calibri"/>
          <w:sz w:val="20"/>
        </w:rPr>
        <w:t xml:space="preserve">Pozemok navrhovaného Vinárstva S je situovaný uprostred drobnej vidieckej zástavby prízemných podpivničených domov, slúžiacich pre potreby okolitých vínnych prevádzok. Má prevažne obdĺžnikový tvar a je zložený z niekoľkých úzkych podlhovastých parciel s orientáciou na juhozápad-severovýchod. Prístup na pozemok sa nachádza z jeho juhozápadnej strany, ktorá hraničí s miestnou spevnenou komunikáciou. Z hľadiska funkčnej náplne tvorí jeho prevažnú časť vinohrad, doplnený drobnou architektúrou v podobe </w:t>
      </w:r>
      <w:r w:rsidR="00385D7E">
        <w:rPr>
          <w:rFonts w:ascii="Calibri" w:hAnsi="Calibri" w:cs="Calibri"/>
          <w:sz w:val="20"/>
        </w:rPr>
        <w:t>2</w:t>
      </w:r>
      <w:r w:rsidRPr="00A761C1">
        <w:rPr>
          <w:rFonts w:ascii="Calibri" w:hAnsi="Calibri" w:cs="Calibri"/>
          <w:sz w:val="20"/>
        </w:rPr>
        <w:t xml:space="preserve"> </w:t>
      </w:r>
      <w:r>
        <w:rPr>
          <w:rFonts w:ascii="Calibri" w:hAnsi="Calibri" w:cs="Calibri"/>
          <w:sz w:val="20"/>
        </w:rPr>
        <w:t xml:space="preserve">jestvujúcich </w:t>
      </w:r>
      <w:r w:rsidRPr="00A761C1">
        <w:rPr>
          <w:rFonts w:ascii="Calibri" w:hAnsi="Calibri" w:cs="Calibri"/>
          <w:sz w:val="20"/>
        </w:rPr>
        <w:t>prízemných stavieb</w:t>
      </w:r>
      <w:r>
        <w:rPr>
          <w:rFonts w:ascii="Calibri" w:hAnsi="Calibri" w:cs="Calibri"/>
          <w:sz w:val="20"/>
        </w:rPr>
        <w:t xml:space="preserve"> </w:t>
      </w:r>
      <w:r w:rsidR="00DE3E67">
        <w:rPr>
          <w:rFonts w:ascii="Calibri" w:hAnsi="Calibri" w:cs="Calibri"/>
          <w:sz w:val="20"/>
        </w:rPr>
        <w:t>ktoré su určené na asanáciu</w:t>
      </w:r>
      <w:r w:rsidR="00B64F97">
        <w:rPr>
          <w:rFonts w:ascii="Calibri" w:hAnsi="Calibri" w:cs="Calibri"/>
          <w:sz w:val="20"/>
        </w:rPr>
        <w:t>.</w:t>
      </w:r>
    </w:p>
    <w:p w:rsidR="00CD3C73" w:rsidRDefault="00B64F97" w:rsidP="007A3A8A">
      <w:pPr>
        <w:jc w:val="both"/>
        <w:rPr>
          <w:rFonts w:ascii="Calibri" w:hAnsi="Calibri" w:cs="Calibri"/>
          <w:sz w:val="20"/>
        </w:rPr>
      </w:pPr>
      <w:r>
        <w:rPr>
          <w:rFonts w:ascii="Calibri" w:hAnsi="Calibri" w:cs="Calibri"/>
          <w:sz w:val="20"/>
        </w:rPr>
        <w:t>Na pozemku sa nachádza aj jedna pôvodná vínna pivnica,</w:t>
      </w:r>
      <w:r w:rsidR="00E52F13">
        <w:rPr>
          <w:rFonts w:ascii="Calibri" w:hAnsi="Calibri" w:cs="Calibri"/>
          <w:sz w:val="20"/>
        </w:rPr>
        <w:t xml:space="preserve"> ktorá bude zachovaná a integrovaná do novonavrhovaného komplexu. </w:t>
      </w:r>
    </w:p>
    <w:p w:rsidR="00097146" w:rsidRPr="00A761C1" w:rsidRDefault="00CD3C73" w:rsidP="007A3A8A">
      <w:pPr>
        <w:jc w:val="both"/>
        <w:rPr>
          <w:rFonts w:ascii="Calibri" w:hAnsi="Calibri" w:cs="Calibri"/>
          <w:sz w:val="20"/>
        </w:rPr>
      </w:pPr>
      <w:r>
        <w:rPr>
          <w:rFonts w:ascii="Calibri" w:hAnsi="Calibri" w:cs="Calibri"/>
          <w:sz w:val="20"/>
        </w:rPr>
        <w:t>Na pozemku sa nachádzajú aj niekoľko drevín v juhozápadnej časti pozemku s ktorými budeme pracovať v zmysle navrhovných sadových úprav</w:t>
      </w:r>
      <w:r w:rsidR="00E52F13">
        <w:rPr>
          <w:rFonts w:ascii="Calibri" w:hAnsi="Calibri" w:cs="Calibri"/>
          <w:sz w:val="20"/>
        </w:rPr>
        <w:t xml:space="preserve">. </w:t>
      </w:r>
      <w:r w:rsidR="00097146" w:rsidRPr="00A761C1">
        <w:rPr>
          <w:rFonts w:ascii="Calibri" w:hAnsi="Calibri" w:cs="Calibri"/>
          <w:sz w:val="20"/>
        </w:rPr>
        <w:tab/>
      </w:r>
    </w:p>
    <w:p w:rsidR="00DE3AB5" w:rsidRDefault="00DE3AB5" w:rsidP="0009245A">
      <w:pPr>
        <w:widowControl w:val="0"/>
        <w:tabs>
          <w:tab w:val="left" w:pos="0"/>
        </w:tabs>
        <w:autoSpaceDE w:val="0"/>
        <w:autoSpaceDN w:val="0"/>
        <w:adjustRightInd w:val="0"/>
        <w:spacing w:before="18"/>
        <w:ind w:right="160"/>
        <w:jc w:val="both"/>
        <w:rPr>
          <w:rFonts w:ascii="Calibri" w:hAnsi="Calibri" w:cs="Calibri"/>
          <w:b/>
          <w:spacing w:val="1"/>
          <w:sz w:val="20"/>
          <w:lang w:eastAsia="cs-CZ"/>
        </w:rPr>
      </w:pPr>
    </w:p>
    <w:p w:rsidR="007D02DA" w:rsidRDefault="007D02DA" w:rsidP="0009245A">
      <w:pPr>
        <w:widowControl w:val="0"/>
        <w:tabs>
          <w:tab w:val="left" w:pos="0"/>
        </w:tabs>
        <w:autoSpaceDE w:val="0"/>
        <w:autoSpaceDN w:val="0"/>
        <w:adjustRightInd w:val="0"/>
        <w:spacing w:before="18"/>
        <w:ind w:right="160"/>
        <w:jc w:val="both"/>
        <w:rPr>
          <w:rFonts w:ascii="Calibri" w:hAnsi="Calibri" w:cs="Calibri"/>
          <w:b/>
          <w:spacing w:val="1"/>
          <w:sz w:val="20"/>
          <w:lang w:eastAsia="cs-CZ"/>
        </w:rPr>
      </w:pPr>
    </w:p>
    <w:p w:rsidR="007D02DA" w:rsidRDefault="007D02DA" w:rsidP="0009245A">
      <w:pPr>
        <w:widowControl w:val="0"/>
        <w:tabs>
          <w:tab w:val="left" w:pos="0"/>
        </w:tabs>
        <w:autoSpaceDE w:val="0"/>
        <w:autoSpaceDN w:val="0"/>
        <w:adjustRightInd w:val="0"/>
        <w:spacing w:before="18"/>
        <w:ind w:right="160"/>
        <w:jc w:val="both"/>
        <w:rPr>
          <w:rFonts w:ascii="Calibri" w:hAnsi="Calibri" w:cs="Calibri"/>
          <w:b/>
          <w:spacing w:val="1"/>
          <w:sz w:val="20"/>
          <w:lang w:eastAsia="cs-CZ"/>
        </w:rPr>
      </w:pPr>
    </w:p>
    <w:p w:rsidR="007D02DA" w:rsidRDefault="007D02DA" w:rsidP="0009245A">
      <w:pPr>
        <w:widowControl w:val="0"/>
        <w:tabs>
          <w:tab w:val="left" w:pos="0"/>
        </w:tabs>
        <w:autoSpaceDE w:val="0"/>
        <w:autoSpaceDN w:val="0"/>
        <w:adjustRightInd w:val="0"/>
        <w:spacing w:before="18"/>
        <w:ind w:right="160"/>
        <w:jc w:val="both"/>
        <w:rPr>
          <w:rFonts w:ascii="Calibri" w:hAnsi="Calibri" w:cs="Calibri"/>
          <w:b/>
          <w:spacing w:val="1"/>
          <w:sz w:val="20"/>
          <w:lang w:eastAsia="cs-CZ"/>
        </w:rPr>
      </w:pPr>
    </w:p>
    <w:p w:rsidR="007D02DA" w:rsidRDefault="007D02DA" w:rsidP="0009245A">
      <w:pPr>
        <w:widowControl w:val="0"/>
        <w:tabs>
          <w:tab w:val="left" w:pos="0"/>
        </w:tabs>
        <w:autoSpaceDE w:val="0"/>
        <w:autoSpaceDN w:val="0"/>
        <w:adjustRightInd w:val="0"/>
        <w:spacing w:before="18"/>
        <w:ind w:right="160"/>
        <w:jc w:val="both"/>
        <w:rPr>
          <w:rFonts w:ascii="Calibri" w:hAnsi="Calibri" w:cs="Calibri"/>
          <w:b/>
          <w:spacing w:val="1"/>
          <w:sz w:val="20"/>
          <w:lang w:eastAsia="cs-CZ"/>
        </w:rPr>
      </w:pPr>
    </w:p>
    <w:p w:rsidR="007D02DA" w:rsidRDefault="007D02DA" w:rsidP="0009245A">
      <w:pPr>
        <w:widowControl w:val="0"/>
        <w:tabs>
          <w:tab w:val="left" w:pos="0"/>
        </w:tabs>
        <w:autoSpaceDE w:val="0"/>
        <w:autoSpaceDN w:val="0"/>
        <w:adjustRightInd w:val="0"/>
        <w:spacing w:before="18"/>
        <w:ind w:right="160"/>
        <w:jc w:val="both"/>
        <w:rPr>
          <w:rFonts w:ascii="Calibri" w:hAnsi="Calibri" w:cs="Calibri"/>
          <w:b/>
          <w:spacing w:val="1"/>
          <w:sz w:val="20"/>
          <w:lang w:eastAsia="cs-CZ"/>
        </w:rPr>
      </w:pPr>
    </w:p>
    <w:p w:rsidR="007D02DA" w:rsidRDefault="007D02DA" w:rsidP="0009245A">
      <w:pPr>
        <w:widowControl w:val="0"/>
        <w:tabs>
          <w:tab w:val="left" w:pos="0"/>
        </w:tabs>
        <w:autoSpaceDE w:val="0"/>
        <w:autoSpaceDN w:val="0"/>
        <w:adjustRightInd w:val="0"/>
        <w:spacing w:before="18"/>
        <w:ind w:right="160"/>
        <w:jc w:val="both"/>
        <w:rPr>
          <w:rFonts w:ascii="Calibri" w:hAnsi="Calibri" w:cs="Calibri"/>
          <w:b/>
          <w:spacing w:val="1"/>
          <w:sz w:val="20"/>
          <w:lang w:eastAsia="cs-CZ"/>
        </w:rPr>
      </w:pPr>
    </w:p>
    <w:p w:rsidR="005A2AD3" w:rsidRDefault="005A2AD3" w:rsidP="0009245A">
      <w:pPr>
        <w:pStyle w:val="Nadpis2"/>
        <w:numPr>
          <w:ilvl w:val="0"/>
          <w:numId w:val="0"/>
        </w:numPr>
        <w:rPr>
          <w:rFonts w:ascii="Calibri" w:hAnsi="Calibri" w:cs="Calibri"/>
          <w:sz w:val="24"/>
          <w:szCs w:val="20"/>
        </w:rPr>
      </w:pPr>
      <w:bookmarkStart w:id="2" w:name="_Toc393700955"/>
      <w:r w:rsidRPr="007D02DA">
        <w:rPr>
          <w:rFonts w:ascii="Calibri" w:hAnsi="Calibri" w:cs="Calibri"/>
          <w:sz w:val="24"/>
          <w:szCs w:val="20"/>
        </w:rPr>
        <w:lastRenderedPageBreak/>
        <w:t xml:space="preserve">B. </w:t>
      </w:r>
      <w:bookmarkStart w:id="3" w:name="_Toc393700956"/>
      <w:bookmarkEnd w:id="2"/>
      <w:r w:rsidRPr="007D02DA">
        <w:rPr>
          <w:rFonts w:ascii="Calibri" w:hAnsi="Calibri" w:cs="Calibri"/>
          <w:caps/>
          <w:sz w:val="24"/>
          <w:szCs w:val="20"/>
        </w:rPr>
        <w:t>SÚHRNNÁ TECHNICKÁ SPRÁVA</w:t>
      </w:r>
      <w:r w:rsidRPr="007D02DA">
        <w:rPr>
          <w:rFonts w:ascii="Calibri" w:hAnsi="Calibri" w:cs="Calibri"/>
          <w:sz w:val="24"/>
          <w:szCs w:val="20"/>
        </w:rPr>
        <w:t xml:space="preserve"> </w:t>
      </w:r>
    </w:p>
    <w:p w:rsidR="007D02DA" w:rsidRDefault="007D02DA" w:rsidP="007D02DA">
      <w:pPr>
        <w:rPr>
          <w:lang w:val="cs-CZ"/>
        </w:rPr>
      </w:pPr>
    </w:p>
    <w:p w:rsidR="007D02DA" w:rsidRPr="007D02DA" w:rsidRDefault="007D02DA" w:rsidP="007D02DA">
      <w:pPr>
        <w:rPr>
          <w:lang w:val="cs-CZ"/>
        </w:rPr>
      </w:pPr>
    </w:p>
    <w:p w:rsidR="005A2AD3" w:rsidRPr="00217D62" w:rsidRDefault="005A2AD3" w:rsidP="00165ED7">
      <w:pPr>
        <w:pStyle w:val="Nadpis1"/>
      </w:pPr>
      <w:r w:rsidRPr="00217D62">
        <w:t>Ú</w:t>
      </w:r>
      <w:r w:rsidR="00217D62" w:rsidRPr="00217D62">
        <w:t>ZEMIE VÝSTAVBY A ARCHITEKTONICKO – TECHNICKÁ KONCEPCIA STAVBY</w:t>
      </w:r>
      <w:r w:rsidRPr="00217D62">
        <w:t xml:space="preserve">  </w:t>
      </w:r>
      <w:bookmarkEnd w:id="3"/>
    </w:p>
    <w:p w:rsidR="00A339D0" w:rsidRPr="004A47C5" w:rsidRDefault="00A339D0" w:rsidP="0009245A">
      <w:pPr>
        <w:widowControl w:val="0"/>
        <w:tabs>
          <w:tab w:val="left" w:pos="0"/>
        </w:tabs>
        <w:autoSpaceDE w:val="0"/>
        <w:autoSpaceDN w:val="0"/>
        <w:adjustRightInd w:val="0"/>
        <w:spacing w:before="18"/>
        <w:ind w:right="160"/>
        <w:jc w:val="both"/>
        <w:rPr>
          <w:rFonts w:ascii="Calibri" w:hAnsi="Calibri" w:cs="Calibri"/>
          <w:b/>
          <w:spacing w:val="1"/>
          <w:sz w:val="20"/>
          <w:highlight w:val="yellow"/>
          <w:lang w:eastAsia="cs-CZ"/>
        </w:rPr>
      </w:pPr>
    </w:p>
    <w:p w:rsidR="00A339D0" w:rsidRPr="00217D62" w:rsidRDefault="00A339D0" w:rsidP="007A3A8A">
      <w:pPr>
        <w:jc w:val="both"/>
        <w:rPr>
          <w:rFonts w:ascii="Calibri" w:hAnsi="Calibri" w:cs="Calibri"/>
          <w:b/>
          <w:sz w:val="20"/>
        </w:rPr>
      </w:pPr>
      <w:r w:rsidRPr="00217D62">
        <w:rPr>
          <w:rFonts w:ascii="Calibri" w:hAnsi="Calibri" w:cs="Calibri"/>
          <w:b/>
          <w:sz w:val="20"/>
        </w:rPr>
        <w:t>a) Stavenisko</w:t>
      </w:r>
    </w:p>
    <w:p w:rsidR="00A761C1" w:rsidRDefault="00A761C1" w:rsidP="007A3A8A">
      <w:pPr>
        <w:jc w:val="both"/>
        <w:rPr>
          <w:rFonts w:ascii="Calibri" w:hAnsi="Calibri" w:cs="Calibri"/>
          <w:sz w:val="20"/>
        </w:rPr>
      </w:pPr>
      <w:r w:rsidRPr="00A761C1">
        <w:rPr>
          <w:rFonts w:ascii="Calibri" w:hAnsi="Calibri" w:cs="Calibri"/>
          <w:sz w:val="20"/>
        </w:rPr>
        <w:t xml:space="preserve">Riešené územie sa nachádza v extraviláne obce Strekov, v lokalite Vinohrady – Stredný vrch, približne 2 kilometre od Hlavnej ulice. Obec Strekov leží 27 km od okresného mesta Nové Zámky. </w:t>
      </w:r>
    </w:p>
    <w:p w:rsidR="00A339D0" w:rsidRPr="00A761C1" w:rsidRDefault="00A761C1" w:rsidP="007A3A8A">
      <w:pPr>
        <w:jc w:val="both"/>
        <w:rPr>
          <w:rFonts w:ascii="Calibri" w:hAnsi="Calibri" w:cs="Calibri"/>
          <w:sz w:val="20"/>
        </w:rPr>
      </w:pPr>
      <w:r w:rsidRPr="00A761C1">
        <w:rPr>
          <w:rFonts w:ascii="Calibri" w:hAnsi="Calibri" w:cs="Calibri"/>
          <w:sz w:val="20"/>
        </w:rPr>
        <w:t xml:space="preserve">Pozemok navrhovaného Vinárstva S je situovaný uprostred drobnej vidieckej zástavby prízemných podpivničených domov, slúžiacich pre potreby okolitých vínnych prevádzok. Má prevažne obdĺžnikový tvar a je zložený z niekoľkých úzkych podlhovastých parciel s orientáciou na juhozápad-severovýchod. Prístup na pozemok sa nachádza z jeho juhozápadnej strany, ktorá hraničí s miestnou spevnenou komunikáciou. Z hľadiska funkčnej náplne tvorí jeho prevažnú časť vinohrad, doplnený drobnou architektúrou v podobe </w:t>
      </w:r>
      <w:r w:rsidR="003B0D53">
        <w:rPr>
          <w:rFonts w:ascii="Calibri" w:hAnsi="Calibri" w:cs="Calibri"/>
          <w:sz w:val="20"/>
        </w:rPr>
        <w:t>2</w:t>
      </w:r>
      <w:r w:rsidRPr="00A761C1">
        <w:rPr>
          <w:rFonts w:ascii="Calibri" w:hAnsi="Calibri" w:cs="Calibri"/>
          <w:sz w:val="20"/>
        </w:rPr>
        <w:t xml:space="preserve"> </w:t>
      </w:r>
      <w:r w:rsidR="003B40C3">
        <w:rPr>
          <w:rFonts w:ascii="Calibri" w:hAnsi="Calibri" w:cs="Calibri"/>
          <w:sz w:val="20"/>
        </w:rPr>
        <w:t xml:space="preserve">jestvujúcich </w:t>
      </w:r>
      <w:r w:rsidRPr="00A761C1">
        <w:rPr>
          <w:rFonts w:ascii="Calibri" w:hAnsi="Calibri" w:cs="Calibri"/>
          <w:sz w:val="20"/>
        </w:rPr>
        <w:t>prízemných stavieb</w:t>
      </w:r>
      <w:r w:rsidR="003B40C3">
        <w:rPr>
          <w:rFonts w:ascii="Calibri" w:hAnsi="Calibri" w:cs="Calibri"/>
          <w:sz w:val="20"/>
        </w:rPr>
        <w:t xml:space="preserve"> určených na asanáciu</w:t>
      </w:r>
      <w:r w:rsidRPr="00A761C1">
        <w:rPr>
          <w:rFonts w:ascii="Calibri" w:hAnsi="Calibri" w:cs="Calibri"/>
          <w:sz w:val="20"/>
        </w:rPr>
        <w:t>.</w:t>
      </w:r>
      <w:r w:rsidR="00A339D0" w:rsidRPr="00A761C1">
        <w:rPr>
          <w:rFonts w:ascii="Calibri" w:hAnsi="Calibri" w:cs="Calibri"/>
          <w:sz w:val="20"/>
        </w:rPr>
        <w:tab/>
      </w:r>
    </w:p>
    <w:p w:rsidR="00A761C1" w:rsidRDefault="00A761C1" w:rsidP="007A3A8A">
      <w:pPr>
        <w:jc w:val="both"/>
        <w:rPr>
          <w:rFonts w:ascii="Calibri" w:hAnsi="Calibri" w:cs="Calibri"/>
          <w:b/>
          <w:sz w:val="20"/>
        </w:rPr>
      </w:pPr>
    </w:p>
    <w:p w:rsidR="00A339D0" w:rsidRPr="00217D62" w:rsidRDefault="00A339D0" w:rsidP="007A3A8A">
      <w:pPr>
        <w:jc w:val="both"/>
        <w:rPr>
          <w:rFonts w:ascii="Calibri" w:hAnsi="Calibri" w:cs="Calibri"/>
          <w:b/>
          <w:sz w:val="20"/>
        </w:rPr>
      </w:pPr>
      <w:r w:rsidRPr="00217D62">
        <w:rPr>
          <w:rFonts w:ascii="Calibri" w:hAnsi="Calibri" w:cs="Calibri"/>
          <w:b/>
          <w:sz w:val="20"/>
        </w:rPr>
        <w:t>b) Územno-hospodárske zásady</w:t>
      </w:r>
    </w:p>
    <w:p w:rsidR="00A339D0" w:rsidRPr="006A3CFC" w:rsidRDefault="00A339D0" w:rsidP="007A3A8A">
      <w:pPr>
        <w:jc w:val="both"/>
        <w:rPr>
          <w:rFonts w:ascii="Calibri" w:hAnsi="Calibri" w:cs="Calibri"/>
          <w:iCs/>
          <w:sz w:val="20"/>
        </w:rPr>
      </w:pPr>
      <w:r w:rsidRPr="006A3CFC">
        <w:rPr>
          <w:rFonts w:ascii="Calibri" w:hAnsi="Calibri" w:cs="Calibri"/>
          <w:sz w:val="20"/>
        </w:rPr>
        <w:t xml:space="preserve">Územie sa nachádza </w:t>
      </w:r>
      <w:r w:rsidRPr="006A3CFC">
        <w:rPr>
          <w:rFonts w:ascii="Calibri" w:hAnsi="Calibri" w:cs="Calibri"/>
          <w:iCs/>
          <w:sz w:val="20"/>
        </w:rPr>
        <w:t xml:space="preserve">v katastri obce </w:t>
      </w:r>
      <w:r w:rsidR="006A3CFC">
        <w:rPr>
          <w:rFonts w:ascii="Calibri" w:hAnsi="Calibri" w:cs="Calibri"/>
          <w:iCs/>
          <w:sz w:val="20"/>
        </w:rPr>
        <w:t>Strekov</w:t>
      </w:r>
      <w:r w:rsidRPr="006A3CFC">
        <w:rPr>
          <w:rFonts w:ascii="Calibri" w:hAnsi="Calibri" w:cs="Calibri"/>
          <w:iCs/>
          <w:sz w:val="20"/>
        </w:rPr>
        <w:t>,</w:t>
      </w:r>
      <w:r w:rsidR="006A3CFC">
        <w:rPr>
          <w:rFonts w:ascii="Calibri" w:hAnsi="Calibri" w:cs="Calibri"/>
          <w:iCs/>
          <w:sz w:val="20"/>
        </w:rPr>
        <w:t xml:space="preserve"> na parcelách vo výhradnom vlastníctve investora</w:t>
      </w:r>
      <w:r w:rsidRPr="006A3CFC">
        <w:rPr>
          <w:rFonts w:ascii="Calibri" w:hAnsi="Calibri" w:cs="Calibri"/>
          <w:iCs/>
          <w:sz w:val="20"/>
        </w:rPr>
        <w:t>.</w:t>
      </w:r>
    </w:p>
    <w:p w:rsidR="00123C3F" w:rsidRPr="006A3CFC" w:rsidRDefault="00123C3F" w:rsidP="007A3A8A">
      <w:pPr>
        <w:jc w:val="both"/>
        <w:rPr>
          <w:rFonts w:ascii="Calibri" w:hAnsi="Calibri" w:cs="Calibri"/>
          <w:iCs/>
          <w:sz w:val="20"/>
        </w:rPr>
      </w:pPr>
    </w:p>
    <w:p w:rsidR="00A339D0" w:rsidRPr="00217D62" w:rsidRDefault="00A339D0" w:rsidP="007A3A8A">
      <w:pPr>
        <w:jc w:val="both"/>
        <w:rPr>
          <w:rFonts w:ascii="Calibri" w:hAnsi="Calibri" w:cs="Calibri"/>
          <w:b/>
          <w:sz w:val="20"/>
        </w:rPr>
      </w:pPr>
      <w:r w:rsidRPr="00217D62">
        <w:rPr>
          <w:rFonts w:ascii="Calibri" w:hAnsi="Calibri" w:cs="Calibri"/>
          <w:b/>
          <w:sz w:val="20"/>
        </w:rPr>
        <w:t>c) Vstupné podklady pre lokalizáciu stavby</w:t>
      </w:r>
    </w:p>
    <w:p w:rsidR="00A339D0" w:rsidRPr="00872283" w:rsidRDefault="00A339D0" w:rsidP="007A3A8A">
      <w:pPr>
        <w:jc w:val="both"/>
        <w:rPr>
          <w:rFonts w:ascii="Calibri" w:hAnsi="Calibri" w:cs="Calibri"/>
          <w:sz w:val="20"/>
        </w:rPr>
      </w:pPr>
      <w:r w:rsidRPr="00872283">
        <w:rPr>
          <w:rFonts w:ascii="Calibri" w:hAnsi="Calibri" w:cs="Calibri"/>
          <w:sz w:val="20"/>
        </w:rPr>
        <w:t xml:space="preserve">- snímka z katastrálnej mapy </w:t>
      </w:r>
      <w:r w:rsidRPr="00872283">
        <w:rPr>
          <w:rFonts w:ascii="Calibri" w:hAnsi="Calibri" w:cs="Calibri"/>
          <w:sz w:val="20"/>
        </w:rPr>
        <w:tab/>
      </w:r>
      <w:r w:rsidRPr="00872283">
        <w:rPr>
          <w:rFonts w:ascii="Calibri" w:hAnsi="Calibri" w:cs="Calibri"/>
          <w:sz w:val="20"/>
        </w:rPr>
        <w:tab/>
      </w:r>
      <w:r w:rsidRPr="00872283">
        <w:rPr>
          <w:rFonts w:ascii="Calibri" w:hAnsi="Calibri" w:cs="Calibri"/>
          <w:sz w:val="20"/>
        </w:rPr>
        <w:tab/>
      </w:r>
    </w:p>
    <w:p w:rsidR="006A3CFC" w:rsidRDefault="00A339D0" w:rsidP="007A3A8A">
      <w:pPr>
        <w:jc w:val="both"/>
        <w:rPr>
          <w:rFonts w:ascii="Calibri" w:hAnsi="Calibri" w:cs="Calibri"/>
          <w:sz w:val="20"/>
        </w:rPr>
      </w:pPr>
      <w:r w:rsidRPr="00872283">
        <w:rPr>
          <w:rFonts w:ascii="Calibri" w:hAnsi="Calibri" w:cs="Calibri"/>
          <w:sz w:val="20"/>
        </w:rPr>
        <w:t>Vstupným podkladom pre spracovanie zadania bol</w:t>
      </w:r>
      <w:r w:rsidR="006A3CFC">
        <w:rPr>
          <w:rFonts w:ascii="Calibri" w:hAnsi="Calibri" w:cs="Calibri"/>
          <w:sz w:val="20"/>
        </w:rPr>
        <w:t>o:</w:t>
      </w:r>
    </w:p>
    <w:p w:rsidR="006A3CFC" w:rsidRPr="003B0C2B" w:rsidRDefault="006A3CFC" w:rsidP="007A3A8A">
      <w:pPr>
        <w:jc w:val="both"/>
        <w:rPr>
          <w:rFonts w:ascii="Calibri" w:hAnsi="Calibri" w:cs="Calibri"/>
          <w:sz w:val="20"/>
        </w:rPr>
      </w:pPr>
      <w:r w:rsidRPr="003B0C2B">
        <w:rPr>
          <w:rFonts w:ascii="Calibri" w:hAnsi="Calibri" w:cs="Calibri"/>
          <w:sz w:val="20"/>
        </w:rPr>
        <w:t>- Podrobné geodetické zameranie výškopisu a polohopisu v JTSK</w:t>
      </w:r>
    </w:p>
    <w:p w:rsidR="006A3CFC" w:rsidRPr="003B0C2B" w:rsidRDefault="006A3CFC" w:rsidP="007A3A8A">
      <w:pPr>
        <w:jc w:val="both"/>
        <w:rPr>
          <w:rFonts w:ascii="Calibri" w:hAnsi="Calibri" w:cs="Calibri"/>
          <w:sz w:val="20"/>
        </w:rPr>
      </w:pPr>
      <w:r w:rsidRPr="003B0C2B">
        <w:rPr>
          <w:rFonts w:ascii="Calibri" w:hAnsi="Calibri" w:cs="Calibri"/>
          <w:sz w:val="20"/>
        </w:rPr>
        <w:t>- Fotodokumentácia jestvujúceho stavu</w:t>
      </w:r>
    </w:p>
    <w:p w:rsidR="006A3CFC" w:rsidRPr="003B0C2B" w:rsidRDefault="006A3CFC" w:rsidP="007A3A8A">
      <w:pPr>
        <w:jc w:val="both"/>
        <w:rPr>
          <w:rFonts w:ascii="Calibri" w:hAnsi="Calibri" w:cs="Calibri"/>
          <w:sz w:val="20"/>
        </w:rPr>
      </w:pPr>
      <w:r w:rsidRPr="003B0C2B">
        <w:rPr>
          <w:rFonts w:ascii="Calibri" w:hAnsi="Calibri" w:cs="Calibri"/>
          <w:sz w:val="20"/>
        </w:rPr>
        <w:t>- Územný plán obce Strekov</w:t>
      </w:r>
    </w:p>
    <w:p w:rsidR="006A3CFC" w:rsidRPr="003B0C2B" w:rsidRDefault="006A3CFC" w:rsidP="007A3A8A">
      <w:pPr>
        <w:jc w:val="both"/>
        <w:rPr>
          <w:rFonts w:ascii="Calibri" w:hAnsi="Calibri" w:cs="Calibri"/>
          <w:sz w:val="20"/>
        </w:rPr>
      </w:pPr>
      <w:r w:rsidRPr="003B0C2B">
        <w:rPr>
          <w:rFonts w:ascii="Calibri" w:hAnsi="Calibri" w:cs="Calibri"/>
          <w:sz w:val="20"/>
        </w:rPr>
        <w:t>- Katastrálna mapa obce Strekov</w:t>
      </w:r>
    </w:p>
    <w:p w:rsidR="006A3CFC" w:rsidRPr="003B0C2B" w:rsidRDefault="006A3CFC" w:rsidP="007A3A8A">
      <w:pPr>
        <w:jc w:val="both"/>
        <w:rPr>
          <w:rFonts w:ascii="Calibri" w:hAnsi="Calibri" w:cs="Calibri"/>
          <w:sz w:val="20"/>
        </w:rPr>
      </w:pPr>
      <w:r w:rsidRPr="003B0C2B">
        <w:rPr>
          <w:rFonts w:ascii="Calibri" w:hAnsi="Calibri" w:cs="Calibri"/>
          <w:sz w:val="20"/>
        </w:rPr>
        <w:t>- Architektonicko – urbanistická štúdia, Vinárstvo S</w:t>
      </w:r>
    </w:p>
    <w:p w:rsidR="006A3CFC" w:rsidRDefault="006A3CFC" w:rsidP="007A3A8A">
      <w:pPr>
        <w:jc w:val="both"/>
        <w:rPr>
          <w:rFonts w:ascii="Calibri" w:hAnsi="Calibri" w:cs="Calibri"/>
          <w:sz w:val="20"/>
        </w:rPr>
      </w:pPr>
      <w:r w:rsidRPr="003B0C2B">
        <w:rPr>
          <w:rFonts w:ascii="Calibri" w:hAnsi="Calibri" w:cs="Calibri"/>
          <w:sz w:val="20"/>
        </w:rPr>
        <w:t>- Dokumentácia na územné rozhodnutie, Vinárstvo S</w:t>
      </w:r>
    </w:p>
    <w:p w:rsidR="003B0D53" w:rsidRPr="003B0C2B" w:rsidRDefault="003B0D53" w:rsidP="007A3A8A">
      <w:pPr>
        <w:jc w:val="both"/>
        <w:rPr>
          <w:rFonts w:ascii="Calibri" w:hAnsi="Calibri" w:cs="Calibri"/>
          <w:sz w:val="20"/>
        </w:rPr>
      </w:pPr>
      <w:r w:rsidRPr="003B0C2B">
        <w:rPr>
          <w:rFonts w:ascii="Calibri" w:hAnsi="Calibri" w:cs="Calibri"/>
          <w:sz w:val="20"/>
        </w:rPr>
        <w:t xml:space="preserve">- </w:t>
      </w:r>
      <w:r>
        <w:rPr>
          <w:rFonts w:ascii="Calibri" w:hAnsi="Calibri" w:cs="Calibri"/>
          <w:sz w:val="20"/>
        </w:rPr>
        <w:t>Revízia dokumentácie</w:t>
      </w:r>
      <w:r w:rsidRPr="003B0C2B">
        <w:rPr>
          <w:rFonts w:ascii="Calibri" w:hAnsi="Calibri" w:cs="Calibri"/>
          <w:sz w:val="20"/>
        </w:rPr>
        <w:t xml:space="preserve"> na </w:t>
      </w:r>
      <w:r>
        <w:rPr>
          <w:rFonts w:ascii="Calibri" w:hAnsi="Calibri" w:cs="Calibri"/>
          <w:sz w:val="20"/>
        </w:rPr>
        <w:t>územné rozhodnutie, Vinárstvo S</w:t>
      </w:r>
    </w:p>
    <w:p w:rsidR="006A3CFC" w:rsidRDefault="006A3CFC" w:rsidP="007A3A8A">
      <w:pPr>
        <w:jc w:val="both"/>
        <w:rPr>
          <w:rFonts w:ascii="Calibri" w:hAnsi="Calibri" w:cs="Calibri"/>
          <w:sz w:val="20"/>
        </w:rPr>
      </w:pPr>
      <w:r w:rsidRPr="003B0C2B">
        <w:rPr>
          <w:rFonts w:ascii="Calibri" w:hAnsi="Calibri" w:cs="Calibri"/>
          <w:sz w:val="20"/>
        </w:rPr>
        <w:t>- Stanoviská a vyjadrenia dotknutých orgánov k dokumentácii na územné rozhodnutie, Vinárstvo S</w:t>
      </w:r>
    </w:p>
    <w:p w:rsidR="006A3CFC" w:rsidRPr="003B0C2B" w:rsidRDefault="006A3CFC" w:rsidP="007A3A8A">
      <w:pPr>
        <w:jc w:val="both"/>
        <w:rPr>
          <w:rFonts w:ascii="Calibri" w:hAnsi="Calibri" w:cs="Calibri"/>
          <w:sz w:val="20"/>
        </w:rPr>
      </w:pPr>
      <w:r>
        <w:rPr>
          <w:rFonts w:ascii="Calibri" w:hAnsi="Calibri" w:cs="Calibri"/>
          <w:sz w:val="20"/>
        </w:rPr>
        <w:t>- Geologický a hydrogeologický prieskum</w:t>
      </w:r>
    </w:p>
    <w:p w:rsidR="006A3CFC" w:rsidRDefault="006A3CFC" w:rsidP="007A3A8A">
      <w:pPr>
        <w:jc w:val="both"/>
        <w:rPr>
          <w:rFonts w:ascii="Calibri" w:hAnsi="Calibri" w:cs="Calibri"/>
          <w:sz w:val="20"/>
        </w:rPr>
      </w:pPr>
    </w:p>
    <w:p w:rsidR="00A339D0" w:rsidRPr="00872283" w:rsidRDefault="006A3CFC" w:rsidP="007A3A8A">
      <w:pPr>
        <w:jc w:val="both"/>
        <w:rPr>
          <w:rFonts w:ascii="Calibri" w:hAnsi="Calibri" w:cs="Calibri"/>
          <w:sz w:val="20"/>
        </w:rPr>
      </w:pPr>
      <w:r>
        <w:rPr>
          <w:rFonts w:ascii="Calibri" w:hAnsi="Calibri" w:cs="Calibri"/>
          <w:sz w:val="20"/>
        </w:rPr>
        <w:t xml:space="preserve">Na </w:t>
      </w:r>
      <w:r w:rsidR="00A339D0" w:rsidRPr="00872283">
        <w:rPr>
          <w:rFonts w:ascii="Calibri" w:hAnsi="Calibri" w:cs="Calibri"/>
          <w:sz w:val="20"/>
        </w:rPr>
        <w:t xml:space="preserve">základe </w:t>
      </w:r>
      <w:r>
        <w:rPr>
          <w:rFonts w:ascii="Calibri" w:hAnsi="Calibri" w:cs="Calibri"/>
          <w:sz w:val="20"/>
        </w:rPr>
        <w:t xml:space="preserve">týchto podkladov bola </w:t>
      </w:r>
      <w:r w:rsidR="00A339D0" w:rsidRPr="00872283">
        <w:rPr>
          <w:rFonts w:ascii="Calibri" w:hAnsi="Calibri" w:cs="Calibri"/>
          <w:sz w:val="20"/>
        </w:rPr>
        <w:t xml:space="preserve">spracovaná projektová dokumentácia </w:t>
      </w:r>
      <w:r>
        <w:rPr>
          <w:rFonts w:ascii="Calibri" w:hAnsi="Calibri" w:cs="Calibri"/>
          <w:sz w:val="20"/>
        </w:rPr>
        <w:t>Vinárstva S</w:t>
      </w:r>
      <w:r w:rsidR="00337EA7" w:rsidRPr="00872283">
        <w:rPr>
          <w:rFonts w:ascii="Calibri" w:hAnsi="Calibri" w:cs="Calibri"/>
          <w:sz w:val="20"/>
        </w:rPr>
        <w:t xml:space="preserve">, </w:t>
      </w:r>
      <w:r w:rsidR="00A339D0" w:rsidRPr="00872283">
        <w:rPr>
          <w:rFonts w:ascii="Calibri" w:hAnsi="Calibri" w:cs="Calibri"/>
          <w:sz w:val="20"/>
        </w:rPr>
        <w:t>ktorá bola konzultovaná a odsúhlasená investorom.</w:t>
      </w:r>
    </w:p>
    <w:p w:rsidR="00A339D0" w:rsidRPr="004A47C5" w:rsidRDefault="00A339D0" w:rsidP="007A3A8A">
      <w:pPr>
        <w:jc w:val="both"/>
        <w:rPr>
          <w:rFonts w:ascii="Calibri" w:hAnsi="Calibri" w:cs="Calibri"/>
          <w:sz w:val="20"/>
          <w:highlight w:val="yellow"/>
        </w:rPr>
      </w:pPr>
    </w:p>
    <w:p w:rsidR="00A339D0" w:rsidRPr="00217D62" w:rsidRDefault="00A339D0" w:rsidP="007A3A8A">
      <w:pPr>
        <w:jc w:val="both"/>
        <w:rPr>
          <w:rFonts w:ascii="Calibri" w:hAnsi="Calibri" w:cs="Calibri"/>
          <w:b/>
          <w:sz w:val="20"/>
        </w:rPr>
      </w:pPr>
      <w:r w:rsidRPr="00217D62">
        <w:rPr>
          <w:rFonts w:ascii="Calibri" w:hAnsi="Calibri" w:cs="Calibri"/>
          <w:b/>
          <w:sz w:val="20"/>
        </w:rPr>
        <w:t>d) Dotknuté ochranné pásma</w:t>
      </w:r>
    </w:p>
    <w:p w:rsidR="00A339D0" w:rsidRDefault="00A339D0" w:rsidP="007A3A8A">
      <w:pPr>
        <w:jc w:val="both"/>
        <w:rPr>
          <w:rFonts w:ascii="Calibri" w:hAnsi="Calibri" w:cs="Calibri"/>
          <w:sz w:val="20"/>
        </w:rPr>
      </w:pPr>
      <w:r w:rsidRPr="007C7DA5">
        <w:rPr>
          <w:rFonts w:ascii="Calibri" w:hAnsi="Calibri" w:cs="Calibri"/>
          <w:sz w:val="20"/>
        </w:rPr>
        <w:t>Navrhovaný objekt nezasahuje do žiadneho hygienického pásma a ani si svojou funkciou nevyžaduje žiadne takéto pásma vytyčovať. Ochranné pásma prípojok a vonkajších sietí budú definované súvisiacimi normami.</w:t>
      </w:r>
    </w:p>
    <w:p w:rsidR="003B40C3" w:rsidRPr="003B40C3" w:rsidRDefault="003B40C3" w:rsidP="007A3A8A">
      <w:pPr>
        <w:jc w:val="both"/>
        <w:rPr>
          <w:rFonts w:ascii="Calibri" w:hAnsi="Calibri" w:cs="Calibri"/>
          <w:sz w:val="20"/>
        </w:rPr>
      </w:pPr>
      <w:r w:rsidRPr="003B40C3">
        <w:rPr>
          <w:rFonts w:ascii="Calibri" w:hAnsi="Calibri" w:cs="Calibri"/>
          <w:sz w:val="20"/>
        </w:rPr>
        <w:t>Navrhovaná činnosť nebude mať vplyv na chránené územia, nachádzajúce sa v blízkosti obce Strekov.</w:t>
      </w:r>
    </w:p>
    <w:p w:rsidR="00A339D0" w:rsidRPr="004A47C5" w:rsidRDefault="00A339D0" w:rsidP="007A3A8A">
      <w:pPr>
        <w:jc w:val="both"/>
        <w:rPr>
          <w:rFonts w:ascii="Calibri" w:hAnsi="Calibri" w:cs="Calibri"/>
          <w:sz w:val="20"/>
          <w:highlight w:val="yellow"/>
        </w:rPr>
      </w:pPr>
    </w:p>
    <w:p w:rsidR="00A339D0" w:rsidRPr="00217D62" w:rsidRDefault="00A339D0" w:rsidP="007A3A8A">
      <w:pPr>
        <w:jc w:val="both"/>
        <w:rPr>
          <w:rFonts w:ascii="Calibri" w:hAnsi="Calibri" w:cs="Calibri"/>
          <w:b/>
          <w:sz w:val="20"/>
        </w:rPr>
      </w:pPr>
      <w:r w:rsidRPr="00217D62">
        <w:rPr>
          <w:rFonts w:ascii="Calibri" w:hAnsi="Calibri" w:cs="Calibri"/>
          <w:b/>
          <w:sz w:val="20"/>
        </w:rPr>
        <w:t xml:space="preserve">e) Dopravné podmienky napojenia pozemku </w:t>
      </w:r>
    </w:p>
    <w:p w:rsidR="00397059" w:rsidRDefault="003B40C3" w:rsidP="007A3A8A">
      <w:pPr>
        <w:jc w:val="both"/>
        <w:rPr>
          <w:rFonts w:ascii="Calibri" w:hAnsi="Calibri" w:cs="Calibri"/>
          <w:sz w:val="20"/>
        </w:rPr>
      </w:pPr>
      <w:r w:rsidRPr="003B40C3">
        <w:rPr>
          <w:rFonts w:ascii="Calibri" w:hAnsi="Calibri" w:cs="Calibri"/>
          <w:sz w:val="20"/>
        </w:rPr>
        <w:t xml:space="preserve">Prístup na pozemok navrhovaného vinárstva je umožnený prostredníctvom miestnej málo frekventovanej spevnenej komunikácie v extraviláne obce, ktorá je prístupná z ulice Pod vinicami. Vstup do komplexu vinárstva je zabezpečený pozdĺž juhovýchodnej hranice pozemku </w:t>
      </w:r>
      <w:r w:rsidRPr="00397059">
        <w:rPr>
          <w:rFonts w:ascii="Calibri" w:hAnsi="Calibri" w:cs="Calibri"/>
          <w:sz w:val="20"/>
        </w:rPr>
        <w:t>(parcel</w:t>
      </w:r>
      <w:r w:rsidR="00397059" w:rsidRPr="00397059">
        <w:rPr>
          <w:rFonts w:ascii="Calibri" w:hAnsi="Calibri" w:cs="Calibri"/>
          <w:sz w:val="20"/>
        </w:rPr>
        <w:t>a</w:t>
      </w:r>
      <w:r w:rsidRPr="00397059">
        <w:rPr>
          <w:rFonts w:ascii="Calibri" w:hAnsi="Calibri" w:cs="Calibri"/>
          <w:sz w:val="20"/>
        </w:rPr>
        <w:t xml:space="preserve"> č. 23</w:t>
      </w:r>
      <w:r w:rsidR="00397059" w:rsidRPr="00397059">
        <w:rPr>
          <w:rFonts w:ascii="Calibri" w:hAnsi="Calibri" w:cs="Calibri"/>
          <w:sz w:val="20"/>
        </w:rPr>
        <w:t>66</w:t>
      </w:r>
      <w:r w:rsidRPr="00397059">
        <w:rPr>
          <w:rFonts w:ascii="Calibri" w:hAnsi="Calibri" w:cs="Calibri"/>
          <w:sz w:val="20"/>
        </w:rPr>
        <w:t>/1</w:t>
      </w:r>
      <w:r w:rsidR="00397059" w:rsidRPr="00397059">
        <w:rPr>
          <w:rFonts w:ascii="Calibri" w:hAnsi="Calibri" w:cs="Calibri"/>
          <w:sz w:val="20"/>
        </w:rPr>
        <w:t>)</w:t>
      </w:r>
    </w:p>
    <w:p w:rsidR="00A339D0" w:rsidRDefault="003B40C3" w:rsidP="007A3A8A">
      <w:pPr>
        <w:jc w:val="both"/>
        <w:rPr>
          <w:rFonts w:ascii="Calibri" w:hAnsi="Calibri" w:cs="Calibri"/>
          <w:sz w:val="20"/>
        </w:rPr>
      </w:pPr>
      <w:r w:rsidRPr="003B40C3">
        <w:rPr>
          <w:rFonts w:ascii="Calibri" w:hAnsi="Calibri" w:cs="Calibri"/>
          <w:sz w:val="20"/>
        </w:rPr>
        <w:t xml:space="preserve">V tejto časti územia je navrhnutý priestor pre statickú dopravu v podobe </w:t>
      </w:r>
      <w:r w:rsidR="00F91C7C">
        <w:rPr>
          <w:rFonts w:ascii="Calibri" w:hAnsi="Calibri" w:cs="Calibri"/>
          <w:sz w:val="20"/>
        </w:rPr>
        <w:t>3</w:t>
      </w:r>
      <w:r w:rsidRPr="003B40C3">
        <w:rPr>
          <w:rFonts w:ascii="Calibri" w:hAnsi="Calibri" w:cs="Calibri"/>
          <w:sz w:val="20"/>
        </w:rPr>
        <w:t xml:space="preserve"> parkovacích státi pre osobné automobily, ktoré budú slúžiť pre návštevníkov vinárstva</w:t>
      </w:r>
      <w:r w:rsidR="00F91C7C">
        <w:rPr>
          <w:rFonts w:ascii="Calibri" w:hAnsi="Calibri" w:cs="Calibri"/>
          <w:sz w:val="20"/>
        </w:rPr>
        <w:t>. Parkovanie pre zamestnancov bude umiestnené v rámci hospodárskeho dvora v počte 2 parkovacích státí.</w:t>
      </w:r>
    </w:p>
    <w:p w:rsidR="003B40C3" w:rsidRPr="003B40C3" w:rsidRDefault="003B40C3" w:rsidP="007A3A8A">
      <w:pPr>
        <w:jc w:val="both"/>
        <w:rPr>
          <w:rFonts w:ascii="Calibri" w:hAnsi="Calibri" w:cs="Calibri"/>
          <w:sz w:val="20"/>
          <w:highlight w:val="yellow"/>
        </w:rPr>
      </w:pPr>
    </w:p>
    <w:p w:rsidR="00097146" w:rsidRPr="00097146" w:rsidRDefault="00A339D0" w:rsidP="007A3A8A">
      <w:pPr>
        <w:jc w:val="both"/>
        <w:rPr>
          <w:rFonts w:ascii="Calibri" w:hAnsi="Calibri" w:cs="Calibri"/>
          <w:b/>
          <w:sz w:val="20"/>
        </w:rPr>
      </w:pPr>
      <w:r w:rsidRPr="00217D62">
        <w:rPr>
          <w:rFonts w:ascii="Calibri" w:hAnsi="Calibri" w:cs="Calibri"/>
          <w:b/>
          <w:sz w:val="20"/>
        </w:rPr>
        <w:t>f) Urbanistické vzťahy</w:t>
      </w:r>
    </w:p>
    <w:p w:rsidR="00097146" w:rsidRDefault="00097146" w:rsidP="007A3A8A">
      <w:pPr>
        <w:jc w:val="both"/>
        <w:rPr>
          <w:rFonts w:ascii="Calibri" w:hAnsi="Calibri" w:cs="Calibri"/>
          <w:sz w:val="20"/>
        </w:rPr>
      </w:pPr>
      <w:r w:rsidRPr="00097146">
        <w:rPr>
          <w:rFonts w:ascii="Calibri" w:hAnsi="Calibri" w:cs="Calibri"/>
          <w:sz w:val="20"/>
        </w:rPr>
        <w:t xml:space="preserve">Keďže je navrhovaný </w:t>
      </w:r>
      <w:r>
        <w:rPr>
          <w:rFonts w:ascii="Calibri" w:hAnsi="Calibri" w:cs="Calibri"/>
          <w:sz w:val="20"/>
        </w:rPr>
        <w:t>komplex objektov</w:t>
      </w:r>
      <w:r w:rsidRPr="00097146">
        <w:rPr>
          <w:rFonts w:ascii="Calibri" w:hAnsi="Calibri" w:cs="Calibri"/>
          <w:sz w:val="20"/>
        </w:rPr>
        <w:t xml:space="preserve"> </w:t>
      </w:r>
      <w:r>
        <w:rPr>
          <w:rFonts w:ascii="Calibri" w:hAnsi="Calibri" w:cs="Calibri"/>
          <w:sz w:val="20"/>
        </w:rPr>
        <w:t xml:space="preserve">vinárstva </w:t>
      </w:r>
      <w:r w:rsidRPr="00097146">
        <w:rPr>
          <w:rFonts w:ascii="Calibri" w:hAnsi="Calibri" w:cs="Calibri"/>
          <w:sz w:val="20"/>
        </w:rPr>
        <w:t>situovaný v extraviláne obce, uprostred drobnej zástavby tradičnýc</w:t>
      </w:r>
      <w:r>
        <w:rPr>
          <w:rFonts w:ascii="Calibri" w:hAnsi="Calibri" w:cs="Calibri"/>
          <w:sz w:val="20"/>
        </w:rPr>
        <w:t>h prízemných murovaných domov, ich hmota</w:t>
      </w:r>
      <w:r w:rsidRPr="00097146">
        <w:rPr>
          <w:rFonts w:ascii="Calibri" w:hAnsi="Calibri" w:cs="Calibri"/>
          <w:sz w:val="20"/>
        </w:rPr>
        <w:t xml:space="preserve"> citlivo reaguje na svoje okolie a prevádzka celého komplexu je rozčlenená do niekoľkých samostatných funkčných celkov, ktoré sú v súlade s mierkou okolitých stavieb. Zároveň rozčlenenie celého vinárstva na viacero samostatných objektov umožňuje stavbe urbanizovať svoje prostredie a okrem samotných vnútorných priestorov vytvoriť aj viaceré pobytové dvory (</w:t>
      </w:r>
      <w:r w:rsidR="0059515F">
        <w:rPr>
          <w:rFonts w:ascii="Calibri" w:hAnsi="Calibri" w:cs="Calibri"/>
          <w:sz w:val="20"/>
        </w:rPr>
        <w:t>dubový</w:t>
      </w:r>
      <w:r w:rsidRPr="00097146">
        <w:rPr>
          <w:rFonts w:ascii="Calibri" w:hAnsi="Calibri" w:cs="Calibri"/>
          <w:sz w:val="20"/>
        </w:rPr>
        <w:t xml:space="preserve"> dvor, hospodársky dvor, </w:t>
      </w:r>
      <w:r w:rsidR="0059515F">
        <w:rPr>
          <w:rFonts w:ascii="Calibri" w:hAnsi="Calibri" w:cs="Calibri"/>
          <w:sz w:val="20"/>
        </w:rPr>
        <w:t>jaseňová</w:t>
      </w:r>
      <w:r w:rsidRPr="00097146">
        <w:rPr>
          <w:rFonts w:ascii="Calibri" w:hAnsi="Calibri" w:cs="Calibri"/>
          <w:sz w:val="20"/>
        </w:rPr>
        <w:t xml:space="preserve"> aleja) a záhrady, čím sa rozširuje pobytová a priestorová kvalita celého komplexu. </w:t>
      </w:r>
    </w:p>
    <w:p w:rsidR="00A339D0" w:rsidRPr="004A47C5" w:rsidRDefault="001525AC" w:rsidP="007A3A8A">
      <w:pPr>
        <w:jc w:val="both"/>
        <w:rPr>
          <w:rFonts w:ascii="Calibri" w:hAnsi="Calibri" w:cs="Calibri"/>
          <w:sz w:val="20"/>
          <w:highlight w:val="yellow"/>
        </w:rPr>
      </w:pPr>
      <w:r w:rsidRPr="00097146">
        <w:rPr>
          <w:rFonts w:ascii="Calibri" w:hAnsi="Calibri" w:cs="Calibri"/>
          <w:sz w:val="20"/>
        </w:rPr>
        <w:t>Navrhovan</w:t>
      </w:r>
      <w:r w:rsidR="00097146">
        <w:rPr>
          <w:rFonts w:ascii="Calibri" w:hAnsi="Calibri" w:cs="Calibri"/>
          <w:sz w:val="20"/>
        </w:rPr>
        <w:t xml:space="preserve">ý komplex vinárstva </w:t>
      </w:r>
      <w:r w:rsidRPr="00097146">
        <w:rPr>
          <w:rFonts w:ascii="Calibri" w:hAnsi="Calibri" w:cs="Calibri"/>
          <w:sz w:val="20"/>
        </w:rPr>
        <w:t>rešpektuj</w:t>
      </w:r>
      <w:r w:rsidR="00097146">
        <w:rPr>
          <w:rFonts w:ascii="Calibri" w:hAnsi="Calibri" w:cs="Calibri"/>
          <w:sz w:val="20"/>
        </w:rPr>
        <w:t>e</w:t>
      </w:r>
      <w:r w:rsidRPr="00097146">
        <w:rPr>
          <w:rFonts w:ascii="Calibri" w:hAnsi="Calibri" w:cs="Calibri"/>
          <w:sz w:val="20"/>
        </w:rPr>
        <w:t xml:space="preserve"> charak</w:t>
      </w:r>
      <w:r w:rsidR="007767F5" w:rsidRPr="00097146">
        <w:rPr>
          <w:rFonts w:ascii="Calibri" w:hAnsi="Calibri" w:cs="Calibri"/>
          <w:sz w:val="20"/>
        </w:rPr>
        <w:t>ter</w:t>
      </w:r>
      <w:r w:rsidR="00097146">
        <w:rPr>
          <w:rFonts w:ascii="Calibri" w:hAnsi="Calibri" w:cs="Calibri"/>
          <w:sz w:val="20"/>
        </w:rPr>
        <w:t xml:space="preserve"> jestvujúcej zástavby, u</w:t>
      </w:r>
      <w:r w:rsidRPr="00097146">
        <w:rPr>
          <w:rFonts w:ascii="Calibri" w:hAnsi="Calibri" w:cs="Calibri"/>
          <w:sz w:val="20"/>
        </w:rPr>
        <w:t>r</w:t>
      </w:r>
      <w:r w:rsidR="00A339D0" w:rsidRPr="00097146">
        <w:rPr>
          <w:rFonts w:ascii="Calibri" w:hAnsi="Calibri" w:cs="Calibri"/>
          <w:sz w:val="20"/>
        </w:rPr>
        <w:t xml:space="preserve">banistický kontext </w:t>
      </w:r>
      <w:r w:rsidRPr="00097146">
        <w:rPr>
          <w:rFonts w:ascii="Calibri" w:hAnsi="Calibri" w:cs="Calibri"/>
          <w:sz w:val="20"/>
        </w:rPr>
        <w:t>zostane zachovaný, objekt</w:t>
      </w:r>
      <w:r w:rsidR="00097146">
        <w:rPr>
          <w:rFonts w:ascii="Calibri" w:hAnsi="Calibri" w:cs="Calibri"/>
          <w:sz w:val="20"/>
        </w:rPr>
        <w:t>y</w:t>
      </w:r>
      <w:r w:rsidR="00A339D0" w:rsidRPr="00097146">
        <w:rPr>
          <w:rFonts w:ascii="Calibri" w:hAnsi="Calibri" w:cs="Calibri"/>
          <w:sz w:val="20"/>
        </w:rPr>
        <w:t xml:space="preserve"> svojim objemom, podlažnosťou a charakterom zapad</w:t>
      </w:r>
      <w:r w:rsidR="00097146">
        <w:rPr>
          <w:rFonts w:ascii="Calibri" w:hAnsi="Calibri" w:cs="Calibri"/>
          <w:sz w:val="20"/>
        </w:rPr>
        <w:t>ajú</w:t>
      </w:r>
      <w:r w:rsidRPr="00097146">
        <w:rPr>
          <w:rFonts w:ascii="Calibri" w:hAnsi="Calibri" w:cs="Calibri"/>
          <w:sz w:val="20"/>
        </w:rPr>
        <w:t xml:space="preserve"> do prostredia.</w:t>
      </w:r>
    </w:p>
    <w:p w:rsidR="001525AC" w:rsidRPr="00217D62" w:rsidRDefault="00217D62" w:rsidP="0009245A">
      <w:pPr>
        <w:pStyle w:val="Nadpis2"/>
        <w:numPr>
          <w:ilvl w:val="0"/>
          <w:numId w:val="0"/>
        </w:numPr>
        <w:suppressAutoHyphens/>
        <w:overflowPunct/>
        <w:autoSpaceDE/>
        <w:autoSpaceDN/>
        <w:adjustRightInd/>
        <w:spacing w:before="240" w:after="60"/>
        <w:textAlignment w:val="auto"/>
        <w:rPr>
          <w:rFonts w:ascii="Calibri" w:hAnsi="Calibri" w:cs="Calibri"/>
          <w:sz w:val="22"/>
          <w:szCs w:val="20"/>
        </w:rPr>
      </w:pPr>
      <w:r>
        <w:rPr>
          <w:rFonts w:ascii="Calibri" w:hAnsi="Calibri" w:cs="Calibri"/>
          <w:sz w:val="22"/>
          <w:szCs w:val="20"/>
        </w:rPr>
        <w:lastRenderedPageBreak/>
        <w:t>ARCHITEKTONICKO – STAVEBNÉ RIEŠENIE STAVBY</w:t>
      </w:r>
    </w:p>
    <w:p w:rsidR="00B277BF" w:rsidRDefault="00B277BF" w:rsidP="0009245A">
      <w:pPr>
        <w:rPr>
          <w:rFonts w:ascii="Calibri" w:hAnsi="Calibri" w:cs="Calibri"/>
          <w:b/>
          <w:sz w:val="20"/>
        </w:rPr>
      </w:pPr>
    </w:p>
    <w:p w:rsidR="001525AC" w:rsidRPr="00217D62" w:rsidRDefault="001525AC" w:rsidP="0009245A">
      <w:pPr>
        <w:rPr>
          <w:rFonts w:ascii="Calibri" w:hAnsi="Calibri" w:cs="Calibri"/>
          <w:b/>
          <w:sz w:val="20"/>
        </w:rPr>
      </w:pPr>
      <w:r w:rsidRPr="00217D62">
        <w:rPr>
          <w:rFonts w:ascii="Calibri" w:hAnsi="Calibri" w:cs="Calibri"/>
          <w:b/>
          <w:sz w:val="20"/>
        </w:rPr>
        <w:t>a) Zásady dispozično - prevádzkového riešenia</w:t>
      </w:r>
    </w:p>
    <w:p w:rsidR="001730E3" w:rsidRDefault="001730E3" w:rsidP="002C2FD5">
      <w:pPr>
        <w:jc w:val="both"/>
        <w:rPr>
          <w:rFonts w:ascii="Calibri" w:hAnsi="Calibri" w:cs="Calibri"/>
          <w:sz w:val="20"/>
        </w:rPr>
      </w:pPr>
    </w:p>
    <w:p w:rsidR="005E2FA0" w:rsidRDefault="005E2FA0" w:rsidP="002C2FD5">
      <w:pPr>
        <w:jc w:val="both"/>
        <w:rPr>
          <w:rFonts w:ascii="Calibri" w:hAnsi="Calibri" w:cs="Calibri"/>
          <w:sz w:val="20"/>
        </w:rPr>
      </w:pPr>
      <w:r>
        <w:rPr>
          <w:rFonts w:ascii="Calibri" w:hAnsi="Calibri" w:cs="Calibri"/>
          <w:sz w:val="20"/>
        </w:rPr>
        <w:t xml:space="preserve">Komplex vinárstva pozostáva z 5 hlavných </w:t>
      </w:r>
      <w:r w:rsidR="001730E3">
        <w:rPr>
          <w:rFonts w:ascii="Calibri" w:hAnsi="Calibri" w:cs="Calibri"/>
          <w:sz w:val="20"/>
        </w:rPr>
        <w:t>objektov:</w:t>
      </w:r>
      <w:r>
        <w:rPr>
          <w:rFonts w:ascii="Calibri" w:hAnsi="Calibri" w:cs="Calibri"/>
          <w:sz w:val="20"/>
        </w:rPr>
        <w:t xml:space="preserve"> </w:t>
      </w:r>
    </w:p>
    <w:p w:rsidR="001730E3" w:rsidRDefault="001730E3" w:rsidP="002C2FD5">
      <w:pPr>
        <w:jc w:val="both"/>
        <w:rPr>
          <w:rFonts w:ascii="Calibri" w:hAnsi="Calibri" w:cs="Calibri"/>
          <w:sz w:val="20"/>
        </w:rPr>
      </w:pPr>
    </w:p>
    <w:p w:rsidR="005E2FA0" w:rsidRDefault="005E2FA0" w:rsidP="002C2FD5">
      <w:pPr>
        <w:jc w:val="both"/>
        <w:rPr>
          <w:rFonts w:ascii="Calibri" w:hAnsi="Calibri" w:cs="Calibri"/>
          <w:sz w:val="20"/>
        </w:rPr>
      </w:pPr>
      <w:r>
        <w:rPr>
          <w:rFonts w:ascii="Calibri" w:hAnsi="Calibri" w:cs="Calibri"/>
          <w:sz w:val="20"/>
        </w:rPr>
        <w:t>SO 01 – showroom s</w:t>
      </w:r>
      <w:r w:rsidR="001730E3">
        <w:rPr>
          <w:rFonts w:ascii="Calibri" w:hAnsi="Calibri" w:cs="Calibri"/>
          <w:sz w:val="20"/>
        </w:rPr>
        <w:t> </w:t>
      </w:r>
      <w:r>
        <w:rPr>
          <w:rFonts w:ascii="Calibri" w:hAnsi="Calibri" w:cs="Calibri"/>
          <w:sz w:val="20"/>
        </w:rPr>
        <w:t>ubytovaním</w:t>
      </w:r>
      <w:r w:rsidR="001730E3">
        <w:rPr>
          <w:rFonts w:ascii="Calibri" w:hAnsi="Calibri" w:cs="Calibri"/>
          <w:sz w:val="20"/>
        </w:rPr>
        <w:t xml:space="preserve">  / reprezentatívna prezentácia výrobkov s príležitostným ubytovaním</w:t>
      </w:r>
    </w:p>
    <w:p w:rsidR="005E2FA0" w:rsidRDefault="005E2FA0" w:rsidP="002C2FD5">
      <w:pPr>
        <w:jc w:val="both"/>
        <w:rPr>
          <w:rFonts w:ascii="Calibri" w:hAnsi="Calibri" w:cs="Calibri"/>
          <w:sz w:val="20"/>
        </w:rPr>
      </w:pPr>
      <w:r>
        <w:rPr>
          <w:rFonts w:ascii="Calibri" w:hAnsi="Calibri" w:cs="Calibri"/>
          <w:sz w:val="20"/>
        </w:rPr>
        <w:t xml:space="preserve">SO 02 – vinárska výroba </w:t>
      </w:r>
      <w:r w:rsidR="001730E3">
        <w:rPr>
          <w:rFonts w:ascii="Calibri" w:hAnsi="Calibri" w:cs="Calibri"/>
          <w:sz w:val="20"/>
        </w:rPr>
        <w:t xml:space="preserve"> / samotná výroba a uskladnenie vína v sudoch</w:t>
      </w:r>
    </w:p>
    <w:p w:rsidR="005E2FA0" w:rsidRDefault="005E2FA0" w:rsidP="002C2FD5">
      <w:pPr>
        <w:jc w:val="both"/>
        <w:rPr>
          <w:rFonts w:ascii="Calibri" w:hAnsi="Calibri" w:cs="Calibri"/>
          <w:sz w:val="20"/>
        </w:rPr>
      </w:pPr>
      <w:r>
        <w:rPr>
          <w:rFonts w:ascii="Calibri" w:hAnsi="Calibri" w:cs="Calibri"/>
          <w:sz w:val="20"/>
        </w:rPr>
        <w:t>SO 03 – hospodársky objekt</w:t>
      </w:r>
      <w:r w:rsidR="001730E3">
        <w:rPr>
          <w:rFonts w:ascii="Calibri" w:hAnsi="Calibri" w:cs="Calibri"/>
          <w:sz w:val="20"/>
        </w:rPr>
        <w:t xml:space="preserve"> / sklad strojov na obrábanie vinohradov, odpadové hospodárstvo</w:t>
      </w:r>
    </w:p>
    <w:p w:rsidR="005E2FA0" w:rsidRDefault="005E2FA0" w:rsidP="002C2FD5">
      <w:pPr>
        <w:jc w:val="both"/>
        <w:rPr>
          <w:rFonts w:ascii="Calibri" w:hAnsi="Calibri" w:cs="Calibri"/>
          <w:sz w:val="20"/>
        </w:rPr>
      </w:pPr>
      <w:r>
        <w:rPr>
          <w:rFonts w:ascii="Calibri" w:hAnsi="Calibri" w:cs="Calibri"/>
          <w:sz w:val="20"/>
        </w:rPr>
        <w:t>SO 04 – jestvujúca pivnica</w:t>
      </w:r>
      <w:r w:rsidR="001730E3">
        <w:rPr>
          <w:rFonts w:ascii="Calibri" w:hAnsi="Calibri" w:cs="Calibri"/>
          <w:sz w:val="20"/>
        </w:rPr>
        <w:t xml:space="preserve"> / uskladnenie drevených sudov s vínom</w:t>
      </w:r>
    </w:p>
    <w:p w:rsidR="005E2FA0" w:rsidRDefault="005E2FA0" w:rsidP="002C2FD5">
      <w:pPr>
        <w:jc w:val="both"/>
        <w:rPr>
          <w:rFonts w:ascii="Calibri" w:hAnsi="Calibri" w:cs="Calibri"/>
          <w:sz w:val="20"/>
        </w:rPr>
      </w:pPr>
    </w:p>
    <w:p w:rsidR="00FA09D7" w:rsidRPr="00FA09D7" w:rsidRDefault="005E2FA0" w:rsidP="007A3A8A">
      <w:pPr>
        <w:jc w:val="both"/>
        <w:rPr>
          <w:rFonts w:ascii="Calibri" w:hAnsi="Calibri" w:cs="Calibri"/>
          <w:sz w:val="20"/>
        </w:rPr>
      </w:pPr>
      <w:r>
        <w:rPr>
          <w:rFonts w:ascii="Calibri" w:hAnsi="Calibri" w:cs="Calibri"/>
          <w:sz w:val="20"/>
        </w:rPr>
        <w:t>Objekty SO 01 a SO 02 sú navzájom prepojené jestvujúcou pivnicou SO 04.</w:t>
      </w:r>
      <w:r w:rsidR="00FA09D7">
        <w:rPr>
          <w:rFonts w:ascii="Calibri" w:hAnsi="Calibri" w:cs="Calibri"/>
          <w:sz w:val="20"/>
        </w:rPr>
        <w:t xml:space="preserve"> Vertikálny pohyb je zabezpečený pôvodným schodiskom do jestvujúcej pivnice a dvomi novovybudovanými schodiskami</w:t>
      </w:r>
      <w:r w:rsidR="00E2279D">
        <w:rPr>
          <w:rFonts w:ascii="Calibri" w:hAnsi="Calibri" w:cs="Calibri"/>
          <w:sz w:val="20"/>
        </w:rPr>
        <w:t xml:space="preserve">, pri SO 02 doplenné o výťahovú pločinu. </w:t>
      </w:r>
      <w:r w:rsidR="00FA09D7" w:rsidRPr="00FA09D7">
        <w:rPr>
          <w:rFonts w:ascii="Calibri" w:hAnsi="Calibri" w:cs="Calibri"/>
          <w:sz w:val="20"/>
        </w:rPr>
        <w:t xml:space="preserve">Hlavná prevádzka vinárskej výroby </w:t>
      </w:r>
      <w:r w:rsidR="00FA09D7">
        <w:rPr>
          <w:rFonts w:ascii="Calibri" w:hAnsi="Calibri" w:cs="Calibri"/>
          <w:sz w:val="20"/>
        </w:rPr>
        <w:t xml:space="preserve">SO 02 </w:t>
      </w:r>
      <w:r w:rsidR="00FA09D7" w:rsidRPr="00FA09D7">
        <w:rPr>
          <w:rFonts w:ascii="Calibri" w:hAnsi="Calibri" w:cs="Calibri"/>
          <w:sz w:val="20"/>
        </w:rPr>
        <w:t xml:space="preserve">je z dôvodu zachovania mierky architektonicky </w:t>
      </w:r>
      <w:r w:rsidR="00FA09D7">
        <w:rPr>
          <w:rFonts w:ascii="Calibri" w:hAnsi="Calibri" w:cs="Calibri"/>
          <w:sz w:val="20"/>
        </w:rPr>
        <w:t xml:space="preserve">a hmotovo </w:t>
      </w:r>
      <w:r w:rsidR="00FA09D7" w:rsidRPr="00FA09D7">
        <w:rPr>
          <w:rFonts w:ascii="Calibri" w:hAnsi="Calibri" w:cs="Calibri"/>
          <w:sz w:val="20"/>
        </w:rPr>
        <w:t xml:space="preserve">rozčlenená na dva celky, ktoré sú navzájom prepojené iba malým priestorom spojovacej chodby. </w:t>
      </w:r>
    </w:p>
    <w:p w:rsidR="001730E3" w:rsidRDefault="005E2FA0" w:rsidP="007A3A8A">
      <w:pPr>
        <w:jc w:val="both"/>
        <w:rPr>
          <w:rFonts w:ascii="Calibri" w:hAnsi="Calibri" w:cs="Calibri"/>
          <w:sz w:val="20"/>
        </w:rPr>
      </w:pPr>
      <w:r>
        <w:rPr>
          <w:rFonts w:ascii="Calibri" w:hAnsi="Calibri" w:cs="Calibri"/>
          <w:sz w:val="20"/>
        </w:rPr>
        <w:t xml:space="preserve">Hospodársky objekt SO 03 je osadený v tesnej </w:t>
      </w:r>
      <w:r w:rsidR="00FA09D7">
        <w:rPr>
          <w:rFonts w:ascii="Calibri" w:hAnsi="Calibri" w:cs="Calibri"/>
          <w:sz w:val="20"/>
        </w:rPr>
        <w:t>blízkosti.</w:t>
      </w:r>
      <w:r>
        <w:rPr>
          <w:rFonts w:ascii="Calibri" w:hAnsi="Calibri" w:cs="Calibri"/>
          <w:sz w:val="20"/>
        </w:rPr>
        <w:t xml:space="preserve"> Spolu vytvárajú </w:t>
      </w:r>
      <w:r w:rsidR="00FA09D7">
        <w:rPr>
          <w:rFonts w:ascii="Calibri" w:hAnsi="Calibri" w:cs="Calibri"/>
          <w:sz w:val="20"/>
        </w:rPr>
        <w:t>prevádzkovo neodeliteľnú súčasť vinárskej výroby.</w:t>
      </w:r>
      <w:r>
        <w:rPr>
          <w:rFonts w:ascii="Calibri" w:hAnsi="Calibri" w:cs="Calibri"/>
          <w:sz w:val="20"/>
        </w:rPr>
        <w:t xml:space="preserve"> </w:t>
      </w:r>
    </w:p>
    <w:p w:rsidR="00E2279D" w:rsidRDefault="005E2FA0" w:rsidP="007A3A8A">
      <w:pPr>
        <w:jc w:val="both"/>
        <w:rPr>
          <w:rFonts w:ascii="Calibri" w:hAnsi="Calibri" w:cs="Calibri"/>
          <w:sz w:val="20"/>
        </w:rPr>
      </w:pPr>
      <w:r>
        <w:rPr>
          <w:rFonts w:ascii="Calibri" w:hAnsi="Calibri" w:cs="Calibri"/>
          <w:sz w:val="20"/>
        </w:rPr>
        <w:t>Vyhliadková veža</w:t>
      </w:r>
      <w:r w:rsidR="001730E3">
        <w:rPr>
          <w:rFonts w:ascii="Calibri" w:hAnsi="Calibri" w:cs="Calibri"/>
          <w:sz w:val="20"/>
        </w:rPr>
        <w:t xml:space="preserve"> SO 05</w:t>
      </w:r>
      <w:r>
        <w:rPr>
          <w:rFonts w:ascii="Calibri" w:hAnsi="Calibri" w:cs="Calibri"/>
          <w:sz w:val="20"/>
        </w:rPr>
        <w:t xml:space="preserve"> je samostatný objekt</w:t>
      </w:r>
      <w:r w:rsidR="001730E3">
        <w:rPr>
          <w:rFonts w:ascii="Calibri" w:hAnsi="Calibri" w:cs="Calibri"/>
          <w:sz w:val="20"/>
        </w:rPr>
        <w:t xml:space="preserve"> osadený vo vinohrade, vzdialený ca. 50m od samotného vinárstva.</w:t>
      </w:r>
      <w:r>
        <w:rPr>
          <w:rFonts w:ascii="Calibri" w:hAnsi="Calibri" w:cs="Calibri"/>
          <w:sz w:val="20"/>
        </w:rPr>
        <w:t xml:space="preserve"> </w:t>
      </w:r>
    </w:p>
    <w:p w:rsidR="001730E3" w:rsidRDefault="00E2279D" w:rsidP="007A3A8A">
      <w:pPr>
        <w:jc w:val="both"/>
        <w:rPr>
          <w:rFonts w:ascii="Calibri" w:hAnsi="Calibri" w:cs="Calibri"/>
          <w:sz w:val="20"/>
        </w:rPr>
      </w:pPr>
      <w:r>
        <w:rPr>
          <w:rFonts w:ascii="Calibri" w:hAnsi="Calibri" w:cs="Calibri"/>
          <w:sz w:val="20"/>
        </w:rPr>
        <w:t xml:space="preserve">Vertikálny pohyb je po točitom vretenovom schodisku bez výťahu. </w:t>
      </w:r>
      <w:r w:rsidR="005E2FA0">
        <w:rPr>
          <w:rFonts w:ascii="Calibri" w:hAnsi="Calibri" w:cs="Calibri"/>
          <w:sz w:val="20"/>
        </w:rPr>
        <w:t xml:space="preserve"> </w:t>
      </w:r>
    </w:p>
    <w:p w:rsidR="00123C3F" w:rsidRPr="002C2FD5" w:rsidRDefault="005E2FA0" w:rsidP="007A3A8A">
      <w:pPr>
        <w:jc w:val="both"/>
        <w:rPr>
          <w:rFonts w:ascii="Calibri" w:hAnsi="Calibri" w:cs="Calibri"/>
          <w:sz w:val="20"/>
        </w:rPr>
      </w:pPr>
      <w:r>
        <w:rPr>
          <w:rFonts w:ascii="Calibri" w:hAnsi="Calibri" w:cs="Calibri"/>
          <w:sz w:val="20"/>
        </w:rPr>
        <w:t xml:space="preserve">V </w:t>
      </w:r>
      <w:r w:rsidR="002C2FD5">
        <w:rPr>
          <w:rFonts w:ascii="Calibri" w:hAnsi="Calibri" w:cs="Calibri"/>
          <w:sz w:val="20"/>
        </w:rPr>
        <w:t>komplexe vinárstva</w:t>
      </w:r>
      <w:r w:rsidR="00123C3F" w:rsidRPr="002C2FD5">
        <w:rPr>
          <w:rFonts w:ascii="Calibri" w:hAnsi="Calibri" w:cs="Calibri"/>
          <w:sz w:val="20"/>
        </w:rPr>
        <w:t xml:space="preserve"> bud</w:t>
      </w:r>
      <w:r w:rsidR="002C2FD5">
        <w:rPr>
          <w:rFonts w:ascii="Calibri" w:hAnsi="Calibri" w:cs="Calibri"/>
          <w:sz w:val="20"/>
        </w:rPr>
        <w:t>ú pracovať trvale dvaja zamestnanci, pri zbere hrozna nárazovo viacej brigádnikov. Práca brigádnikov bude vykonávaná v exteriéri bez nároku na využívanie samotných objektov.</w:t>
      </w:r>
    </w:p>
    <w:p w:rsidR="005A2AD3" w:rsidRPr="004A47C5" w:rsidRDefault="005A2AD3" w:rsidP="0009245A">
      <w:pPr>
        <w:jc w:val="both"/>
        <w:rPr>
          <w:rFonts w:ascii="Calibri" w:hAnsi="Calibri" w:cs="Calibri"/>
          <w:sz w:val="20"/>
          <w:highlight w:val="yellow"/>
        </w:rPr>
      </w:pPr>
    </w:p>
    <w:p w:rsidR="005A2AD3" w:rsidRPr="002C50FA" w:rsidRDefault="002C50FA" w:rsidP="0009245A">
      <w:pPr>
        <w:jc w:val="both"/>
        <w:rPr>
          <w:rFonts w:ascii="Calibri" w:hAnsi="Calibri" w:cs="Calibri"/>
          <w:sz w:val="20"/>
        </w:rPr>
      </w:pPr>
      <w:r w:rsidRPr="002C50FA">
        <w:rPr>
          <w:rFonts w:ascii="Calibri" w:hAnsi="Calibri" w:cs="Calibri"/>
          <w:sz w:val="20"/>
        </w:rPr>
        <w:t xml:space="preserve">SO 01 - </w:t>
      </w:r>
      <w:r w:rsidR="005A2AD3" w:rsidRPr="002C50FA">
        <w:rPr>
          <w:rFonts w:ascii="Calibri" w:hAnsi="Calibri" w:cs="Calibri"/>
          <w:sz w:val="20"/>
        </w:rPr>
        <w:t>1.NP</w:t>
      </w:r>
      <w:r w:rsidR="00F35C1C">
        <w:rPr>
          <w:rFonts w:ascii="Calibri" w:hAnsi="Calibri" w:cs="Calibri"/>
          <w:sz w:val="20"/>
        </w:rPr>
        <w:t xml:space="preserve"> a 2.NP</w:t>
      </w:r>
    </w:p>
    <w:p w:rsidR="00F35C1C" w:rsidRPr="00F35C1C" w:rsidRDefault="005A2AD3" w:rsidP="007A3A8A">
      <w:pPr>
        <w:jc w:val="both"/>
        <w:rPr>
          <w:rFonts w:ascii="Calibri" w:hAnsi="Calibri" w:cs="Calibri"/>
          <w:sz w:val="20"/>
        </w:rPr>
      </w:pPr>
      <w:r w:rsidRPr="00F35C1C">
        <w:rPr>
          <w:rFonts w:ascii="Calibri" w:hAnsi="Calibri" w:cs="Calibri"/>
          <w:sz w:val="20"/>
        </w:rPr>
        <w:t xml:space="preserve">Na prízemí objektu sa nachádza hlavný vstup, </w:t>
      </w:r>
      <w:r w:rsidR="00F35C1C">
        <w:rPr>
          <w:rFonts w:ascii="Calibri" w:hAnsi="Calibri" w:cs="Calibri"/>
          <w:sz w:val="20"/>
        </w:rPr>
        <w:t>naväzujúci na otovrený veľopriestor showroomu. Showroom je dispozične prepojený na</w:t>
      </w:r>
      <w:r w:rsidRPr="00F35C1C">
        <w:rPr>
          <w:rFonts w:ascii="Calibri" w:hAnsi="Calibri" w:cs="Calibri"/>
          <w:sz w:val="20"/>
        </w:rPr>
        <w:t xml:space="preserve"> sociálne zariadenia, </w:t>
      </w:r>
      <w:r w:rsidR="00F35C1C">
        <w:rPr>
          <w:rFonts w:ascii="Calibri" w:hAnsi="Calibri" w:cs="Calibri"/>
          <w:sz w:val="20"/>
        </w:rPr>
        <w:t>uprtovaciu komoru</w:t>
      </w:r>
      <w:r w:rsidRPr="00F35C1C">
        <w:rPr>
          <w:rFonts w:ascii="Calibri" w:hAnsi="Calibri" w:cs="Calibri"/>
          <w:sz w:val="20"/>
        </w:rPr>
        <w:t xml:space="preserve">, </w:t>
      </w:r>
      <w:r w:rsidR="00F35C1C">
        <w:rPr>
          <w:rFonts w:ascii="Calibri" w:hAnsi="Calibri" w:cs="Calibri"/>
          <w:sz w:val="20"/>
        </w:rPr>
        <w:t xml:space="preserve">miestnosť ubytovania a 2 schodiská. Jedno schodisko je pôvodné, ktoré služi ako vstup do pôvodnej vínnej pivnice. Druhé schodisko slúži na vertikálny pohyb do podkrovnej ubytovacej časti objektu SO 02.  2.NP tvorí spojovacia chodba vo forme akoby lávky otvorenej galérii s priehľadom na 1NP. Zo spojovacej chodby sa dostaneme do 2 ubytovacích izieb a miestnosti hygienického zázemia. </w:t>
      </w:r>
    </w:p>
    <w:p w:rsidR="00F35C1C" w:rsidRDefault="00F35C1C" w:rsidP="002C50FA">
      <w:pPr>
        <w:jc w:val="both"/>
        <w:rPr>
          <w:rFonts w:ascii="Calibri" w:hAnsi="Calibri" w:cs="Calibri"/>
          <w:sz w:val="20"/>
        </w:rPr>
      </w:pPr>
    </w:p>
    <w:p w:rsidR="002C50FA" w:rsidRPr="002C50FA" w:rsidRDefault="002C50FA" w:rsidP="002C50FA">
      <w:pPr>
        <w:jc w:val="both"/>
        <w:rPr>
          <w:rFonts w:ascii="Calibri" w:hAnsi="Calibri" w:cs="Calibri"/>
          <w:sz w:val="20"/>
        </w:rPr>
      </w:pPr>
      <w:r w:rsidRPr="002C50FA">
        <w:rPr>
          <w:rFonts w:ascii="Calibri" w:hAnsi="Calibri" w:cs="Calibri"/>
          <w:sz w:val="20"/>
        </w:rPr>
        <w:t>SO 0</w:t>
      </w:r>
      <w:r>
        <w:rPr>
          <w:rFonts w:ascii="Calibri" w:hAnsi="Calibri" w:cs="Calibri"/>
          <w:sz w:val="20"/>
        </w:rPr>
        <w:t>2</w:t>
      </w:r>
      <w:r w:rsidRPr="002C50FA">
        <w:rPr>
          <w:rFonts w:ascii="Calibri" w:hAnsi="Calibri" w:cs="Calibri"/>
          <w:sz w:val="20"/>
        </w:rPr>
        <w:t xml:space="preserve"> </w:t>
      </w:r>
      <w:r w:rsidR="00F35C1C">
        <w:rPr>
          <w:rFonts w:ascii="Calibri" w:hAnsi="Calibri" w:cs="Calibri"/>
          <w:sz w:val="20"/>
        </w:rPr>
        <w:t>–</w:t>
      </w:r>
      <w:r w:rsidRPr="002C50FA">
        <w:rPr>
          <w:rFonts w:ascii="Calibri" w:hAnsi="Calibri" w:cs="Calibri"/>
          <w:sz w:val="20"/>
        </w:rPr>
        <w:t xml:space="preserve"> </w:t>
      </w:r>
      <w:r w:rsidR="00F35C1C">
        <w:rPr>
          <w:rFonts w:ascii="Calibri" w:hAnsi="Calibri" w:cs="Calibri"/>
          <w:sz w:val="20"/>
        </w:rPr>
        <w:t xml:space="preserve">1.PP, </w:t>
      </w:r>
      <w:r>
        <w:rPr>
          <w:rFonts w:ascii="Calibri" w:hAnsi="Calibri" w:cs="Calibri"/>
          <w:sz w:val="20"/>
        </w:rPr>
        <w:t>1</w:t>
      </w:r>
      <w:r w:rsidRPr="002C50FA">
        <w:rPr>
          <w:rFonts w:ascii="Calibri" w:hAnsi="Calibri" w:cs="Calibri"/>
          <w:sz w:val="20"/>
        </w:rPr>
        <w:t>.NP</w:t>
      </w:r>
      <w:r w:rsidR="00F35C1C">
        <w:rPr>
          <w:rFonts w:ascii="Calibri" w:hAnsi="Calibri" w:cs="Calibri"/>
          <w:sz w:val="20"/>
        </w:rPr>
        <w:t xml:space="preserve"> a 2.NP</w:t>
      </w:r>
    </w:p>
    <w:p w:rsidR="00596C1F" w:rsidRDefault="00881A0E" w:rsidP="002C50FA">
      <w:pPr>
        <w:jc w:val="both"/>
        <w:rPr>
          <w:rFonts w:ascii="Calibri" w:hAnsi="Calibri" w:cs="Calibri"/>
          <w:sz w:val="20"/>
        </w:rPr>
      </w:pPr>
      <w:r>
        <w:rPr>
          <w:rFonts w:ascii="Calibri" w:hAnsi="Calibri" w:cs="Calibri"/>
          <w:sz w:val="20"/>
        </w:rPr>
        <w:t xml:space="preserve">Podzemnú časť tvoria priestory skladovania vína, v jednej </w:t>
      </w:r>
      <w:r w:rsidR="00596C1F">
        <w:rPr>
          <w:rFonts w:ascii="Calibri" w:hAnsi="Calibri" w:cs="Calibri"/>
          <w:sz w:val="20"/>
        </w:rPr>
        <w:t xml:space="preserve">krídle objektu SO 02 </w:t>
      </w:r>
      <w:r>
        <w:rPr>
          <w:rFonts w:ascii="Calibri" w:hAnsi="Calibri" w:cs="Calibri"/>
          <w:sz w:val="20"/>
        </w:rPr>
        <w:t xml:space="preserve"> v nerezových nádržiach</w:t>
      </w:r>
      <w:r w:rsidR="00596C1F">
        <w:rPr>
          <w:rFonts w:ascii="Calibri" w:hAnsi="Calibri" w:cs="Calibri"/>
          <w:sz w:val="20"/>
        </w:rPr>
        <w:t xml:space="preserve"> a v druhom v drevených sudoch. Na uvedené miestnosti nadväzuje otovrený chodbový manipulačný priestor s  vertikány jadrom. Z chodby je taktiež navrhnuté priame napojenie na jestvujúcu pivnicu SO 04 za pomoci rampy.</w:t>
      </w:r>
    </w:p>
    <w:p w:rsidR="002C50FA" w:rsidRDefault="00596C1F" w:rsidP="002C50FA">
      <w:pPr>
        <w:jc w:val="both"/>
        <w:rPr>
          <w:rFonts w:ascii="Calibri" w:hAnsi="Calibri" w:cs="Calibri"/>
          <w:sz w:val="20"/>
        </w:rPr>
      </w:pPr>
      <w:r>
        <w:rPr>
          <w:rFonts w:ascii="Calibri" w:hAnsi="Calibri" w:cs="Calibri"/>
          <w:sz w:val="20"/>
        </w:rPr>
        <w:t xml:space="preserve">Verikáne jadro tvorí tvorí schodisko a výťahová plošina pre dopravu technológie, sudov a nádrží.  </w:t>
      </w:r>
    </w:p>
    <w:p w:rsidR="00596C1F" w:rsidRDefault="00596C1F" w:rsidP="002C50FA">
      <w:pPr>
        <w:jc w:val="both"/>
        <w:rPr>
          <w:rFonts w:ascii="Calibri" w:hAnsi="Calibri" w:cs="Calibri"/>
          <w:sz w:val="20"/>
        </w:rPr>
      </w:pPr>
      <w:r>
        <w:rPr>
          <w:rFonts w:ascii="Calibri" w:hAnsi="Calibri" w:cs="Calibri"/>
          <w:sz w:val="20"/>
        </w:rPr>
        <w:t>Prízemím prechádza manipulačná oblsužná chodba, z ktorej je prístup takmer do každej miestnosti výroby a zázemia. Na chodbu nadväzuje aj zásobovací vchod do objektu SO 02  umiestnený v spojovacom krčku v prepojení 2 krídel objektu. Miestnosti výroby a zázemia tvoria:  Lisovňa a fľaškovňa, sklady k výrobe, miestnosť pre výrobu chladu, el. rozvodňa, laboratórna miestnosť so skladom, denná miest</w:t>
      </w:r>
      <w:r w:rsidR="0065273C">
        <w:rPr>
          <w:rFonts w:ascii="Calibri" w:hAnsi="Calibri" w:cs="Calibri"/>
          <w:sz w:val="20"/>
        </w:rPr>
        <w:t xml:space="preserve">nosť pre zamestnancov s hygienickým zázemím, sklad naflašovaného vína. Na 1np sa nachádzajú aj 2 doplnkové schodiská slúžiace na vertikálny pohyb do podstrešného priestoru, ktorý slúži ako sklad prepraviek, obalov a iných pomôcok resp. používaných pri vinárskej výrobe. </w:t>
      </w:r>
    </w:p>
    <w:p w:rsidR="002C2FD5" w:rsidRPr="0065273C" w:rsidRDefault="00596C1F" w:rsidP="007A3A8A">
      <w:pPr>
        <w:jc w:val="both"/>
        <w:rPr>
          <w:rFonts w:ascii="Calibri" w:hAnsi="Calibri" w:cs="Calibri"/>
          <w:sz w:val="20"/>
        </w:rPr>
      </w:pPr>
      <w:r>
        <w:rPr>
          <w:rFonts w:ascii="Calibri" w:hAnsi="Calibri" w:cs="Calibri"/>
          <w:sz w:val="20"/>
        </w:rPr>
        <w:t xml:space="preserve"> </w:t>
      </w:r>
    </w:p>
    <w:p w:rsidR="002C50FA" w:rsidRDefault="002C50FA" w:rsidP="002C50FA">
      <w:pPr>
        <w:jc w:val="both"/>
        <w:rPr>
          <w:rFonts w:ascii="Calibri" w:hAnsi="Calibri" w:cs="Calibri"/>
          <w:sz w:val="20"/>
        </w:rPr>
      </w:pPr>
      <w:r w:rsidRPr="002C50FA">
        <w:rPr>
          <w:rFonts w:ascii="Calibri" w:hAnsi="Calibri" w:cs="Calibri"/>
          <w:sz w:val="20"/>
        </w:rPr>
        <w:t>SO 0</w:t>
      </w:r>
      <w:r>
        <w:rPr>
          <w:rFonts w:ascii="Calibri" w:hAnsi="Calibri" w:cs="Calibri"/>
          <w:sz w:val="20"/>
        </w:rPr>
        <w:t>3</w:t>
      </w:r>
      <w:r w:rsidRPr="002C50FA">
        <w:rPr>
          <w:rFonts w:ascii="Calibri" w:hAnsi="Calibri" w:cs="Calibri"/>
          <w:sz w:val="20"/>
        </w:rPr>
        <w:t xml:space="preserve"> </w:t>
      </w:r>
      <w:r>
        <w:rPr>
          <w:rFonts w:ascii="Calibri" w:hAnsi="Calibri" w:cs="Calibri"/>
          <w:sz w:val="20"/>
        </w:rPr>
        <w:t>-</w:t>
      </w:r>
      <w:r w:rsidRPr="002C50FA">
        <w:rPr>
          <w:rFonts w:ascii="Calibri" w:hAnsi="Calibri" w:cs="Calibri"/>
          <w:sz w:val="20"/>
        </w:rPr>
        <w:t xml:space="preserve"> </w:t>
      </w:r>
      <w:r>
        <w:rPr>
          <w:rFonts w:ascii="Calibri" w:hAnsi="Calibri" w:cs="Calibri"/>
          <w:sz w:val="20"/>
        </w:rPr>
        <w:t>1</w:t>
      </w:r>
      <w:r w:rsidRPr="002C50FA">
        <w:rPr>
          <w:rFonts w:ascii="Calibri" w:hAnsi="Calibri" w:cs="Calibri"/>
          <w:sz w:val="20"/>
        </w:rPr>
        <w:t>.NP</w:t>
      </w:r>
    </w:p>
    <w:p w:rsidR="0065273C" w:rsidRDefault="0065273C" w:rsidP="002C50FA">
      <w:pPr>
        <w:jc w:val="both"/>
        <w:rPr>
          <w:rFonts w:ascii="Calibri" w:hAnsi="Calibri" w:cs="Calibri"/>
          <w:sz w:val="20"/>
        </w:rPr>
      </w:pPr>
      <w:r>
        <w:rPr>
          <w:rFonts w:ascii="Calibri" w:hAnsi="Calibri" w:cs="Calibri"/>
          <w:sz w:val="20"/>
        </w:rPr>
        <w:t xml:space="preserve">Hospodársky objekt je jednoduchý, prízemný objekt bez využitia podkrovia. Pozostáva z hlavnej miestnosti garáže na poľnohospodárske stroje obsluhujúce vinohrad, miestnosti pre osadenie baterií služiacich na uchovanie vyrobenej elektrickej energie z fotovoltických panelov umiestnených na streche objektu. Ďalšou miestnosťou naväzujúcej na garáž je sklad chemikálií slúžiacich pri obrábaní vinohradu.  Poslednou mistnosťou objketu SO 03 je priestor pre odpodové hospodárstvo prevádzky vinárskeho komplexu. Odpadové hospodárstvo je prístupné priamo z exteriéru. </w:t>
      </w:r>
    </w:p>
    <w:p w:rsidR="0065273C" w:rsidRDefault="0065273C" w:rsidP="002C50FA">
      <w:pPr>
        <w:jc w:val="both"/>
        <w:rPr>
          <w:rFonts w:ascii="Calibri" w:hAnsi="Calibri" w:cs="Calibri"/>
          <w:sz w:val="20"/>
        </w:rPr>
      </w:pPr>
    </w:p>
    <w:p w:rsidR="002C50FA" w:rsidRDefault="002C50FA" w:rsidP="002C50FA">
      <w:pPr>
        <w:jc w:val="both"/>
        <w:rPr>
          <w:rFonts w:ascii="Calibri" w:hAnsi="Calibri" w:cs="Calibri"/>
          <w:sz w:val="20"/>
        </w:rPr>
      </w:pPr>
      <w:r w:rsidRPr="002C50FA">
        <w:rPr>
          <w:rFonts w:ascii="Calibri" w:hAnsi="Calibri" w:cs="Calibri"/>
          <w:sz w:val="20"/>
        </w:rPr>
        <w:t>SO 0</w:t>
      </w:r>
      <w:r>
        <w:rPr>
          <w:rFonts w:ascii="Calibri" w:hAnsi="Calibri" w:cs="Calibri"/>
          <w:sz w:val="20"/>
        </w:rPr>
        <w:t>4</w:t>
      </w:r>
      <w:r w:rsidRPr="002C50FA">
        <w:rPr>
          <w:rFonts w:ascii="Calibri" w:hAnsi="Calibri" w:cs="Calibri"/>
          <w:sz w:val="20"/>
        </w:rPr>
        <w:t xml:space="preserve"> </w:t>
      </w:r>
      <w:r>
        <w:rPr>
          <w:rFonts w:ascii="Calibri" w:hAnsi="Calibri" w:cs="Calibri"/>
          <w:sz w:val="20"/>
        </w:rPr>
        <w:t>-</w:t>
      </w:r>
      <w:r w:rsidRPr="002C50FA">
        <w:rPr>
          <w:rFonts w:ascii="Calibri" w:hAnsi="Calibri" w:cs="Calibri"/>
          <w:sz w:val="20"/>
        </w:rPr>
        <w:t xml:space="preserve"> </w:t>
      </w:r>
      <w:r>
        <w:rPr>
          <w:rFonts w:ascii="Calibri" w:hAnsi="Calibri" w:cs="Calibri"/>
          <w:sz w:val="20"/>
        </w:rPr>
        <w:t>1.P</w:t>
      </w:r>
      <w:r w:rsidRPr="002C50FA">
        <w:rPr>
          <w:rFonts w:ascii="Calibri" w:hAnsi="Calibri" w:cs="Calibri"/>
          <w:sz w:val="20"/>
        </w:rPr>
        <w:t>P</w:t>
      </w:r>
    </w:p>
    <w:p w:rsidR="0065273C" w:rsidRDefault="0065273C" w:rsidP="002C50FA">
      <w:pPr>
        <w:jc w:val="both"/>
        <w:rPr>
          <w:rFonts w:ascii="Calibri" w:hAnsi="Calibri" w:cs="Calibri"/>
          <w:sz w:val="20"/>
        </w:rPr>
      </w:pPr>
      <w:r>
        <w:rPr>
          <w:rFonts w:ascii="Calibri" w:hAnsi="Calibri" w:cs="Calibri"/>
          <w:sz w:val="20"/>
        </w:rPr>
        <w:t xml:space="preserve">Jestvujúca zachovávaná vínna pivnica bude slúžiť naďalej svôjmu účelu a to uskladneniu vína v drevených sudoch. </w:t>
      </w:r>
    </w:p>
    <w:p w:rsidR="00D374C7" w:rsidRDefault="00D374C7" w:rsidP="002C50FA">
      <w:pPr>
        <w:jc w:val="both"/>
        <w:rPr>
          <w:rFonts w:ascii="Calibri" w:hAnsi="Calibri" w:cs="Calibri"/>
          <w:sz w:val="20"/>
        </w:rPr>
      </w:pPr>
      <w:r>
        <w:rPr>
          <w:rFonts w:ascii="Calibri" w:hAnsi="Calibri" w:cs="Calibri"/>
          <w:sz w:val="20"/>
        </w:rPr>
        <w:t>Pivnica je napojena schodiskom na objekt SO 01 a rampou na podzemnú časť SO 02. Spolu vytvárajú ucelený 3- objekt.</w:t>
      </w:r>
    </w:p>
    <w:p w:rsidR="00D374C7" w:rsidRDefault="00D374C7" w:rsidP="002C50FA">
      <w:pPr>
        <w:jc w:val="both"/>
        <w:rPr>
          <w:rFonts w:ascii="Calibri" w:hAnsi="Calibri" w:cs="Calibri"/>
          <w:sz w:val="20"/>
        </w:rPr>
      </w:pPr>
    </w:p>
    <w:p w:rsidR="00DE3AB5" w:rsidRDefault="00DE3AB5" w:rsidP="007A3A8A">
      <w:pPr>
        <w:jc w:val="both"/>
        <w:rPr>
          <w:rFonts w:ascii="Calibri" w:hAnsi="Calibri" w:cs="Calibri"/>
          <w:b/>
          <w:sz w:val="20"/>
        </w:rPr>
      </w:pPr>
      <w:r w:rsidRPr="00217D62">
        <w:rPr>
          <w:rFonts w:ascii="Calibri" w:hAnsi="Calibri" w:cs="Calibri"/>
          <w:b/>
          <w:sz w:val="20"/>
        </w:rPr>
        <w:t>b) Architektonické a  hmotovo - priestorové riešenie</w:t>
      </w:r>
    </w:p>
    <w:p w:rsidR="00B277BF" w:rsidRDefault="00B277BF" w:rsidP="007A3A8A">
      <w:pPr>
        <w:jc w:val="both"/>
        <w:rPr>
          <w:rFonts w:ascii="Calibri" w:hAnsi="Calibri" w:cs="Calibri"/>
          <w:b/>
          <w:sz w:val="20"/>
        </w:rPr>
      </w:pPr>
    </w:p>
    <w:p w:rsidR="00FA09D7" w:rsidRPr="00FA09D7" w:rsidRDefault="00FA09D7" w:rsidP="007A3A8A">
      <w:pPr>
        <w:jc w:val="both"/>
        <w:rPr>
          <w:rFonts w:ascii="Calibri" w:hAnsi="Calibri" w:cs="Calibri"/>
          <w:b/>
          <w:sz w:val="20"/>
        </w:rPr>
      </w:pPr>
      <w:r w:rsidRPr="00FA09D7">
        <w:rPr>
          <w:rFonts w:ascii="Calibri" w:hAnsi="Calibri" w:cs="Calibri"/>
          <w:sz w:val="20"/>
        </w:rPr>
        <w:t>Z architektonického hľadiska sú všetky objekty vinárstva výtvarne stvárnené tak, aby splynuli s okolitou zástavbou a rozvíjali tradičnú architektúru tohoto vinárskeho regiónu. Všetky objekty sú murované, jednopodlažné (SO 01 – SO 03) so sedlovou strechou. Objekt hlavnej výroby (SO 02) je podpivničený tak, aby poskytoval dostatok priestoru na uskladnenie nerezových a drevených sudov a zároveň integroval historickú zachovanú pivnicu do novo navrhovanej stavby.</w:t>
      </w:r>
    </w:p>
    <w:p w:rsidR="002C2FD5" w:rsidRDefault="002C2FD5" w:rsidP="007A3A8A">
      <w:pPr>
        <w:jc w:val="both"/>
        <w:rPr>
          <w:rFonts w:ascii="Calibri" w:hAnsi="Calibri" w:cs="Calibri"/>
          <w:sz w:val="20"/>
        </w:rPr>
      </w:pPr>
      <w:r w:rsidRPr="000E07FD">
        <w:rPr>
          <w:rFonts w:ascii="Calibri" w:hAnsi="Calibri" w:cs="Calibri"/>
          <w:sz w:val="20"/>
        </w:rPr>
        <w:t xml:space="preserve">Keďže je navrhovaný </w:t>
      </w:r>
      <w:r>
        <w:rPr>
          <w:rFonts w:ascii="Calibri" w:hAnsi="Calibri" w:cs="Calibri"/>
          <w:sz w:val="20"/>
        </w:rPr>
        <w:t xml:space="preserve">komplex </w:t>
      </w:r>
      <w:r w:rsidRPr="000E07FD">
        <w:rPr>
          <w:rFonts w:ascii="Calibri" w:hAnsi="Calibri" w:cs="Calibri"/>
          <w:sz w:val="20"/>
        </w:rPr>
        <w:t>situovaný v extraviláne obce, uprostred drobnej zástavby tradičných prízemných murovaných domov, jeho hmot</w:t>
      </w:r>
      <w:r>
        <w:rPr>
          <w:rFonts w:ascii="Calibri" w:hAnsi="Calibri" w:cs="Calibri"/>
          <w:sz w:val="20"/>
        </w:rPr>
        <w:t>y</w:t>
      </w:r>
      <w:r w:rsidRPr="000E07FD">
        <w:rPr>
          <w:rFonts w:ascii="Calibri" w:hAnsi="Calibri" w:cs="Calibri"/>
          <w:sz w:val="20"/>
        </w:rPr>
        <w:t xml:space="preserve"> citlivo reaguj</w:t>
      </w:r>
      <w:r>
        <w:rPr>
          <w:rFonts w:ascii="Calibri" w:hAnsi="Calibri" w:cs="Calibri"/>
          <w:sz w:val="20"/>
        </w:rPr>
        <w:t>ú</w:t>
      </w:r>
      <w:r w:rsidRPr="000E07FD">
        <w:rPr>
          <w:rFonts w:ascii="Calibri" w:hAnsi="Calibri" w:cs="Calibri"/>
          <w:sz w:val="20"/>
        </w:rPr>
        <w:t xml:space="preserve"> na svoje okolie a prevádzka celého komplexu je rozčlenená do niekoľkých samostatných funkčných celkov, ktoré sú v súlade s mierkou okolitých stavieb. Zároveň rozčlenenie celého vinárstva na viacero samostatných objektov umožňuje stavbe urbanizovať svoje prostredie a okrem samotných vnútorných priestorov vytvoriť aj viaceré pobytové dvory (</w:t>
      </w:r>
      <w:r w:rsidR="00256E35">
        <w:rPr>
          <w:rFonts w:ascii="Calibri" w:hAnsi="Calibri" w:cs="Calibri"/>
          <w:sz w:val="20"/>
        </w:rPr>
        <w:t>dubo</w:t>
      </w:r>
      <w:r w:rsidRPr="000E07FD">
        <w:rPr>
          <w:rFonts w:ascii="Calibri" w:hAnsi="Calibri" w:cs="Calibri"/>
          <w:sz w:val="20"/>
        </w:rPr>
        <w:t xml:space="preserve">vý dvor, hospodársky dvor, </w:t>
      </w:r>
      <w:r w:rsidR="00256E35">
        <w:rPr>
          <w:rFonts w:ascii="Calibri" w:hAnsi="Calibri" w:cs="Calibri"/>
          <w:sz w:val="20"/>
        </w:rPr>
        <w:t>jaseňová</w:t>
      </w:r>
      <w:r w:rsidRPr="000E07FD">
        <w:rPr>
          <w:rFonts w:ascii="Calibri" w:hAnsi="Calibri" w:cs="Calibri"/>
          <w:sz w:val="20"/>
        </w:rPr>
        <w:t xml:space="preserve"> aleja) a záhrady, čím sa rozširuje pobytová a priestorová kvalita celého komplexu. </w:t>
      </w:r>
    </w:p>
    <w:p w:rsidR="004C26FC" w:rsidRPr="004A47C5" w:rsidRDefault="004C26FC" w:rsidP="00B277BF">
      <w:pPr>
        <w:jc w:val="both"/>
        <w:rPr>
          <w:rFonts w:ascii="Calibri" w:hAnsi="Calibri" w:cs="Calibri"/>
          <w:sz w:val="20"/>
          <w:highlight w:val="yellow"/>
        </w:rPr>
      </w:pPr>
    </w:p>
    <w:p w:rsidR="00016203" w:rsidRPr="004A47C5" w:rsidRDefault="00016203" w:rsidP="0009245A">
      <w:pPr>
        <w:ind w:hanging="360"/>
        <w:jc w:val="both"/>
        <w:rPr>
          <w:rFonts w:ascii="Calibri" w:hAnsi="Calibri" w:cs="Calibri"/>
          <w:sz w:val="20"/>
          <w:highlight w:val="yellow"/>
        </w:rPr>
      </w:pPr>
    </w:p>
    <w:p w:rsidR="00DE3AB5" w:rsidRPr="00217D62" w:rsidRDefault="00DE3AB5" w:rsidP="0009245A">
      <w:pPr>
        <w:rPr>
          <w:rFonts w:ascii="Calibri" w:hAnsi="Calibri" w:cs="Calibri"/>
          <w:b/>
          <w:sz w:val="20"/>
          <w:lang w:eastAsia="en-US"/>
        </w:rPr>
      </w:pPr>
      <w:r w:rsidRPr="00217D62">
        <w:rPr>
          <w:rFonts w:ascii="Calibri" w:hAnsi="Calibri" w:cs="Calibri"/>
          <w:b/>
          <w:sz w:val="20"/>
          <w:lang w:eastAsia="en-US"/>
        </w:rPr>
        <w:t>c) Technické riešenie</w:t>
      </w:r>
    </w:p>
    <w:p w:rsidR="00876B09" w:rsidRPr="00217D62" w:rsidRDefault="00876B09" w:rsidP="0009245A">
      <w:pPr>
        <w:pStyle w:val="Nadpis2"/>
        <w:numPr>
          <w:ilvl w:val="0"/>
          <w:numId w:val="0"/>
        </w:numPr>
        <w:jc w:val="both"/>
        <w:rPr>
          <w:rFonts w:ascii="Calibri" w:hAnsi="Calibri" w:cs="Calibri"/>
          <w:b w:val="0"/>
          <w:szCs w:val="20"/>
          <w:u w:val="single"/>
        </w:rPr>
      </w:pPr>
      <w:r w:rsidRPr="00217D62">
        <w:rPr>
          <w:rFonts w:ascii="Calibri" w:hAnsi="Calibri" w:cs="Calibri"/>
          <w:b w:val="0"/>
          <w:szCs w:val="20"/>
          <w:u w:val="single"/>
        </w:rPr>
        <w:t>Búracie práce</w:t>
      </w:r>
    </w:p>
    <w:p w:rsidR="00016203" w:rsidRPr="00575C98" w:rsidRDefault="00575C98" w:rsidP="007A3A8A">
      <w:pPr>
        <w:jc w:val="both"/>
        <w:rPr>
          <w:rFonts w:ascii="Calibri" w:hAnsi="Calibri" w:cs="Calibri"/>
          <w:color w:val="FF0000"/>
          <w:sz w:val="20"/>
          <w:highlight w:val="yellow"/>
        </w:rPr>
      </w:pPr>
      <w:r w:rsidRPr="00575C98">
        <w:rPr>
          <w:rFonts w:ascii="Calibri" w:hAnsi="Calibri" w:cs="Calibri"/>
          <w:sz w:val="20"/>
        </w:rPr>
        <w:t xml:space="preserve">Pred započatím stavebných prác je potrebné najprv vykonať výrub krovísk a náletovej zelene, nachádzajúcej sa v mieste staveniska. Ďalej je nutné odstrániť </w:t>
      </w:r>
      <w:r w:rsidR="00256E35">
        <w:rPr>
          <w:rFonts w:ascii="Calibri" w:hAnsi="Calibri" w:cs="Calibri"/>
          <w:sz w:val="20"/>
        </w:rPr>
        <w:t>jeden</w:t>
      </w:r>
      <w:r w:rsidRPr="00575C98">
        <w:rPr>
          <w:rFonts w:ascii="Calibri" w:hAnsi="Calibri" w:cs="Calibri"/>
          <w:sz w:val="20"/>
        </w:rPr>
        <w:t xml:space="preserve"> pôvodn</w:t>
      </w:r>
      <w:r w:rsidR="00256E35">
        <w:rPr>
          <w:rFonts w:ascii="Calibri" w:hAnsi="Calibri" w:cs="Calibri"/>
          <w:sz w:val="20"/>
        </w:rPr>
        <w:t>ý</w:t>
      </w:r>
      <w:r w:rsidRPr="00575C98">
        <w:rPr>
          <w:rFonts w:ascii="Calibri" w:hAnsi="Calibri" w:cs="Calibri"/>
          <w:sz w:val="20"/>
        </w:rPr>
        <w:t xml:space="preserve"> objekt určen</w:t>
      </w:r>
      <w:r w:rsidR="00256E35">
        <w:rPr>
          <w:rFonts w:ascii="Calibri" w:hAnsi="Calibri" w:cs="Calibri"/>
          <w:sz w:val="20"/>
        </w:rPr>
        <w:t>ý</w:t>
      </w:r>
      <w:r w:rsidRPr="00575C98">
        <w:rPr>
          <w:rFonts w:ascii="Calibri" w:hAnsi="Calibri" w:cs="Calibri"/>
          <w:sz w:val="20"/>
        </w:rPr>
        <w:t xml:space="preserve"> na demoláciu. </w:t>
      </w:r>
      <w:r w:rsidR="00256E35">
        <w:rPr>
          <w:rFonts w:ascii="Calibri" w:hAnsi="Calibri" w:cs="Calibri"/>
          <w:sz w:val="20"/>
        </w:rPr>
        <w:t>Objekt</w:t>
      </w:r>
      <w:r w:rsidRPr="00575C98">
        <w:rPr>
          <w:rFonts w:ascii="Calibri" w:hAnsi="Calibri" w:cs="Calibri"/>
          <w:sz w:val="20"/>
        </w:rPr>
        <w:t xml:space="preserve"> s</w:t>
      </w:r>
      <w:r w:rsidR="00256E35">
        <w:rPr>
          <w:rFonts w:ascii="Calibri" w:hAnsi="Calibri" w:cs="Calibri"/>
          <w:sz w:val="20"/>
        </w:rPr>
        <w:t>je</w:t>
      </w:r>
      <w:r w:rsidRPr="00575C98">
        <w:rPr>
          <w:rFonts w:ascii="Calibri" w:hAnsi="Calibri" w:cs="Calibri"/>
          <w:sz w:val="20"/>
        </w:rPr>
        <w:t xml:space="preserve"> osaden</w:t>
      </w:r>
      <w:r w:rsidR="00256E35">
        <w:rPr>
          <w:rFonts w:ascii="Calibri" w:hAnsi="Calibri" w:cs="Calibri"/>
          <w:sz w:val="20"/>
        </w:rPr>
        <w:t>ý</w:t>
      </w:r>
      <w:r w:rsidRPr="00575C98">
        <w:rPr>
          <w:rFonts w:ascii="Calibri" w:hAnsi="Calibri" w:cs="Calibri"/>
          <w:sz w:val="20"/>
        </w:rPr>
        <w:t xml:space="preserve"> na rovinatom teréne, </w:t>
      </w:r>
      <w:r w:rsidR="00256E35">
        <w:rPr>
          <w:rFonts w:ascii="Calibri" w:hAnsi="Calibri" w:cs="Calibri"/>
          <w:sz w:val="20"/>
        </w:rPr>
        <w:t>je</w:t>
      </w:r>
      <w:r w:rsidRPr="00575C98">
        <w:rPr>
          <w:rFonts w:ascii="Calibri" w:hAnsi="Calibri" w:cs="Calibri"/>
          <w:sz w:val="20"/>
        </w:rPr>
        <w:t xml:space="preserve"> v nevyhovujúcom technickom stave na mieste navrhovaného komplexu vinárstva. </w:t>
      </w:r>
      <w:r w:rsidR="0063464C">
        <w:rPr>
          <w:rFonts w:ascii="Calibri" w:hAnsi="Calibri" w:cs="Calibri"/>
          <w:sz w:val="20"/>
        </w:rPr>
        <w:t>S</w:t>
      </w:r>
      <w:r w:rsidRPr="00575C98">
        <w:rPr>
          <w:rFonts w:ascii="Calibri" w:hAnsi="Calibri" w:cs="Calibri"/>
          <w:sz w:val="20"/>
        </w:rPr>
        <w:t>tavb</w:t>
      </w:r>
      <w:r w:rsidR="0063464C">
        <w:rPr>
          <w:rFonts w:ascii="Calibri" w:hAnsi="Calibri" w:cs="Calibri"/>
          <w:sz w:val="20"/>
        </w:rPr>
        <w:t xml:space="preserve">a </w:t>
      </w:r>
      <w:r w:rsidRPr="00575C98">
        <w:rPr>
          <w:rFonts w:ascii="Calibri" w:hAnsi="Calibri" w:cs="Calibri"/>
          <w:sz w:val="20"/>
        </w:rPr>
        <w:t>bud</w:t>
      </w:r>
      <w:r w:rsidR="0063464C">
        <w:rPr>
          <w:rFonts w:ascii="Calibri" w:hAnsi="Calibri" w:cs="Calibri"/>
          <w:sz w:val="20"/>
        </w:rPr>
        <w:t>e</w:t>
      </w:r>
      <w:r w:rsidRPr="00575C98">
        <w:rPr>
          <w:rFonts w:ascii="Calibri" w:hAnsi="Calibri" w:cs="Calibri"/>
          <w:sz w:val="20"/>
        </w:rPr>
        <w:t xml:space="preserve"> odpojen</w:t>
      </w:r>
      <w:r w:rsidR="0063464C">
        <w:rPr>
          <w:rFonts w:ascii="Calibri" w:hAnsi="Calibri" w:cs="Calibri"/>
          <w:sz w:val="20"/>
        </w:rPr>
        <w:t>á</w:t>
      </w:r>
      <w:r w:rsidRPr="00575C98">
        <w:rPr>
          <w:rFonts w:ascii="Calibri" w:hAnsi="Calibri" w:cs="Calibri"/>
          <w:sz w:val="20"/>
        </w:rPr>
        <w:t xml:space="preserve"> od prívod</w:t>
      </w:r>
      <w:r w:rsidR="0063464C">
        <w:rPr>
          <w:rFonts w:ascii="Calibri" w:hAnsi="Calibri" w:cs="Calibri"/>
          <w:sz w:val="20"/>
        </w:rPr>
        <w:t>u</w:t>
      </w:r>
      <w:r w:rsidRPr="00575C98">
        <w:rPr>
          <w:rFonts w:ascii="Calibri" w:hAnsi="Calibri" w:cs="Calibri"/>
          <w:sz w:val="20"/>
        </w:rPr>
        <w:t xml:space="preserve"> elektriny a verejného vodovodu a následne odstránen</w:t>
      </w:r>
      <w:r w:rsidR="0063464C">
        <w:rPr>
          <w:rFonts w:ascii="Calibri" w:hAnsi="Calibri" w:cs="Calibri"/>
          <w:sz w:val="20"/>
        </w:rPr>
        <w:t>á</w:t>
      </w:r>
      <w:r w:rsidRPr="00575C98">
        <w:rPr>
          <w:rFonts w:ascii="Calibri" w:hAnsi="Calibri" w:cs="Calibri"/>
          <w:sz w:val="20"/>
        </w:rPr>
        <w:t xml:space="preserve"> (od strešnej konštrukcie, cez zvislé až po vodorovné konštrukcie). Vzniknutá stavebná suť môže byť použitá do zásypov pri výstavbe objektov SO 01 – SO 03, alebo odvezená na skládku stavebného odpadu podľa platných predpisov. Bližšia špecifikácia demolácie je uvedené v časti Statika – Technologický postup búracích prác stavebných objektov. Na záver prípravných prác sa stavenisko urovná po celej ploche.</w:t>
      </w:r>
    </w:p>
    <w:p w:rsidR="00575C98" w:rsidRDefault="00575C98" w:rsidP="007A3A8A">
      <w:pPr>
        <w:jc w:val="both"/>
        <w:rPr>
          <w:rFonts w:ascii="Calibri" w:hAnsi="Calibri" w:cs="Calibri"/>
          <w:sz w:val="20"/>
          <w:u w:val="single"/>
        </w:rPr>
      </w:pPr>
    </w:p>
    <w:p w:rsidR="00E032AB" w:rsidRPr="00217D62" w:rsidRDefault="00F06135" w:rsidP="007A3A8A">
      <w:pPr>
        <w:jc w:val="both"/>
        <w:rPr>
          <w:rFonts w:ascii="Calibri" w:hAnsi="Calibri" w:cs="Calibri"/>
          <w:sz w:val="20"/>
          <w:u w:val="single"/>
        </w:rPr>
      </w:pPr>
      <w:r w:rsidRPr="00217D62">
        <w:rPr>
          <w:rFonts w:ascii="Calibri" w:hAnsi="Calibri" w:cs="Calibri"/>
          <w:sz w:val="20"/>
          <w:u w:val="single"/>
        </w:rPr>
        <w:t>Zemné práce</w:t>
      </w:r>
    </w:p>
    <w:p w:rsidR="00016203" w:rsidRPr="00575C98" w:rsidRDefault="00016203" w:rsidP="007A3A8A">
      <w:pPr>
        <w:jc w:val="both"/>
        <w:rPr>
          <w:rFonts w:ascii="Calibri" w:hAnsi="Calibri" w:cs="Calibri"/>
          <w:sz w:val="20"/>
        </w:rPr>
      </w:pPr>
      <w:r w:rsidRPr="00575C98">
        <w:rPr>
          <w:rFonts w:ascii="Calibri" w:hAnsi="Calibri" w:cs="Calibri"/>
          <w:sz w:val="20"/>
        </w:rPr>
        <w:t>Zemné práce pozos</w:t>
      </w:r>
      <w:r w:rsidR="00B6440A" w:rsidRPr="00575C98">
        <w:rPr>
          <w:rFonts w:ascii="Calibri" w:hAnsi="Calibri" w:cs="Calibri"/>
          <w:sz w:val="20"/>
        </w:rPr>
        <w:t>távajú z</w:t>
      </w:r>
      <w:r w:rsidR="00575C98">
        <w:rPr>
          <w:rFonts w:ascii="Calibri" w:hAnsi="Calibri" w:cs="Calibri"/>
          <w:sz w:val="20"/>
        </w:rPr>
        <w:t> výkopov pre</w:t>
      </w:r>
      <w:r w:rsidR="00B6440A" w:rsidRPr="00575C98">
        <w:rPr>
          <w:rFonts w:ascii="Calibri" w:hAnsi="Calibri" w:cs="Calibri"/>
          <w:sz w:val="20"/>
        </w:rPr>
        <w:t xml:space="preserve"> navrhované základy</w:t>
      </w:r>
      <w:r w:rsidR="00575C98">
        <w:rPr>
          <w:rFonts w:ascii="Calibri" w:hAnsi="Calibri" w:cs="Calibri"/>
          <w:sz w:val="20"/>
        </w:rPr>
        <w:t xml:space="preserve"> objektov a takisto aj </w:t>
      </w:r>
      <w:r w:rsidR="00B64F97">
        <w:rPr>
          <w:rFonts w:ascii="Calibri" w:hAnsi="Calibri" w:cs="Calibri"/>
          <w:sz w:val="20"/>
        </w:rPr>
        <w:t>z výkopovej jamy pre novonavrhovanú pivnicu v rámci objektu SO 02 a podzemnú časť vyhliadkovej veže SO 05</w:t>
      </w:r>
      <w:r w:rsidR="00575C98">
        <w:rPr>
          <w:rFonts w:ascii="Calibri" w:hAnsi="Calibri" w:cs="Calibri"/>
          <w:sz w:val="20"/>
        </w:rPr>
        <w:t xml:space="preserve"> </w:t>
      </w:r>
      <w:r w:rsidR="00B6440A" w:rsidRPr="00575C98">
        <w:rPr>
          <w:rFonts w:ascii="Calibri" w:hAnsi="Calibri" w:cs="Calibri"/>
          <w:sz w:val="20"/>
        </w:rPr>
        <w:t xml:space="preserve">. </w:t>
      </w:r>
      <w:r w:rsidR="00B64F97">
        <w:rPr>
          <w:rFonts w:ascii="Calibri" w:hAnsi="Calibri" w:cs="Calibri"/>
          <w:sz w:val="20"/>
        </w:rPr>
        <w:t xml:space="preserve">Bližšia špecifikácia výkopovýc prác je uvedená v časti Statika. </w:t>
      </w:r>
      <w:r w:rsidRPr="00575C98">
        <w:rPr>
          <w:rFonts w:ascii="Calibri" w:hAnsi="Calibri" w:cs="Calibri"/>
          <w:sz w:val="20"/>
        </w:rPr>
        <w:t xml:space="preserve"> </w:t>
      </w:r>
      <w:r w:rsidR="00B64F97">
        <w:rPr>
          <w:rFonts w:ascii="Calibri" w:hAnsi="Calibri" w:cs="Calibri"/>
          <w:sz w:val="20"/>
        </w:rPr>
        <w:t xml:space="preserve"> </w:t>
      </w:r>
    </w:p>
    <w:p w:rsidR="00016203" w:rsidRPr="004A47C5" w:rsidRDefault="00016203" w:rsidP="007A3A8A">
      <w:pPr>
        <w:jc w:val="both"/>
        <w:rPr>
          <w:rFonts w:ascii="Calibri" w:hAnsi="Calibri" w:cs="Calibri"/>
          <w:sz w:val="20"/>
          <w:highlight w:val="yellow"/>
        </w:rPr>
      </w:pPr>
    </w:p>
    <w:p w:rsidR="0070241B" w:rsidRPr="00217D62" w:rsidRDefault="00F06135" w:rsidP="007A3A8A">
      <w:pPr>
        <w:jc w:val="both"/>
        <w:rPr>
          <w:rFonts w:ascii="Calibri" w:hAnsi="Calibri" w:cs="Calibri"/>
          <w:sz w:val="20"/>
          <w:u w:val="single"/>
        </w:rPr>
      </w:pPr>
      <w:r w:rsidRPr="00217D62">
        <w:rPr>
          <w:rFonts w:ascii="Calibri" w:hAnsi="Calibri" w:cs="Calibri"/>
          <w:sz w:val="20"/>
          <w:u w:val="single"/>
        </w:rPr>
        <w:t>Zvislé konštrukcie</w:t>
      </w:r>
    </w:p>
    <w:p w:rsidR="00016203" w:rsidRDefault="00320B4F" w:rsidP="007A3A8A">
      <w:pPr>
        <w:jc w:val="both"/>
        <w:rPr>
          <w:rFonts w:ascii="Calibri" w:hAnsi="Calibri" w:cs="Calibri"/>
          <w:sz w:val="20"/>
        </w:rPr>
      </w:pPr>
      <w:r>
        <w:rPr>
          <w:rFonts w:ascii="Calibri" w:hAnsi="Calibri" w:cs="Calibri"/>
          <w:sz w:val="20"/>
        </w:rPr>
        <w:t xml:space="preserve">Zvislé </w:t>
      </w:r>
      <w:r w:rsidR="00B6440A" w:rsidRPr="00320B4F">
        <w:rPr>
          <w:rFonts w:ascii="Calibri" w:hAnsi="Calibri" w:cs="Calibri"/>
          <w:sz w:val="20"/>
        </w:rPr>
        <w:t>konštrukcie pozostávajú z vymurovania obvodových</w:t>
      </w:r>
      <w:r w:rsidR="002E499F" w:rsidRPr="00320B4F">
        <w:rPr>
          <w:rFonts w:ascii="Calibri" w:hAnsi="Calibri" w:cs="Calibri"/>
          <w:sz w:val="20"/>
        </w:rPr>
        <w:t xml:space="preserve"> a</w:t>
      </w:r>
      <w:r w:rsidR="00B6440A" w:rsidRPr="00320B4F">
        <w:rPr>
          <w:rFonts w:ascii="Calibri" w:hAnsi="Calibri" w:cs="Calibri"/>
          <w:sz w:val="20"/>
        </w:rPr>
        <w:t xml:space="preserve"> vnútorných </w:t>
      </w:r>
      <w:r w:rsidR="002E499F" w:rsidRPr="00320B4F">
        <w:rPr>
          <w:rFonts w:ascii="Calibri" w:hAnsi="Calibri" w:cs="Calibri"/>
          <w:sz w:val="20"/>
        </w:rPr>
        <w:t xml:space="preserve">nosných </w:t>
      </w:r>
      <w:r w:rsidR="00B6440A" w:rsidRPr="00320B4F">
        <w:rPr>
          <w:rFonts w:ascii="Calibri" w:hAnsi="Calibri" w:cs="Calibri"/>
          <w:sz w:val="20"/>
        </w:rPr>
        <w:t xml:space="preserve">stien </w:t>
      </w:r>
      <w:r w:rsidR="002E499F" w:rsidRPr="00320B4F">
        <w:rPr>
          <w:rFonts w:ascii="Calibri" w:hAnsi="Calibri" w:cs="Calibri"/>
          <w:sz w:val="20"/>
        </w:rPr>
        <w:t xml:space="preserve">z </w:t>
      </w:r>
      <w:r>
        <w:rPr>
          <w:rFonts w:ascii="Calibri" w:hAnsi="Calibri" w:cs="Calibri"/>
          <w:sz w:val="20"/>
        </w:rPr>
        <w:t>tehlových</w:t>
      </w:r>
      <w:r w:rsidR="002E499F" w:rsidRPr="00320B4F">
        <w:rPr>
          <w:rFonts w:ascii="Calibri" w:hAnsi="Calibri" w:cs="Calibri"/>
          <w:sz w:val="20"/>
        </w:rPr>
        <w:t xml:space="preserve"> tvárnic Po</w:t>
      </w:r>
      <w:r>
        <w:rPr>
          <w:rFonts w:ascii="Calibri" w:hAnsi="Calibri" w:cs="Calibri"/>
          <w:sz w:val="20"/>
        </w:rPr>
        <w:t>rotherm</w:t>
      </w:r>
      <w:r w:rsidR="002E499F" w:rsidRPr="00320B4F">
        <w:rPr>
          <w:rFonts w:ascii="Calibri" w:hAnsi="Calibri" w:cs="Calibri"/>
          <w:sz w:val="20"/>
        </w:rPr>
        <w:t xml:space="preserve"> </w:t>
      </w:r>
      <w:r>
        <w:rPr>
          <w:rFonts w:ascii="Calibri" w:hAnsi="Calibri" w:cs="Calibri"/>
          <w:sz w:val="20"/>
        </w:rPr>
        <w:t>T PROFI</w:t>
      </w:r>
      <w:r w:rsidR="002E499F" w:rsidRPr="00320B4F">
        <w:rPr>
          <w:rFonts w:ascii="Calibri" w:hAnsi="Calibri" w:cs="Calibri"/>
          <w:sz w:val="20"/>
        </w:rPr>
        <w:t xml:space="preserve"> hrúbky 300mm </w:t>
      </w:r>
      <w:r>
        <w:rPr>
          <w:rFonts w:ascii="Calibri" w:hAnsi="Calibri" w:cs="Calibri"/>
          <w:sz w:val="20"/>
        </w:rPr>
        <w:t xml:space="preserve">a 250mm </w:t>
      </w:r>
      <w:r w:rsidR="00D0108B" w:rsidRPr="00320B4F">
        <w:rPr>
          <w:rFonts w:ascii="Calibri" w:hAnsi="Calibri" w:cs="Calibri"/>
          <w:sz w:val="20"/>
        </w:rPr>
        <w:t xml:space="preserve">ako aj </w:t>
      </w:r>
      <w:r w:rsidR="002E499F" w:rsidRPr="00320B4F">
        <w:rPr>
          <w:rFonts w:ascii="Calibri" w:hAnsi="Calibri" w:cs="Calibri"/>
          <w:sz w:val="20"/>
        </w:rPr>
        <w:t xml:space="preserve">z vymurovania </w:t>
      </w:r>
      <w:r w:rsidR="00D0108B" w:rsidRPr="00320B4F">
        <w:rPr>
          <w:rFonts w:ascii="Calibri" w:hAnsi="Calibri" w:cs="Calibri"/>
          <w:sz w:val="20"/>
        </w:rPr>
        <w:t>vnútorného nenosné</w:t>
      </w:r>
      <w:r w:rsidR="007767F5" w:rsidRPr="00320B4F">
        <w:rPr>
          <w:rFonts w:ascii="Calibri" w:hAnsi="Calibri" w:cs="Calibri"/>
          <w:sz w:val="20"/>
        </w:rPr>
        <w:t>h</w:t>
      </w:r>
      <w:r w:rsidR="00016203" w:rsidRPr="00320B4F">
        <w:rPr>
          <w:rFonts w:ascii="Calibri" w:hAnsi="Calibri" w:cs="Calibri"/>
          <w:sz w:val="20"/>
        </w:rPr>
        <w:t>o zvislého muriva</w:t>
      </w:r>
      <w:r w:rsidR="002E499F" w:rsidRPr="00320B4F">
        <w:rPr>
          <w:rFonts w:ascii="Calibri" w:hAnsi="Calibri" w:cs="Calibri"/>
          <w:sz w:val="20"/>
        </w:rPr>
        <w:t xml:space="preserve"> P</w:t>
      </w:r>
      <w:r>
        <w:rPr>
          <w:rFonts w:ascii="Calibri" w:hAnsi="Calibri" w:cs="Calibri"/>
          <w:sz w:val="20"/>
        </w:rPr>
        <w:t>orotherm</w:t>
      </w:r>
      <w:r w:rsidR="002E499F" w:rsidRPr="00320B4F">
        <w:rPr>
          <w:rFonts w:ascii="Calibri" w:hAnsi="Calibri" w:cs="Calibri"/>
          <w:sz w:val="20"/>
        </w:rPr>
        <w:t xml:space="preserve"> hrúbky 1</w:t>
      </w:r>
      <w:r>
        <w:rPr>
          <w:rFonts w:ascii="Calibri" w:hAnsi="Calibri" w:cs="Calibri"/>
          <w:sz w:val="20"/>
        </w:rPr>
        <w:t>15</w:t>
      </w:r>
      <w:r w:rsidR="002E499F" w:rsidRPr="00320B4F">
        <w:rPr>
          <w:rFonts w:ascii="Calibri" w:hAnsi="Calibri" w:cs="Calibri"/>
          <w:sz w:val="20"/>
        </w:rPr>
        <w:t>mm</w:t>
      </w:r>
      <w:r>
        <w:rPr>
          <w:rFonts w:ascii="Calibri" w:hAnsi="Calibri" w:cs="Calibri"/>
          <w:sz w:val="20"/>
        </w:rPr>
        <w:t xml:space="preserve"> a 140mm</w:t>
      </w:r>
      <w:r w:rsidR="002E499F" w:rsidRPr="00320B4F">
        <w:rPr>
          <w:rFonts w:ascii="Calibri" w:hAnsi="Calibri" w:cs="Calibri"/>
          <w:sz w:val="20"/>
        </w:rPr>
        <w:t xml:space="preserve">. V rámci </w:t>
      </w:r>
      <w:r>
        <w:rPr>
          <w:rFonts w:ascii="Calibri" w:hAnsi="Calibri" w:cs="Calibri"/>
          <w:sz w:val="20"/>
        </w:rPr>
        <w:t>objektu SO 03 zvislé konštrukcie pozostávajú z betónových debniacich tvárnic hrúbky 300mm a vnútorných betónových debniacich tvárnic hrúbky 150mm.</w:t>
      </w:r>
    </w:p>
    <w:p w:rsidR="00320B4F" w:rsidRDefault="00320B4F" w:rsidP="007A3A8A">
      <w:pPr>
        <w:jc w:val="both"/>
        <w:rPr>
          <w:rFonts w:ascii="Calibri" w:hAnsi="Calibri" w:cs="Calibri"/>
          <w:sz w:val="20"/>
        </w:rPr>
      </w:pPr>
      <w:r>
        <w:rPr>
          <w:rFonts w:ascii="Calibri" w:hAnsi="Calibri" w:cs="Calibri"/>
          <w:sz w:val="20"/>
        </w:rPr>
        <w:t>Zvislé nosné konštrukcie novej pivnice v objekte SO 02 sú navrhnuté z pohľadového monolitického železobetónu v hrúbke 300mm a 250mm a 170mm.</w:t>
      </w:r>
    </w:p>
    <w:p w:rsidR="0063464C" w:rsidRPr="004A47C5" w:rsidRDefault="0063464C" w:rsidP="007A3A8A">
      <w:pPr>
        <w:jc w:val="both"/>
        <w:rPr>
          <w:rFonts w:ascii="Calibri" w:hAnsi="Calibri" w:cs="Calibri"/>
          <w:sz w:val="20"/>
          <w:highlight w:val="yellow"/>
          <w:u w:val="single"/>
        </w:rPr>
      </w:pPr>
    </w:p>
    <w:p w:rsidR="00F06135" w:rsidRPr="00217D62" w:rsidRDefault="00F06135" w:rsidP="007A3A8A">
      <w:pPr>
        <w:jc w:val="both"/>
        <w:rPr>
          <w:rFonts w:ascii="Calibri" w:hAnsi="Calibri" w:cs="Calibri"/>
          <w:sz w:val="20"/>
          <w:u w:val="single"/>
        </w:rPr>
      </w:pPr>
      <w:r w:rsidRPr="00217D62">
        <w:rPr>
          <w:rFonts w:ascii="Calibri" w:hAnsi="Calibri" w:cs="Calibri"/>
          <w:sz w:val="20"/>
          <w:u w:val="single"/>
        </w:rPr>
        <w:t>Zateplenie</w:t>
      </w:r>
    </w:p>
    <w:p w:rsidR="005761FF" w:rsidRDefault="00D0108B" w:rsidP="007A3A8A">
      <w:pPr>
        <w:jc w:val="both"/>
        <w:rPr>
          <w:rFonts w:ascii="Calibri" w:hAnsi="Calibri" w:cs="Calibri"/>
          <w:sz w:val="20"/>
        </w:rPr>
      </w:pPr>
      <w:r w:rsidRPr="00342AFA">
        <w:rPr>
          <w:rFonts w:ascii="Calibri" w:hAnsi="Calibri" w:cs="Calibri"/>
          <w:sz w:val="20"/>
        </w:rPr>
        <w:t xml:space="preserve">Obvodové steny </w:t>
      </w:r>
      <w:r w:rsidR="00342AFA">
        <w:rPr>
          <w:rFonts w:ascii="Calibri" w:hAnsi="Calibri" w:cs="Calibri"/>
          <w:sz w:val="20"/>
        </w:rPr>
        <w:t>objektu SO 01 a SO 02</w:t>
      </w:r>
      <w:r w:rsidR="00814DEB" w:rsidRPr="00342AFA">
        <w:rPr>
          <w:rFonts w:ascii="Calibri" w:hAnsi="Calibri" w:cs="Calibri"/>
          <w:sz w:val="20"/>
        </w:rPr>
        <w:t xml:space="preserve"> </w:t>
      </w:r>
      <w:r w:rsidRPr="00342AFA">
        <w:rPr>
          <w:rFonts w:ascii="Calibri" w:hAnsi="Calibri" w:cs="Calibri"/>
          <w:sz w:val="20"/>
        </w:rPr>
        <w:t xml:space="preserve">navrhujeme zatepliť tepelnou izoláciou na báze </w:t>
      </w:r>
      <w:r w:rsidR="00342AFA">
        <w:rPr>
          <w:rFonts w:ascii="Calibri" w:hAnsi="Calibri" w:cs="Calibri"/>
          <w:sz w:val="20"/>
        </w:rPr>
        <w:t>minerálnej alt. kamennej vlny</w:t>
      </w:r>
      <w:r w:rsidR="00814DEB" w:rsidRPr="00342AFA">
        <w:rPr>
          <w:rFonts w:ascii="Calibri" w:hAnsi="Calibri" w:cs="Calibri"/>
          <w:sz w:val="20"/>
        </w:rPr>
        <w:t xml:space="preserve"> </w:t>
      </w:r>
      <w:r w:rsidRPr="00342AFA">
        <w:rPr>
          <w:rFonts w:ascii="Calibri" w:hAnsi="Calibri" w:cs="Calibri"/>
          <w:sz w:val="20"/>
        </w:rPr>
        <w:t xml:space="preserve">hrúbky </w:t>
      </w:r>
      <w:r w:rsidR="00342AFA">
        <w:rPr>
          <w:rFonts w:ascii="Calibri" w:hAnsi="Calibri" w:cs="Calibri"/>
          <w:sz w:val="20"/>
        </w:rPr>
        <w:t>150 a 100</w:t>
      </w:r>
      <w:r w:rsidRPr="00342AFA">
        <w:rPr>
          <w:rFonts w:ascii="Calibri" w:hAnsi="Calibri" w:cs="Calibri"/>
          <w:sz w:val="20"/>
        </w:rPr>
        <w:t>mm.</w:t>
      </w:r>
      <w:r w:rsidR="007767F5" w:rsidRPr="00342AFA">
        <w:rPr>
          <w:rFonts w:ascii="Calibri" w:hAnsi="Calibri" w:cs="Calibri"/>
          <w:sz w:val="20"/>
        </w:rPr>
        <w:t xml:space="preserve"> </w:t>
      </w:r>
      <w:r w:rsidR="00342AFA">
        <w:rPr>
          <w:rFonts w:ascii="Calibri" w:hAnsi="Calibri" w:cs="Calibri"/>
          <w:sz w:val="20"/>
        </w:rPr>
        <w:t>Podzemné časti a sokle</w:t>
      </w:r>
      <w:r w:rsidR="007767F5" w:rsidRPr="00342AFA">
        <w:rPr>
          <w:rFonts w:ascii="Calibri" w:hAnsi="Calibri" w:cs="Calibri"/>
          <w:sz w:val="20"/>
        </w:rPr>
        <w:t xml:space="preserve"> navrhujeme zatepliť tepelnou izoláciou na báze XPS hrúbky </w:t>
      </w:r>
      <w:r w:rsidR="00342AFA">
        <w:rPr>
          <w:rFonts w:ascii="Calibri" w:hAnsi="Calibri" w:cs="Calibri"/>
          <w:sz w:val="20"/>
        </w:rPr>
        <w:t>150 a 10</w:t>
      </w:r>
      <w:r w:rsidR="007767F5" w:rsidRPr="00342AFA">
        <w:rPr>
          <w:rFonts w:ascii="Calibri" w:hAnsi="Calibri" w:cs="Calibri"/>
          <w:sz w:val="20"/>
        </w:rPr>
        <w:t>0mm.</w:t>
      </w:r>
      <w:r w:rsidRPr="00342AFA">
        <w:rPr>
          <w:rFonts w:ascii="Calibri" w:hAnsi="Calibri" w:cs="Calibri"/>
          <w:sz w:val="20"/>
        </w:rPr>
        <w:t xml:space="preserve"> Strešný plášť </w:t>
      </w:r>
      <w:r w:rsidR="00814DEB" w:rsidRPr="00342AFA">
        <w:rPr>
          <w:rFonts w:ascii="Calibri" w:hAnsi="Calibri" w:cs="Calibri"/>
          <w:sz w:val="20"/>
        </w:rPr>
        <w:t xml:space="preserve">v rovine </w:t>
      </w:r>
      <w:r w:rsidR="00342AFA">
        <w:rPr>
          <w:rFonts w:ascii="Calibri" w:hAnsi="Calibri" w:cs="Calibri"/>
          <w:sz w:val="20"/>
        </w:rPr>
        <w:t>krokiev</w:t>
      </w:r>
      <w:r w:rsidR="00814DEB" w:rsidRPr="00342AFA">
        <w:rPr>
          <w:rFonts w:ascii="Calibri" w:hAnsi="Calibri" w:cs="Calibri"/>
          <w:sz w:val="20"/>
        </w:rPr>
        <w:t xml:space="preserve"> bude zateplený </w:t>
      </w:r>
      <w:r w:rsidR="00342AFA">
        <w:rPr>
          <w:rFonts w:ascii="Calibri" w:hAnsi="Calibri" w:cs="Calibri"/>
          <w:sz w:val="20"/>
        </w:rPr>
        <w:t xml:space="preserve">tepelnou izoláciou z minerálnej vlny hrúbky 200mm a nad rovinou krokvy z panelov z drevovlákna STEICO v hrúbke 100mm. </w:t>
      </w:r>
      <w:r w:rsidR="00A61132">
        <w:rPr>
          <w:rFonts w:ascii="Calibri" w:hAnsi="Calibri" w:cs="Calibri"/>
          <w:sz w:val="20"/>
        </w:rPr>
        <w:t xml:space="preserve">Drevovlákno nad rovinou krokiev je použité z hľadiska zníženia prehrievania konštrukcie strešného plášťa. </w:t>
      </w:r>
    </w:p>
    <w:p w:rsidR="00A61132" w:rsidRDefault="00A61132" w:rsidP="007A3A8A">
      <w:pPr>
        <w:jc w:val="both"/>
        <w:rPr>
          <w:rFonts w:ascii="Calibri" w:hAnsi="Calibri" w:cs="Calibri"/>
          <w:sz w:val="20"/>
        </w:rPr>
      </w:pPr>
      <w:r>
        <w:rPr>
          <w:rFonts w:ascii="Calibri" w:hAnsi="Calibri" w:cs="Calibri"/>
          <w:sz w:val="20"/>
        </w:rPr>
        <w:t>Zateplenie podláh v kontakte so zeminou je navrhnuté z izolácie na báze xps v hrúbke 100mm.</w:t>
      </w:r>
    </w:p>
    <w:p w:rsidR="00A61132" w:rsidRPr="00342AFA" w:rsidRDefault="00A61132" w:rsidP="007A3A8A">
      <w:pPr>
        <w:jc w:val="both"/>
        <w:rPr>
          <w:rFonts w:ascii="Calibri" w:hAnsi="Calibri" w:cs="Calibri"/>
          <w:sz w:val="20"/>
        </w:rPr>
      </w:pPr>
      <w:r>
        <w:rPr>
          <w:rFonts w:ascii="Calibri" w:hAnsi="Calibri" w:cs="Calibri"/>
          <w:sz w:val="20"/>
        </w:rPr>
        <w:t xml:space="preserve">Na objekty SO 03, SO 04 nenavrhujeme zateplenie z dôvody funkcie stavby.  </w:t>
      </w:r>
    </w:p>
    <w:p w:rsidR="006F38C0" w:rsidRPr="004A47C5" w:rsidRDefault="006F38C0" w:rsidP="007A3A8A">
      <w:pPr>
        <w:jc w:val="both"/>
        <w:rPr>
          <w:rFonts w:ascii="Calibri" w:hAnsi="Calibri" w:cs="Calibri"/>
          <w:color w:val="FF0000"/>
          <w:sz w:val="20"/>
          <w:highlight w:val="yellow"/>
        </w:rPr>
      </w:pPr>
    </w:p>
    <w:p w:rsidR="00F06135" w:rsidRPr="00217D62" w:rsidRDefault="00F06135" w:rsidP="007A3A8A">
      <w:pPr>
        <w:jc w:val="both"/>
        <w:rPr>
          <w:rFonts w:ascii="Calibri" w:hAnsi="Calibri" w:cs="Calibri"/>
          <w:sz w:val="20"/>
          <w:u w:val="single"/>
        </w:rPr>
      </w:pPr>
      <w:r w:rsidRPr="00217D62">
        <w:rPr>
          <w:rFonts w:ascii="Calibri" w:hAnsi="Calibri" w:cs="Calibri"/>
          <w:sz w:val="20"/>
          <w:u w:val="single"/>
        </w:rPr>
        <w:t>Zastrešenie</w:t>
      </w:r>
    </w:p>
    <w:p w:rsidR="00D0108B" w:rsidRPr="00B45F90" w:rsidRDefault="00814DEB" w:rsidP="007A3A8A">
      <w:pPr>
        <w:jc w:val="both"/>
        <w:rPr>
          <w:rFonts w:ascii="Calibri" w:hAnsi="Calibri" w:cs="Calibri"/>
          <w:sz w:val="20"/>
        </w:rPr>
      </w:pPr>
      <w:r w:rsidRPr="00B45F90">
        <w:rPr>
          <w:rFonts w:ascii="Calibri" w:hAnsi="Calibri" w:cs="Calibri"/>
          <w:sz w:val="20"/>
        </w:rPr>
        <w:t xml:space="preserve">Zastrešenie </w:t>
      </w:r>
      <w:r w:rsidR="00B45F90">
        <w:rPr>
          <w:rFonts w:ascii="Calibri" w:hAnsi="Calibri" w:cs="Calibri"/>
          <w:sz w:val="20"/>
        </w:rPr>
        <w:t>objektov SO 01, SO 02 a SO 03</w:t>
      </w:r>
      <w:r w:rsidRPr="00B45F90">
        <w:rPr>
          <w:rFonts w:ascii="Calibri" w:hAnsi="Calibri" w:cs="Calibri"/>
          <w:sz w:val="20"/>
        </w:rPr>
        <w:t xml:space="preserve"> navrhujeme z dreveného krovu s plným záklopom a</w:t>
      </w:r>
      <w:r w:rsidR="00B45F90">
        <w:rPr>
          <w:rFonts w:ascii="Calibri" w:hAnsi="Calibri" w:cs="Calibri"/>
          <w:sz w:val="20"/>
        </w:rPr>
        <w:t xml:space="preserve"> keramickou </w:t>
      </w:r>
      <w:r w:rsidRPr="00B45F90">
        <w:rPr>
          <w:rFonts w:ascii="Calibri" w:hAnsi="Calibri" w:cs="Calibri"/>
          <w:sz w:val="20"/>
        </w:rPr>
        <w:t xml:space="preserve">krytinou z </w:t>
      </w:r>
      <w:r w:rsidR="00DE7A21" w:rsidRPr="00B45F90">
        <w:rPr>
          <w:rFonts w:ascii="Calibri" w:hAnsi="Calibri" w:cs="Calibri"/>
          <w:sz w:val="20"/>
        </w:rPr>
        <w:t xml:space="preserve"> </w:t>
      </w:r>
      <w:r w:rsidR="00B45F90">
        <w:rPr>
          <w:rFonts w:ascii="Calibri" w:hAnsi="Calibri" w:cs="Calibri"/>
          <w:sz w:val="20"/>
        </w:rPr>
        <w:t>TONDACH</w:t>
      </w:r>
      <w:r w:rsidR="00DE7A21" w:rsidRPr="00B45F90">
        <w:rPr>
          <w:rFonts w:ascii="Calibri" w:hAnsi="Calibri" w:cs="Calibri"/>
          <w:sz w:val="20"/>
        </w:rPr>
        <w:t xml:space="preserve"> </w:t>
      </w:r>
      <w:r w:rsidR="00B45F90">
        <w:rPr>
          <w:rFonts w:ascii="Calibri" w:hAnsi="Calibri" w:cs="Calibri"/>
          <w:sz w:val="20"/>
        </w:rPr>
        <w:t>FIGARO jemne béžovej</w:t>
      </w:r>
      <w:r w:rsidR="00DE7A21" w:rsidRPr="00B45F90">
        <w:rPr>
          <w:rFonts w:ascii="Calibri" w:hAnsi="Calibri" w:cs="Calibri"/>
          <w:sz w:val="20"/>
        </w:rPr>
        <w:t xml:space="preserve"> farby</w:t>
      </w:r>
      <w:r w:rsidRPr="00B45F90">
        <w:rPr>
          <w:rFonts w:ascii="Calibri" w:hAnsi="Calibri" w:cs="Calibri"/>
          <w:sz w:val="20"/>
        </w:rPr>
        <w:t xml:space="preserve">. </w:t>
      </w:r>
      <w:r w:rsidR="006F38C0" w:rsidRPr="00B45F90">
        <w:rPr>
          <w:rFonts w:ascii="Calibri" w:hAnsi="Calibri" w:cs="Calibri"/>
          <w:sz w:val="20"/>
        </w:rPr>
        <w:t>Strešný žlab aj zvod je navrho</w:t>
      </w:r>
      <w:r w:rsidR="00B45F90">
        <w:rPr>
          <w:rFonts w:ascii="Calibri" w:hAnsi="Calibri" w:cs="Calibri"/>
          <w:sz w:val="20"/>
        </w:rPr>
        <w:t xml:space="preserve">vaný skytý za fasádnym systémom a bude to predmetom klampiarksch výrobkov. V rámci objektu SO 03 bude namiesto keramickej strešnej krytiny použité ako krytina drevené latovanie prechádzajúce do fasády. Hydroizolačnú vrstvu bude tvoriť hydroizolačná fólia pod rovinou drevených latiek.  Podzemná časť objetu SO 05 je zastrešená plochou pochôdznou strechou z extenzívnej zelene. </w:t>
      </w:r>
    </w:p>
    <w:p w:rsidR="006F38C0" w:rsidRPr="004A47C5" w:rsidRDefault="006F38C0" w:rsidP="007A3A8A">
      <w:pPr>
        <w:jc w:val="both"/>
        <w:rPr>
          <w:rFonts w:ascii="Calibri" w:hAnsi="Calibri" w:cs="Calibri"/>
          <w:color w:val="FF0000"/>
          <w:sz w:val="20"/>
          <w:highlight w:val="yellow"/>
        </w:rPr>
      </w:pPr>
    </w:p>
    <w:p w:rsidR="00F06135" w:rsidRPr="00217D62" w:rsidRDefault="00F06135" w:rsidP="007A3A8A">
      <w:pPr>
        <w:jc w:val="both"/>
        <w:rPr>
          <w:rFonts w:ascii="Calibri" w:hAnsi="Calibri" w:cs="Calibri"/>
          <w:sz w:val="20"/>
          <w:u w:val="single"/>
        </w:rPr>
      </w:pPr>
      <w:r w:rsidRPr="00217D62">
        <w:rPr>
          <w:rFonts w:ascii="Calibri" w:hAnsi="Calibri" w:cs="Calibri"/>
          <w:sz w:val="20"/>
          <w:u w:val="single"/>
        </w:rPr>
        <w:t>Vodorovné konštrukcie</w:t>
      </w:r>
    </w:p>
    <w:p w:rsidR="00F06135" w:rsidRDefault="00B74996" w:rsidP="007A3A8A">
      <w:pPr>
        <w:jc w:val="both"/>
        <w:rPr>
          <w:rFonts w:ascii="Calibri" w:hAnsi="Calibri" w:cs="Calibri"/>
          <w:sz w:val="20"/>
        </w:rPr>
      </w:pPr>
      <w:r>
        <w:rPr>
          <w:rFonts w:ascii="Calibri" w:hAnsi="Calibri" w:cs="Calibri"/>
          <w:sz w:val="20"/>
        </w:rPr>
        <w:lastRenderedPageBreak/>
        <w:t>Konštrukcia</w:t>
      </w:r>
      <w:r w:rsidR="00DE7A21" w:rsidRPr="00B74996">
        <w:rPr>
          <w:rFonts w:ascii="Calibri" w:hAnsi="Calibri" w:cs="Calibri"/>
          <w:sz w:val="20"/>
        </w:rPr>
        <w:t xml:space="preserve"> </w:t>
      </w:r>
      <w:r>
        <w:rPr>
          <w:rFonts w:ascii="Calibri" w:hAnsi="Calibri" w:cs="Calibri"/>
          <w:sz w:val="20"/>
        </w:rPr>
        <w:t xml:space="preserve">stropov SO 01 – SO 03  </w:t>
      </w:r>
      <w:r w:rsidR="00DE7A21" w:rsidRPr="00B74996">
        <w:rPr>
          <w:rFonts w:ascii="Calibri" w:hAnsi="Calibri" w:cs="Calibri"/>
          <w:sz w:val="20"/>
        </w:rPr>
        <w:t>je navrhovan</w:t>
      </w:r>
      <w:r>
        <w:rPr>
          <w:rFonts w:ascii="Calibri" w:hAnsi="Calibri" w:cs="Calibri"/>
          <w:sz w:val="20"/>
        </w:rPr>
        <w:t>utá z monolitického železobetónu o hrúbke 200 - 220mm.</w:t>
      </w:r>
    </w:p>
    <w:p w:rsidR="00B74996" w:rsidRDefault="00B74996" w:rsidP="007A3A8A">
      <w:pPr>
        <w:jc w:val="both"/>
        <w:rPr>
          <w:rFonts w:ascii="Calibri" w:hAnsi="Calibri" w:cs="Calibri"/>
          <w:sz w:val="20"/>
        </w:rPr>
      </w:pPr>
      <w:r>
        <w:rPr>
          <w:rFonts w:ascii="Calibri" w:hAnsi="Calibri" w:cs="Calibri"/>
          <w:sz w:val="20"/>
        </w:rPr>
        <w:t xml:space="preserve">Strop </w:t>
      </w:r>
      <w:r w:rsidR="00524F20">
        <w:rPr>
          <w:rFonts w:ascii="Calibri" w:hAnsi="Calibri" w:cs="Calibri"/>
          <w:sz w:val="20"/>
        </w:rPr>
        <w:t>novej pivnice SO 02 je navrhnutý ako železobetónový, trámový, monolitický strop o hrúbke dosky 150mm s profilom trámov 400 x 550mm</w:t>
      </w:r>
    </w:p>
    <w:p w:rsidR="00B74996" w:rsidRPr="00B74996" w:rsidRDefault="00B74996" w:rsidP="007A3A8A">
      <w:pPr>
        <w:jc w:val="both"/>
        <w:rPr>
          <w:rFonts w:ascii="Calibri" w:hAnsi="Calibri" w:cs="Calibri"/>
          <w:sz w:val="20"/>
        </w:rPr>
      </w:pPr>
      <w:r>
        <w:rPr>
          <w:rFonts w:ascii="Calibri" w:hAnsi="Calibri" w:cs="Calibri"/>
          <w:sz w:val="20"/>
        </w:rPr>
        <w:t xml:space="preserve">Presná špecifikácia, viď. Statika. </w:t>
      </w:r>
    </w:p>
    <w:p w:rsidR="00D0108B" w:rsidRPr="004A47C5" w:rsidRDefault="00D0108B" w:rsidP="007A3A8A">
      <w:pPr>
        <w:jc w:val="both"/>
        <w:rPr>
          <w:rFonts w:ascii="Calibri" w:hAnsi="Calibri" w:cs="Calibri"/>
          <w:sz w:val="20"/>
          <w:highlight w:val="yellow"/>
          <w:u w:val="single"/>
        </w:rPr>
      </w:pPr>
    </w:p>
    <w:p w:rsidR="00524F20" w:rsidRDefault="00524F20" w:rsidP="007A3A8A">
      <w:pPr>
        <w:jc w:val="both"/>
        <w:rPr>
          <w:rFonts w:ascii="Calibri" w:hAnsi="Calibri" w:cs="Calibri"/>
          <w:sz w:val="20"/>
          <w:u w:val="single"/>
        </w:rPr>
      </w:pPr>
    </w:p>
    <w:p w:rsidR="00F06135" w:rsidRPr="00217D62" w:rsidRDefault="00F06135" w:rsidP="007A3A8A">
      <w:pPr>
        <w:jc w:val="both"/>
        <w:rPr>
          <w:rFonts w:ascii="Calibri" w:hAnsi="Calibri" w:cs="Calibri"/>
          <w:sz w:val="20"/>
          <w:u w:val="single"/>
        </w:rPr>
      </w:pPr>
      <w:r w:rsidRPr="00217D62">
        <w:rPr>
          <w:rFonts w:ascii="Calibri" w:hAnsi="Calibri" w:cs="Calibri"/>
          <w:sz w:val="20"/>
          <w:u w:val="single"/>
        </w:rPr>
        <w:t>Podlahy</w:t>
      </w:r>
    </w:p>
    <w:p w:rsidR="00524F20" w:rsidRDefault="002B0465" w:rsidP="00524F20">
      <w:pPr>
        <w:jc w:val="both"/>
        <w:rPr>
          <w:rFonts w:ascii="Calibri" w:hAnsi="Calibri" w:cs="Calibri"/>
          <w:sz w:val="20"/>
        </w:rPr>
      </w:pPr>
      <w:r w:rsidRPr="00524F20">
        <w:rPr>
          <w:rFonts w:ascii="Calibri" w:hAnsi="Calibri" w:cs="Calibri"/>
          <w:sz w:val="20"/>
        </w:rPr>
        <w:t xml:space="preserve">Navrhované podlahy budú s nášlapnou vrstvou </w:t>
      </w:r>
      <w:r w:rsidR="00524F20">
        <w:rPr>
          <w:rFonts w:ascii="Calibri" w:hAnsi="Calibri" w:cs="Calibri"/>
          <w:sz w:val="20"/>
        </w:rPr>
        <w:t>vo viacerých materiáoch a to konkrétne:</w:t>
      </w:r>
    </w:p>
    <w:p w:rsidR="00524F20" w:rsidRDefault="00524F20" w:rsidP="00524F20">
      <w:pPr>
        <w:jc w:val="both"/>
        <w:rPr>
          <w:rFonts w:ascii="Calibri" w:hAnsi="Calibri" w:cs="Calibri"/>
          <w:sz w:val="20"/>
        </w:rPr>
      </w:pPr>
      <w:r>
        <w:rPr>
          <w:rFonts w:ascii="Calibri" w:hAnsi="Calibri" w:cs="Calibri"/>
          <w:sz w:val="20"/>
        </w:rPr>
        <w:t>SO 01 - kombinácia terrazza, keramickej dlažby a drevených parkiet</w:t>
      </w:r>
    </w:p>
    <w:p w:rsidR="00524F20" w:rsidRDefault="00524F20" w:rsidP="00524F20">
      <w:pPr>
        <w:jc w:val="both"/>
        <w:rPr>
          <w:rFonts w:ascii="Calibri" w:hAnsi="Calibri" w:cs="Calibri"/>
          <w:sz w:val="20"/>
        </w:rPr>
      </w:pPr>
      <w:r>
        <w:rPr>
          <w:rFonts w:ascii="Calibri" w:hAnsi="Calibri" w:cs="Calibri"/>
          <w:sz w:val="20"/>
        </w:rPr>
        <w:t>SO 02 - kombinácia pancierového betónu, keramickej dlažby a špeciálnej polyuretánovej podlahy UCRETE použitej v miestnostiach výroby.</w:t>
      </w:r>
    </w:p>
    <w:p w:rsidR="00524F20" w:rsidRDefault="00524F20" w:rsidP="00524F20">
      <w:pPr>
        <w:jc w:val="both"/>
        <w:rPr>
          <w:rFonts w:ascii="Calibri" w:hAnsi="Calibri" w:cs="Calibri"/>
          <w:sz w:val="20"/>
        </w:rPr>
      </w:pPr>
      <w:r>
        <w:rPr>
          <w:rFonts w:ascii="Calibri" w:hAnsi="Calibri" w:cs="Calibri"/>
          <w:sz w:val="20"/>
        </w:rPr>
        <w:t>SO 03 - pancierový betón</w:t>
      </w:r>
    </w:p>
    <w:p w:rsidR="00524F20" w:rsidRDefault="00524F20" w:rsidP="00524F20">
      <w:pPr>
        <w:jc w:val="both"/>
        <w:rPr>
          <w:rFonts w:ascii="Calibri" w:hAnsi="Calibri" w:cs="Calibri"/>
          <w:sz w:val="20"/>
        </w:rPr>
      </w:pPr>
      <w:r>
        <w:rPr>
          <w:rFonts w:ascii="Calibri" w:hAnsi="Calibri" w:cs="Calibri"/>
          <w:sz w:val="20"/>
        </w:rPr>
        <w:t>SO 04 - polyuretánová podlaha UCRETE</w:t>
      </w:r>
    </w:p>
    <w:p w:rsidR="002B0465" w:rsidRPr="004A47C5" w:rsidRDefault="002B0465" w:rsidP="007A3A8A">
      <w:pPr>
        <w:jc w:val="both"/>
        <w:rPr>
          <w:rFonts w:ascii="Calibri" w:hAnsi="Calibri" w:cs="Calibri"/>
          <w:color w:val="FF0000"/>
          <w:sz w:val="20"/>
          <w:highlight w:val="yellow"/>
        </w:rPr>
      </w:pPr>
    </w:p>
    <w:p w:rsidR="00F06135" w:rsidRPr="00217D62" w:rsidRDefault="00F06135" w:rsidP="007A3A8A">
      <w:pPr>
        <w:jc w:val="both"/>
        <w:rPr>
          <w:rFonts w:ascii="Calibri" w:hAnsi="Calibri" w:cs="Calibri"/>
          <w:sz w:val="20"/>
          <w:u w:val="single"/>
        </w:rPr>
      </w:pPr>
      <w:r w:rsidRPr="00217D62">
        <w:rPr>
          <w:rFonts w:ascii="Calibri" w:hAnsi="Calibri" w:cs="Calibri"/>
          <w:sz w:val="20"/>
          <w:u w:val="single"/>
        </w:rPr>
        <w:t>Výplne otvorov</w:t>
      </w:r>
    </w:p>
    <w:p w:rsidR="00EF7992" w:rsidRDefault="002B0465" w:rsidP="007A3A8A">
      <w:pPr>
        <w:jc w:val="both"/>
        <w:rPr>
          <w:rFonts w:ascii="Calibri" w:hAnsi="Calibri" w:cs="Calibri"/>
          <w:sz w:val="20"/>
        </w:rPr>
      </w:pPr>
      <w:r w:rsidRPr="00BB57C3">
        <w:rPr>
          <w:rFonts w:ascii="Calibri" w:hAnsi="Calibri" w:cs="Calibri"/>
          <w:sz w:val="20"/>
        </w:rPr>
        <w:t>Výplne otvorov na fasádach sú navrhované z</w:t>
      </w:r>
      <w:r w:rsidR="00BB57C3">
        <w:rPr>
          <w:rFonts w:ascii="Calibri" w:hAnsi="Calibri" w:cs="Calibri"/>
          <w:sz w:val="20"/>
        </w:rPr>
        <w:t> bezrámových okien s dreveným dubovým krídlom v transparentnom matnom laku</w:t>
      </w:r>
      <w:r w:rsidR="006F38C0" w:rsidRPr="00BB57C3">
        <w:rPr>
          <w:rFonts w:ascii="Calibri" w:hAnsi="Calibri" w:cs="Calibri"/>
          <w:sz w:val="20"/>
        </w:rPr>
        <w:t>, ktoré sú zasklené izolačným troj</w:t>
      </w:r>
      <w:r w:rsidRPr="00BB57C3">
        <w:rPr>
          <w:rFonts w:ascii="Calibri" w:hAnsi="Calibri" w:cs="Calibri"/>
          <w:sz w:val="20"/>
        </w:rPr>
        <w:t xml:space="preserve">sklom. </w:t>
      </w:r>
      <w:r w:rsidR="006A3505">
        <w:rPr>
          <w:rFonts w:ascii="Calibri" w:hAnsi="Calibri" w:cs="Calibri"/>
          <w:sz w:val="20"/>
        </w:rPr>
        <w:t xml:space="preserve"> Súčasťou okenných otvorov sú exteriérové okenice, v drevenom aj plechovom prevedení. </w:t>
      </w:r>
    </w:p>
    <w:p w:rsidR="006A3505" w:rsidRPr="00BB57C3" w:rsidRDefault="006A3505" w:rsidP="007A3A8A">
      <w:pPr>
        <w:jc w:val="both"/>
        <w:rPr>
          <w:rFonts w:ascii="Calibri" w:hAnsi="Calibri" w:cs="Calibri"/>
          <w:sz w:val="20"/>
        </w:rPr>
      </w:pPr>
      <w:r>
        <w:rPr>
          <w:rFonts w:ascii="Calibri" w:hAnsi="Calibri" w:cs="Calibri"/>
          <w:sz w:val="20"/>
        </w:rPr>
        <w:t>Brány sú navrhované z drevených dubových profilov.</w:t>
      </w:r>
    </w:p>
    <w:p w:rsidR="002B0465" w:rsidRDefault="006A3505" w:rsidP="007A3A8A">
      <w:pPr>
        <w:jc w:val="both"/>
        <w:rPr>
          <w:rFonts w:ascii="Calibri" w:hAnsi="Calibri" w:cs="Calibri"/>
          <w:sz w:val="20"/>
        </w:rPr>
      </w:pPr>
      <w:r>
        <w:rPr>
          <w:rFonts w:ascii="Calibri" w:hAnsi="Calibri" w:cs="Calibri"/>
          <w:sz w:val="20"/>
        </w:rPr>
        <w:t xml:space="preserve">Interiérové dvere v rámci objektu SO 01 budú drevené, bezfalcové v zapustených alt. skrytých zárubniach. </w:t>
      </w:r>
    </w:p>
    <w:p w:rsidR="006A3505" w:rsidRDefault="006A3505" w:rsidP="007A3A8A">
      <w:pPr>
        <w:jc w:val="both"/>
        <w:rPr>
          <w:rFonts w:ascii="Calibri" w:hAnsi="Calibri" w:cs="Calibri"/>
          <w:sz w:val="20"/>
        </w:rPr>
      </w:pPr>
      <w:r>
        <w:rPr>
          <w:rFonts w:ascii="Calibri" w:hAnsi="Calibri" w:cs="Calibri"/>
          <w:sz w:val="20"/>
        </w:rPr>
        <w:t xml:space="preserve">Pri ostatných objektoch SO 02, SO 03,  budú použité klasické interiérové dvere v oceľovej zárubni s výnimkou protipožiarnych dverí. </w:t>
      </w:r>
    </w:p>
    <w:p w:rsidR="006A3505" w:rsidRPr="00BB57C3" w:rsidRDefault="006A3505" w:rsidP="007A3A8A">
      <w:pPr>
        <w:jc w:val="both"/>
        <w:rPr>
          <w:rFonts w:ascii="Calibri" w:hAnsi="Calibri" w:cs="Calibri"/>
          <w:sz w:val="20"/>
        </w:rPr>
      </w:pPr>
      <w:r>
        <w:rPr>
          <w:rFonts w:ascii="Calibri" w:hAnsi="Calibri" w:cs="Calibri"/>
          <w:sz w:val="20"/>
        </w:rPr>
        <w:t xml:space="preserve">Presnejšia špecifikácia viď výkres dverných otvorov, okeníc. </w:t>
      </w:r>
    </w:p>
    <w:p w:rsidR="00EF7992" w:rsidRPr="004A47C5" w:rsidRDefault="00EF7992" w:rsidP="007A3A8A">
      <w:pPr>
        <w:jc w:val="both"/>
        <w:rPr>
          <w:rFonts w:ascii="Calibri" w:hAnsi="Calibri" w:cs="Calibri"/>
          <w:b/>
          <w:color w:val="FF0000"/>
          <w:sz w:val="20"/>
          <w:highlight w:val="yellow"/>
        </w:rPr>
      </w:pPr>
    </w:p>
    <w:p w:rsidR="00F06135" w:rsidRPr="00217D62" w:rsidRDefault="00F06135" w:rsidP="007A3A8A">
      <w:pPr>
        <w:jc w:val="both"/>
        <w:rPr>
          <w:rFonts w:ascii="Calibri" w:hAnsi="Calibri" w:cs="Calibri"/>
          <w:sz w:val="20"/>
          <w:u w:val="single"/>
        </w:rPr>
      </w:pPr>
      <w:r w:rsidRPr="00217D62">
        <w:rPr>
          <w:rFonts w:ascii="Calibri" w:hAnsi="Calibri" w:cs="Calibri"/>
          <w:sz w:val="20"/>
          <w:u w:val="single"/>
        </w:rPr>
        <w:t>Povrchové úpravy</w:t>
      </w:r>
    </w:p>
    <w:p w:rsidR="00F06135" w:rsidRPr="007A3A8A" w:rsidRDefault="006C02B0" w:rsidP="007A3A8A">
      <w:pPr>
        <w:jc w:val="both"/>
        <w:rPr>
          <w:rFonts w:ascii="Calibri" w:hAnsi="Calibri" w:cs="Calibri"/>
          <w:sz w:val="20"/>
        </w:rPr>
      </w:pPr>
      <w:r w:rsidRPr="007A3A8A">
        <w:rPr>
          <w:rFonts w:ascii="Calibri" w:hAnsi="Calibri" w:cs="Calibri"/>
          <w:sz w:val="20"/>
        </w:rPr>
        <w:t xml:space="preserve">Fasádna omietka </w:t>
      </w:r>
      <w:r w:rsidR="007A3A8A">
        <w:rPr>
          <w:rFonts w:ascii="Calibri" w:hAnsi="Calibri" w:cs="Calibri"/>
          <w:sz w:val="20"/>
        </w:rPr>
        <w:t xml:space="preserve">objektov SO 01, SO 02 a SO 03 </w:t>
      </w:r>
      <w:r w:rsidR="00EF7992" w:rsidRPr="007A3A8A">
        <w:rPr>
          <w:rFonts w:ascii="Calibri" w:hAnsi="Calibri" w:cs="Calibri"/>
          <w:sz w:val="20"/>
        </w:rPr>
        <w:t xml:space="preserve"> </w:t>
      </w:r>
      <w:r w:rsidR="007A3A8A">
        <w:rPr>
          <w:rFonts w:ascii="Calibri" w:hAnsi="Calibri" w:cs="Calibri"/>
          <w:sz w:val="20"/>
        </w:rPr>
        <w:t>je navrhovaná v škra</w:t>
      </w:r>
      <w:r w:rsidRPr="007A3A8A">
        <w:rPr>
          <w:rFonts w:ascii="Calibri" w:hAnsi="Calibri" w:cs="Calibri"/>
          <w:sz w:val="20"/>
        </w:rPr>
        <w:t xml:space="preserve">banej štruktúre </w:t>
      </w:r>
      <w:r w:rsidR="00EF7992" w:rsidRPr="007A3A8A">
        <w:rPr>
          <w:rFonts w:ascii="Calibri" w:hAnsi="Calibri" w:cs="Calibri"/>
          <w:sz w:val="20"/>
        </w:rPr>
        <w:t xml:space="preserve">o hrúbke zrna </w:t>
      </w:r>
      <w:r w:rsidR="007A3A8A">
        <w:rPr>
          <w:rFonts w:ascii="Calibri" w:hAnsi="Calibri" w:cs="Calibri"/>
          <w:sz w:val="20"/>
        </w:rPr>
        <w:t xml:space="preserve">ca. </w:t>
      </w:r>
      <w:r w:rsidR="00F02B56" w:rsidRPr="007A3A8A">
        <w:rPr>
          <w:rFonts w:ascii="Calibri" w:hAnsi="Calibri" w:cs="Calibri"/>
          <w:sz w:val="20"/>
        </w:rPr>
        <w:t>1</w:t>
      </w:r>
      <w:r w:rsidR="00EF7992" w:rsidRPr="007A3A8A">
        <w:rPr>
          <w:rFonts w:ascii="Calibri" w:hAnsi="Calibri" w:cs="Calibri"/>
          <w:sz w:val="20"/>
        </w:rPr>
        <w:t>,5mm</w:t>
      </w:r>
      <w:r w:rsidR="007A3A8A">
        <w:rPr>
          <w:rFonts w:ascii="Calibri" w:hAnsi="Calibri" w:cs="Calibri"/>
          <w:sz w:val="20"/>
        </w:rPr>
        <w:t xml:space="preserve"> v jemne béžovom odtieni</w:t>
      </w:r>
      <w:r w:rsidR="00DE7A21" w:rsidRPr="007A3A8A">
        <w:rPr>
          <w:rFonts w:ascii="Calibri" w:hAnsi="Calibri" w:cs="Calibri"/>
          <w:sz w:val="20"/>
        </w:rPr>
        <w:t xml:space="preserve"> </w:t>
      </w:r>
      <w:r w:rsidR="00EF7992" w:rsidRPr="007A3A8A">
        <w:rPr>
          <w:rFonts w:ascii="Calibri" w:hAnsi="Calibri" w:cs="Calibri"/>
          <w:sz w:val="20"/>
        </w:rPr>
        <w:t>. Farebné odtien</w:t>
      </w:r>
      <w:r w:rsidR="00F02B56" w:rsidRPr="007A3A8A">
        <w:rPr>
          <w:rFonts w:ascii="Calibri" w:hAnsi="Calibri" w:cs="Calibri"/>
          <w:sz w:val="20"/>
        </w:rPr>
        <w:t>e klampiarskych výrobkov sa bud</w:t>
      </w:r>
      <w:r w:rsidR="00EF7992" w:rsidRPr="007A3A8A">
        <w:rPr>
          <w:rFonts w:ascii="Calibri" w:hAnsi="Calibri" w:cs="Calibri"/>
          <w:sz w:val="20"/>
        </w:rPr>
        <w:t>ú zh</w:t>
      </w:r>
      <w:r w:rsidR="00DE7A21" w:rsidRPr="007A3A8A">
        <w:rPr>
          <w:rFonts w:ascii="Calibri" w:hAnsi="Calibri" w:cs="Calibri"/>
          <w:sz w:val="20"/>
        </w:rPr>
        <w:t>odovať s farebným riešením strešnej krytiny.</w:t>
      </w:r>
    </w:p>
    <w:p w:rsidR="002219D6" w:rsidRDefault="00F02B56" w:rsidP="007A3A8A">
      <w:pPr>
        <w:jc w:val="both"/>
        <w:rPr>
          <w:rFonts w:ascii="Calibri" w:hAnsi="Calibri" w:cs="Calibri"/>
          <w:sz w:val="20"/>
        </w:rPr>
      </w:pPr>
      <w:r w:rsidRPr="007A3A8A">
        <w:rPr>
          <w:rFonts w:ascii="Calibri" w:hAnsi="Calibri" w:cs="Calibri"/>
          <w:sz w:val="20"/>
        </w:rPr>
        <w:t xml:space="preserve">Klampiarske výrobky </w:t>
      </w:r>
      <w:r w:rsidR="007A3A8A">
        <w:rPr>
          <w:rFonts w:ascii="Calibri" w:hAnsi="Calibri" w:cs="Calibri"/>
          <w:sz w:val="20"/>
        </w:rPr>
        <w:t>budú použité v rámci zaatikových žľabov a riešení oplechovania parapetov pri ni</w:t>
      </w:r>
      <w:r w:rsidR="00055759">
        <w:rPr>
          <w:rFonts w:ascii="Calibri" w:hAnsi="Calibri" w:cs="Calibri"/>
          <w:sz w:val="20"/>
        </w:rPr>
        <w:t>ek</w:t>
      </w:r>
      <w:r w:rsidR="007A3A8A">
        <w:rPr>
          <w:rFonts w:ascii="Calibri" w:hAnsi="Calibri" w:cs="Calibri"/>
          <w:sz w:val="20"/>
        </w:rPr>
        <w:t xml:space="preserve">torých oknách. </w:t>
      </w:r>
    </w:p>
    <w:p w:rsidR="002C50FA" w:rsidRDefault="002C50FA" w:rsidP="007A3A8A">
      <w:pPr>
        <w:jc w:val="both"/>
        <w:rPr>
          <w:rFonts w:ascii="Calibri" w:hAnsi="Calibri" w:cs="Calibri"/>
          <w:sz w:val="20"/>
        </w:rPr>
      </w:pPr>
    </w:p>
    <w:p w:rsidR="00055759" w:rsidRDefault="00055759" w:rsidP="007A3A8A">
      <w:pPr>
        <w:jc w:val="both"/>
        <w:rPr>
          <w:rFonts w:ascii="Calibri" w:hAnsi="Calibri" w:cs="Calibri"/>
          <w:sz w:val="20"/>
        </w:rPr>
      </w:pPr>
    </w:p>
    <w:p w:rsidR="007A3A8A" w:rsidRPr="001B15A1" w:rsidRDefault="007A3A8A" w:rsidP="007A3A8A">
      <w:pPr>
        <w:jc w:val="both"/>
        <w:rPr>
          <w:rFonts w:ascii="Calibri" w:hAnsi="Calibri" w:cs="Calibri"/>
          <w:b/>
          <w:sz w:val="20"/>
        </w:rPr>
      </w:pPr>
      <w:r w:rsidRPr="001B15A1">
        <w:rPr>
          <w:rFonts w:ascii="Calibri" w:hAnsi="Calibri" w:cs="Calibri"/>
          <w:b/>
          <w:sz w:val="20"/>
        </w:rPr>
        <w:t>Kompletné</w:t>
      </w:r>
      <w:r w:rsidR="001B15A1" w:rsidRPr="001B15A1">
        <w:rPr>
          <w:rFonts w:ascii="Calibri" w:hAnsi="Calibri" w:cs="Calibri"/>
          <w:b/>
          <w:sz w:val="20"/>
        </w:rPr>
        <w:t xml:space="preserve"> technické, </w:t>
      </w:r>
      <w:r w:rsidRPr="001B15A1">
        <w:rPr>
          <w:rFonts w:ascii="Calibri" w:hAnsi="Calibri" w:cs="Calibri"/>
          <w:b/>
          <w:sz w:val="20"/>
        </w:rPr>
        <w:t xml:space="preserve"> materiálové, farebné a povrchové riešenie bude </w:t>
      </w:r>
      <w:r w:rsidR="001B15A1" w:rsidRPr="001B15A1">
        <w:rPr>
          <w:rFonts w:ascii="Calibri" w:hAnsi="Calibri" w:cs="Calibri"/>
          <w:b/>
          <w:sz w:val="20"/>
        </w:rPr>
        <w:t>upresnené</w:t>
      </w:r>
      <w:r w:rsidRPr="001B15A1">
        <w:rPr>
          <w:rFonts w:ascii="Calibri" w:hAnsi="Calibri" w:cs="Calibri"/>
          <w:b/>
          <w:sz w:val="20"/>
        </w:rPr>
        <w:t xml:space="preserve"> </w:t>
      </w:r>
      <w:r w:rsidR="001B15A1" w:rsidRPr="001B15A1">
        <w:rPr>
          <w:rFonts w:ascii="Calibri" w:hAnsi="Calibri" w:cs="Calibri"/>
          <w:b/>
          <w:sz w:val="20"/>
        </w:rPr>
        <w:t xml:space="preserve">a spracované </w:t>
      </w:r>
      <w:r w:rsidRPr="001B15A1">
        <w:rPr>
          <w:rFonts w:ascii="Calibri" w:hAnsi="Calibri" w:cs="Calibri"/>
          <w:b/>
          <w:sz w:val="20"/>
        </w:rPr>
        <w:t xml:space="preserve">v ďalšom stupni projektovej dokumentácie a to v realizačnom projekte. </w:t>
      </w:r>
      <w:r w:rsidR="001B15A1" w:rsidRPr="001B15A1">
        <w:rPr>
          <w:rFonts w:ascii="Calibri" w:hAnsi="Calibri" w:cs="Calibri"/>
          <w:b/>
          <w:sz w:val="20"/>
        </w:rPr>
        <w:t>(RP)</w:t>
      </w:r>
    </w:p>
    <w:p w:rsidR="00F06135" w:rsidRDefault="00F06135" w:rsidP="0009245A">
      <w:pPr>
        <w:autoSpaceDE w:val="0"/>
        <w:autoSpaceDN w:val="0"/>
        <w:adjustRightInd w:val="0"/>
        <w:rPr>
          <w:rFonts w:ascii="Calibri" w:hAnsi="Calibri" w:cs="Calibri"/>
          <w:b/>
          <w:iCs/>
          <w:color w:val="FF0000"/>
          <w:sz w:val="20"/>
          <w:highlight w:val="yellow"/>
        </w:rPr>
      </w:pPr>
    </w:p>
    <w:p w:rsidR="008255CA" w:rsidRDefault="008255CA" w:rsidP="0009245A">
      <w:pPr>
        <w:autoSpaceDE w:val="0"/>
        <w:autoSpaceDN w:val="0"/>
        <w:adjustRightInd w:val="0"/>
        <w:rPr>
          <w:rFonts w:ascii="Calibri" w:hAnsi="Calibri" w:cs="Calibri"/>
          <w:b/>
          <w:iCs/>
          <w:color w:val="FF0000"/>
          <w:sz w:val="20"/>
          <w:highlight w:val="yellow"/>
        </w:rPr>
      </w:pPr>
    </w:p>
    <w:p w:rsidR="00F06135" w:rsidRPr="00217D62" w:rsidRDefault="00F06135" w:rsidP="0009245A">
      <w:pPr>
        <w:rPr>
          <w:rFonts w:ascii="Calibri" w:hAnsi="Calibri" w:cs="Calibri"/>
          <w:b/>
          <w:sz w:val="20"/>
        </w:rPr>
      </w:pPr>
      <w:r w:rsidRPr="00217D62">
        <w:rPr>
          <w:rFonts w:ascii="Calibri" w:hAnsi="Calibri" w:cs="Calibri"/>
          <w:b/>
          <w:sz w:val="20"/>
        </w:rPr>
        <w:t>Libreto výtvarného dotvorenia</w:t>
      </w:r>
    </w:p>
    <w:p w:rsidR="005F296F" w:rsidRDefault="005F296F" w:rsidP="00763F78">
      <w:pPr>
        <w:rPr>
          <w:rFonts w:ascii="Calibri" w:hAnsi="Calibri" w:cs="Calibri"/>
          <w:sz w:val="20"/>
        </w:rPr>
      </w:pPr>
    </w:p>
    <w:p w:rsidR="00763F78" w:rsidRPr="00763F78" w:rsidRDefault="00763F78" w:rsidP="007A3A8A">
      <w:pPr>
        <w:jc w:val="both"/>
        <w:rPr>
          <w:rFonts w:ascii="Calibri" w:hAnsi="Calibri" w:cs="Calibri"/>
          <w:sz w:val="20"/>
        </w:rPr>
      </w:pPr>
      <w:r w:rsidRPr="00763F78">
        <w:rPr>
          <w:rFonts w:ascii="Calibri" w:hAnsi="Calibri" w:cs="Calibri"/>
          <w:sz w:val="20"/>
        </w:rPr>
        <w:t xml:space="preserve">Zámerom stavebníka je vybudovať súbor objektov vinárstva, ktoré v sebe združujú komplexnú prevádzku výroby (zber, lisovanie, fľaškovanie) až po samotnú degustáciu a prezentáciu vinárskych výrobkov (vrátane možnosti krátkodobého ubytovania, expozičných priestorov a vyhliadky). </w:t>
      </w:r>
    </w:p>
    <w:p w:rsidR="00763F78" w:rsidRPr="00763F78" w:rsidRDefault="00763F78" w:rsidP="007A3A8A">
      <w:pPr>
        <w:jc w:val="both"/>
        <w:rPr>
          <w:rFonts w:ascii="Calibri" w:hAnsi="Calibri" w:cs="Calibri"/>
          <w:sz w:val="20"/>
        </w:rPr>
      </w:pPr>
      <w:r w:rsidRPr="00763F78">
        <w:rPr>
          <w:rFonts w:ascii="Calibri" w:hAnsi="Calibri" w:cs="Calibri"/>
          <w:sz w:val="20"/>
        </w:rPr>
        <w:t>Keďže je navrhovaný objekt situovaný v extraviláne obce, uprostred drobnej zástavby tradičných prízemných murovaných domov, jeho hmota citlivo reaguje na svoje okolie a prevádzka celého komplexu je rozčlenená do niekoľkých samostatných funkčných celkov, ktoré sú v súlade s mierkou okolitých stavieb. Zároveň rozčlenenie celého vinárstva na viacero samostatných objektov umožňuje stavbe urbanizovať svoje prostredie a okrem samotných vnútorných priestorov vytvo</w:t>
      </w:r>
      <w:r w:rsidR="0063464C">
        <w:rPr>
          <w:rFonts w:ascii="Calibri" w:hAnsi="Calibri" w:cs="Calibri"/>
          <w:sz w:val="20"/>
        </w:rPr>
        <w:t>riť aj viaceré pobytové dvory (dubový</w:t>
      </w:r>
      <w:r w:rsidRPr="00763F78">
        <w:rPr>
          <w:rFonts w:ascii="Calibri" w:hAnsi="Calibri" w:cs="Calibri"/>
          <w:sz w:val="20"/>
        </w:rPr>
        <w:t xml:space="preserve"> dvor, hospodársky dvor, </w:t>
      </w:r>
      <w:r w:rsidR="0063464C">
        <w:rPr>
          <w:rFonts w:ascii="Calibri" w:hAnsi="Calibri" w:cs="Calibri"/>
          <w:sz w:val="20"/>
        </w:rPr>
        <w:t>jaseňová</w:t>
      </w:r>
      <w:r w:rsidRPr="00763F78">
        <w:rPr>
          <w:rFonts w:ascii="Calibri" w:hAnsi="Calibri" w:cs="Calibri"/>
          <w:sz w:val="20"/>
        </w:rPr>
        <w:t xml:space="preserve"> aleja) a záhrady, čím sa rozširuje pobytová a priestorová kvalita celého komplexu. </w:t>
      </w:r>
    </w:p>
    <w:p w:rsidR="005F296F" w:rsidRDefault="005F296F" w:rsidP="007A3A8A">
      <w:pPr>
        <w:jc w:val="both"/>
        <w:rPr>
          <w:rFonts w:ascii="Calibri" w:hAnsi="Calibri" w:cs="Calibri"/>
          <w:sz w:val="20"/>
        </w:rPr>
      </w:pPr>
    </w:p>
    <w:p w:rsidR="00763F78" w:rsidRPr="00763F78" w:rsidRDefault="00763F78" w:rsidP="007A3A8A">
      <w:pPr>
        <w:jc w:val="both"/>
        <w:rPr>
          <w:rFonts w:ascii="Calibri" w:hAnsi="Calibri" w:cs="Calibri"/>
          <w:sz w:val="20"/>
        </w:rPr>
      </w:pPr>
      <w:r w:rsidRPr="00763F78">
        <w:rPr>
          <w:rFonts w:ascii="Calibri" w:hAnsi="Calibri" w:cs="Calibri"/>
          <w:sz w:val="20"/>
        </w:rPr>
        <w:t xml:space="preserve">Z urbanistického hľadiska sú hlavné objekty vinárstva situované na juhozápadnom okraji pozemku </w:t>
      </w:r>
      <w:r w:rsidRPr="00397059">
        <w:rPr>
          <w:rFonts w:ascii="Calibri" w:hAnsi="Calibri" w:cs="Calibri"/>
          <w:sz w:val="20"/>
        </w:rPr>
        <w:t>(par. č. 2366</w:t>
      </w:r>
      <w:r w:rsidR="00397059" w:rsidRPr="00397059">
        <w:rPr>
          <w:rFonts w:ascii="Calibri" w:hAnsi="Calibri" w:cs="Calibri"/>
          <w:sz w:val="20"/>
        </w:rPr>
        <w:t>/1)</w:t>
      </w:r>
      <w:r w:rsidRPr="00763F78">
        <w:rPr>
          <w:rFonts w:ascii="Calibri" w:hAnsi="Calibri" w:cs="Calibri"/>
          <w:sz w:val="20"/>
        </w:rPr>
        <w:t xml:space="preserve"> pričom svojou orientáciou kopírujú pôvodnú zástavbu predošlých murovaných stavieb, ako aj uličnú čiaru cesty vinohradu. Medzi spevnenou verejnou komunikáciou a osadením hmoty vinárstva je navrhovaný odstup približne 4 m (v najužšom mieste 3 m), ktorý slúži ako nástupný priestor a parkovacia plocha. Pre zachovanie prírodného charakteru daného prostredia je tento priestor doplnený alejou </w:t>
      </w:r>
      <w:r w:rsidR="0063464C">
        <w:rPr>
          <w:rFonts w:ascii="Calibri" w:hAnsi="Calibri" w:cs="Calibri"/>
          <w:sz w:val="20"/>
        </w:rPr>
        <w:t>jaseňových</w:t>
      </w:r>
      <w:r w:rsidRPr="00763F78">
        <w:rPr>
          <w:rFonts w:ascii="Calibri" w:hAnsi="Calibri" w:cs="Calibri"/>
          <w:sz w:val="20"/>
        </w:rPr>
        <w:t xml:space="preserve"> stromov, ktorá je charakteristickým prírodným prvkom vyskytujúcim sa v okolitom prostredí a zároveň vizuálne potláča exteriérovú plochu parkovania, realizovanú prostredníctvom zhutneného štrkového násypu. Akcent oproti hlavnej stavbe vinárstva vytvára iba subtílna drevená vyhliadková veža, nachádzajúca sa severne od objektov SO 01 – SO 03 na juhozápadnom okraji parcely </w:t>
      </w:r>
      <w:r w:rsidR="00A65787">
        <w:rPr>
          <w:rFonts w:ascii="Calibri" w:hAnsi="Calibri" w:cs="Calibri"/>
          <w:sz w:val="20"/>
        </w:rPr>
        <w:t>2362/2</w:t>
      </w:r>
      <w:r w:rsidRPr="00763F78">
        <w:rPr>
          <w:rFonts w:ascii="Calibri" w:hAnsi="Calibri" w:cs="Calibri"/>
          <w:sz w:val="20"/>
        </w:rPr>
        <w:t xml:space="preserve">. Svojim osadením v mierne stúpajúcom teréne, objemom, </w:t>
      </w:r>
      <w:r w:rsidRPr="00763F78">
        <w:rPr>
          <w:rFonts w:ascii="Calibri" w:hAnsi="Calibri" w:cs="Calibri"/>
          <w:sz w:val="20"/>
        </w:rPr>
        <w:lastRenderedPageBreak/>
        <w:t xml:space="preserve">ako aj funkčnou náplňou má predstavovať vertikálnu dominantu – orientačný bod vinárskej oblasti obce Strekov. Jej verejná funkcia má podporovať lokálny aj regionálny turizmus, zároveň však svojim výtvarným a architektonickým stvárnením v podobe semitransparentnej oválnej hmoty s obvodovým plášťom prerastaným popínavou zeleňou odkazovať na prírodný charakter okolitého prostredia. Realizácia takéhoto objektu uprostred jednej z najlepších vinohradníckych oblastí Slovenska bude slúžiť nielen na reprezentáciu tamojšej krajiny (z vyhliadky bude možné rozpoznať pútnické miesto Cigléd, ako aj tzv. Parížske močiare), ale zároveň zatraktívni verejné podujatia v obci a okolí (akými sú napríklad Strekovský vínny festival alebo Kalkýšsky festival). </w:t>
      </w:r>
    </w:p>
    <w:p w:rsidR="005F296F" w:rsidRDefault="005F296F" w:rsidP="007A3A8A">
      <w:pPr>
        <w:jc w:val="both"/>
        <w:rPr>
          <w:rFonts w:ascii="Calibri" w:hAnsi="Calibri" w:cs="Calibri"/>
          <w:sz w:val="20"/>
        </w:rPr>
      </w:pPr>
    </w:p>
    <w:p w:rsidR="00DE3E67" w:rsidRPr="00DE3E67" w:rsidRDefault="005F296F" w:rsidP="00DE3E67">
      <w:pPr>
        <w:jc w:val="both"/>
        <w:rPr>
          <w:rFonts w:ascii="Calibri" w:hAnsi="Calibri" w:cs="Calibri"/>
          <w:sz w:val="20"/>
        </w:rPr>
      </w:pPr>
      <w:r w:rsidRPr="005F296F">
        <w:rPr>
          <w:rFonts w:ascii="Calibri" w:hAnsi="Calibri" w:cs="Calibri"/>
          <w:sz w:val="20"/>
        </w:rPr>
        <w:t>Z architektonického hľadiska sú všetky objekty vinárstva výtvarne stvárnené tak, aby splynuli s okolitou zástavbou a rozvíjali tradičnú architektúru tohoto vinárskeho regiónu. Všetky objekty sú murované, jednopodlažné (SO 01 – SO 03) so sedlovou strechou. Objekt hlavnej výroby (SO 02) je čiastočne podpivničený tak, aby poskytoval dostatok priestoru na uskladnenie nerezových a drevených sudov a zároveň integroval historickú zachovanú pivnicu do novo navrhovanej stavby. Pôvodné historické priestory pivnice (SO 04) budú slúžiť na uskladnenie archívnych druhov vína. Priestory 2.NP sú tvorené iba podkrovím objektov (SO 01 – SO 03), ktoré slúžia ako doplňujúce sklady a ubytovanie. Reprezentačné stavby vinárskej výroby a showroomu s ubytovaním pokrýva tradičná hlinená omietka jemne béžovej farby. Nový výtvarný prvok navrhovaných domov vytvárajú klenbové fasádne otvory vyplnené bezrámovými sklenými tabulami a dvernými krídlami s dreveným rámom. Tie jemne štrukturujú uličné fasády a presvetľujú vnútorné reprezentačné priestory. Ich architektúra však nie je náhodná, takéto výtvarné stvárnenie opäť odkazuje na tradičné klenbové priestory, charakteristické pre vínne pivnice, ako aj brány remeselníckych a vinohradníckych stavieb. Hospodársky objekt, stojaci za domom vínnej výroby je tvarovo zhodný so stavbami showroomu a výroby, jeho fasáda je ale naopak tvorená dreveným obložením prírodnej farby, čím reflektuje svoju funkciu „šopy“, teda skladu a technických miestností. Odlišné architektonické stvárnenie je naopak aplikované v návrhu vyhliadkovej veže. Jej nástupný priestor, zahrňujúci menšiu výstavnú miestnosť a vstup do vežovej časti je zasadený do terénu tak, aby nad terénom zostala viditeľná len jednoduchá silueta hlavnej veže. Tá je stavebne navrhnutá z oceľovej demontovateľnej konštrukcie a ľahkého obvodového plášťa z dreveného latovania.</w:t>
      </w:r>
    </w:p>
    <w:p w:rsidR="00CA403F" w:rsidRDefault="00CA403F" w:rsidP="0009245A">
      <w:pPr>
        <w:autoSpaceDE w:val="0"/>
        <w:autoSpaceDN w:val="0"/>
        <w:adjustRightInd w:val="0"/>
        <w:rPr>
          <w:rFonts w:ascii="Calibri" w:hAnsi="Calibri" w:cs="Calibri"/>
          <w:b/>
          <w:iCs/>
          <w:color w:val="FF0000"/>
          <w:sz w:val="20"/>
        </w:rPr>
      </w:pPr>
    </w:p>
    <w:p w:rsidR="00B277BF" w:rsidRDefault="00B277BF" w:rsidP="0009245A">
      <w:pPr>
        <w:autoSpaceDE w:val="0"/>
        <w:autoSpaceDN w:val="0"/>
        <w:adjustRightInd w:val="0"/>
        <w:rPr>
          <w:rFonts w:ascii="Calibri" w:hAnsi="Calibri" w:cs="Calibri"/>
          <w:b/>
          <w:iCs/>
          <w:color w:val="FF0000"/>
          <w:sz w:val="20"/>
        </w:rPr>
      </w:pPr>
    </w:p>
    <w:p w:rsidR="00F06135" w:rsidRPr="009F7606" w:rsidRDefault="00763F78" w:rsidP="00800254">
      <w:pPr>
        <w:autoSpaceDE w:val="0"/>
        <w:autoSpaceDN w:val="0"/>
        <w:adjustRightInd w:val="0"/>
        <w:jc w:val="both"/>
        <w:rPr>
          <w:rFonts w:ascii="Calibri" w:hAnsi="Calibri" w:cs="Calibri"/>
          <w:b/>
          <w:iCs/>
          <w:sz w:val="24"/>
        </w:rPr>
      </w:pPr>
      <w:r w:rsidRPr="009F7606">
        <w:rPr>
          <w:rFonts w:ascii="Calibri" w:hAnsi="Calibri" w:cs="Calibri"/>
          <w:b/>
          <w:iCs/>
          <w:sz w:val="24"/>
        </w:rPr>
        <w:t>STATICKÉ POSÚDENIE</w:t>
      </w:r>
    </w:p>
    <w:p w:rsidR="00541DF6" w:rsidRPr="009F7606" w:rsidRDefault="00541DF6" w:rsidP="0009245A">
      <w:pPr>
        <w:autoSpaceDE w:val="0"/>
        <w:autoSpaceDN w:val="0"/>
        <w:adjustRightInd w:val="0"/>
        <w:rPr>
          <w:rFonts w:asciiTheme="majorHAnsi" w:hAnsiTheme="majorHAnsi" w:cstheme="majorHAnsi"/>
          <w:b/>
          <w:iCs/>
          <w:sz w:val="20"/>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lang w:eastAsia="cs-CZ"/>
        </w:rPr>
        <w:t>Použité podklady a literatúra.</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r w:rsidRPr="009F7606">
        <w:rPr>
          <w:rFonts w:asciiTheme="majorHAnsi" w:hAnsiTheme="majorHAnsi" w:cstheme="majorHAnsi"/>
          <w:sz w:val="20"/>
          <w:lang w:eastAsia="cs-CZ"/>
        </w:rPr>
        <w:t xml:space="preserve">-Rozpracovaná výkresová dokumentácia </w:t>
      </w:r>
    </w:p>
    <w:p w:rsidR="009F7606" w:rsidRPr="009F7606" w:rsidRDefault="009F7606" w:rsidP="009F7606">
      <w:pPr>
        <w:spacing w:line="300" w:lineRule="auto"/>
        <w:jc w:val="both"/>
        <w:rPr>
          <w:rFonts w:asciiTheme="majorHAnsi" w:hAnsiTheme="majorHAnsi" w:cstheme="majorHAnsi"/>
          <w:sz w:val="20"/>
          <w:lang w:eastAsia="cs-CZ"/>
        </w:rPr>
      </w:pPr>
      <w:r w:rsidRPr="009F7606">
        <w:rPr>
          <w:rFonts w:asciiTheme="majorHAnsi" w:hAnsiTheme="majorHAnsi" w:cstheme="majorHAnsi"/>
          <w:sz w:val="20"/>
          <w:lang w:eastAsia="cs-CZ"/>
        </w:rPr>
        <w:t>- inžinierskogeologický prieskum - : RNDr. Emil Ďurovič – NOBAGEOS, Mariánska 6, Nová Baňa</w:t>
      </w:r>
      <w:r w:rsidRPr="009F7606">
        <w:rPr>
          <w:rFonts w:asciiTheme="majorHAnsi" w:hAnsiTheme="majorHAnsi" w:cstheme="majorHAnsi"/>
          <w:b/>
          <w:bCs/>
          <w:i/>
          <w:sz w:val="20"/>
        </w:rPr>
        <w:t xml:space="preserve">       </w:t>
      </w:r>
    </w:p>
    <w:p w:rsidR="009F7606" w:rsidRPr="009F7606" w:rsidRDefault="009F7606" w:rsidP="009F7606">
      <w:pPr>
        <w:spacing w:line="300" w:lineRule="auto"/>
        <w:jc w:val="both"/>
        <w:rPr>
          <w:rFonts w:asciiTheme="majorHAnsi" w:hAnsiTheme="majorHAnsi" w:cstheme="majorHAnsi"/>
          <w:sz w:val="20"/>
          <w:lang w:eastAsia="cs-CZ"/>
        </w:rPr>
      </w:pPr>
      <w:r w:rsidRPr="009F7606">
        <w:rPr>
          <w:rFonts w:asciiTheme="majorHAnsi" w:hAnsiTheme="majorHAnsi" w:cstheme="majorHAnsi"/>
          <w:sz w:val="20"/>
          <w:lang w:eastAsia="cs-CZ"/>
        </w:rPr>
        <w:t>-Technická  správa Špecifikácia - Vinárstvo STON  Strekov - Strojná technológia - Ing. Kristel</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-STN EN 1991-1-1: Všeobecné zaťaženia. Objemová tiaž, vlastná tiaž a úžitkové</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eastAsia="Arial" w:hAnsiTheme="majorHAnsi" w:cstheme="majorHAnsi"/>
          <w:sz w:val="20"/>
        </w:rPr>
        <w:t xml:space="preserve"> </w:t>
      </w:r>
      <w:r w:rsidRPr="009F7606">
        <w:rPr>
          <w:rFonts w:asciiTheme="majorHAnsi" w:hAnsiTheme="majorHAnsi" w:cstheme="majorHAnsi"/>
          <w:sz w:val="20"/>
        </w:rPr>
        <w:t>zaťaženie budov.</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-STN EN 1991-1-3: Všeobecné zaťaženia. Zaťaženie snehom</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-STN EN 1991-1-3/NA1: Všeobecné zaťaženia. Zaťaženie snehom. Národná príloha.</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-STN EN 1991-1-4: Všeobecné zaťaženia. Zaťaženie vetrom</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-STN EN 1992-1-1: Navrhovanie betónových konštrukcií. Všeobecné pravidlá a pravidlá pre budovy.</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-STN EN 1993-1-1: Navrhovanie oceľových konštrukcií. Všeobecné pravidlá a pravidlá pre budovy.</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-STN EN 1995-1-1+A1 – Navrhovanie drevených konštrukcií. Všeobecné pravidlá a pravidlá pre budovy.</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lang w:eastAsia="cs-CZ"/>
        </w:rPr>
        <w:t>-STN EN 1996-1-1+A1: Navrhovanie murovaných konštrukcií. Časť 1-1: Všeobecné pravidlá pre vystužené a nevystužené murované konštrukcie (Konsolidovaný text)</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lang w:eastAsia="cs-CZ"/>
        </w:rPr>
        <w:t>-STN EN 1996-1-1+A1: Navrhovanie murovaných konštrukcií. Časť 1-1: Všeobecné pravidlá pre vystužené a nevystužené murované konštrukcie (Konsolidovaný text)</w:t>
      </w:r>
    </w:p>
    <w:p w:rsidR="009F7606" w:rsidRPr="009F7606" w:rsidRDefault="009F7606" w:rsidP="009F7606">
      <w:pPr>
        <w:spacing w:line="300" w:lineRule="auto"/>
        <w:jc w:val="both"/>
        <w:rPr>
          <w:rFonts w:asciiTheme="majorHAnsi" w:hAnsiTheme="majorHAnsi" w:cstheme="majorHAnsi"/>
          <w:b/>
          <w:sz w:val="20"/>
          <w:lang w:eastAsia="cs-CZ"/>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lang w:eastAsia="cs-CZ"/>
        </w:rPr>
        <w:t>Základné údaje o stavbe</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eastAsia="Arial" w:hAnsiTheme="majorHAnsi" w:cstheme="majorHAnsi"/>
          <w:b/>
          <w:sz w:val="20"/>
          <w:lang w:eastAsia="cs-CZ"/>
        </w:rPr>
        <w:t xml:space="preserve"> </w:t>
      </w: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color w:val="000000"/>
          <w:sz w:val="20"/>
        </w:rPr>
      </w:pPr>
      <w:r w:rsidRPr="009F7606">
        <w:rPr>
          <w:rFonts w:asciiTheme="majorHAnsi" w:hAnsiTheme="majorHAnsi" w:cstheme="majorHAnsi"/>
          <w:sz w:val="20"/>
          <w:lang w:eastAsia="cs-CZ"/>
        </w:rPr>
        <w:lastRenderedPageBreak/>
        <w:t>Posudok v stupni projektu pre realizáciu sa zaoberá návrhom VINÁRSTVA S. Jedná sa o objekty SO 01 až SO 04.. Vinárstvo sa nachádza v lokalite Strekov. Investor je</w:t>
      </w:r>
      <w:r w:rsidRPr="009F7606">
        <w:rPr>
          <w:rFonts w:asciiTheme="majorHAnsi" w:hAnsiTheme="majorHAnsi" w:cstheme="majorHAnsi"/>
          <w:color w:val="FF0000"/>
          <w:sz w:val="20"/>
          <w:lang w:eastAsia="cs-CZ"/>
        </w:rPr>
        <w:t xml:space="preserve"> </w:t>
      </w:r>
      <w:r w:rsidRPr="009F7606">
        <w:rPr>
          <w:rFonts w:asciiTheme="majorHAnsi" w:hAnsiTheme="majorHAnsi" w:cstheme="majorHAnsi"/>
          <w:color w:val="000000"/>
          <w:sz w:val="20"/>
        </w:rPr>
        <w:t xml:space="preserve">STON a.s. Uhrova 18, 831 01 Bratislava. </w:t>
      </w:r>
    </w:p>
    <w:p w:rsidR="009F7606" w:rsidRPr="009F7606" w:rsidRDefault="009F7606" w:rsidP="009F7606">
      <w:pPr>
        <w:autoSpaceDE w:val="0"/>
        <w:autoSpaceDN w:val="0"/>
        <w:adjustRightInd w:val="0"/>
        <w:spacing w:line="300" w:lineRule="auto"/>
        <w:jc w:val="both"/>
        <w:rPr>
          <w:rFonts w:asciiTheme="majorHAnsi" w:hAnsiTheme="majorHAnsi" w:cstheme="majorHAnsi"/>
          <w:b/>
          <w:color w:val="000000"/>
          <w:sz w:val="20"/>
        </w:rPr>
      </w:pPr>
    </w:p>
    <w:p w:rsidR="009F7606" w:rsidRPr="009F7606" w:rsidRDefault="009F7606" w:rsidP="009F7606">
      <w:pPr>
        <w:autoSpaceDE w:val="0"/>
        <w:autoSpaceDN w:val="0"/>
        <w:adjustRightInd w:val="0"/>
        <w:spacing w:line="300" w:lineRule="auto"/>
        <w:jc w:val="both"/>
        <w:rPr>
          <w:rFonts w:asciiTheme="majorHAnsi" w:hAnsiTheme="majorHAnsi" w:cstheme="majorHAnsi"/>
          <w:b/>
          <w:color w:val="000000"/>
          <w:sz w:val="20"/>
        </w:rPr>
      </w:pPr>
      <w:r w:rsidRPr="009F7606">
        <w:rPr>
          <w:rFonts w:asciiTheme="majorHAnsi" w:hAnsiTheme="majorHAnsi" w:cstheme="majorHAnsi"/>
          <w:b/>
          <w:color w:val="000000"/>
          <w:sz w:val="20"/>
        </w:rPr>
        <w:t xml:space="preserve">Označenie  objektov : </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r w:rsidRPr="009F7606">
        <w:rPr>
          <w:rFonts w:asciiTheme="majorHAnsi" w:hAnsiTheme="majorHAnsi" w:cstheme="majorHAnsi"/>
          <w:color w:val="000000"/>
          <w:sz w:val="20"/>
        </w:rPr>
        <w:t>SO-01</w:t>
      </w:r>
      <w:r w:rsidRPr="009F7606">
        <w:rPr>
          <w:rFonts w:asciiTheme="majorHAnsi" w:hAnsiTheme="majorHAnsi" w:cstheme="majorHAnsi"/>
          <w:color w:val="000000"/>
          <w:sz w:val="20"/>
        </w:rPr>
        <w:tab/>
        <w:t xml:space="preserve">          SHOWROOM S UBYTOVANÍM</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r w:rsidRPr="009F7606">
        <w:rPr>
          <w:rFonts w:asciiTheme="majorHAnsi" w:hAnsiTheme="majorHAnsi" w:cstheme="majorHAnsi"/>
          <w:color w:val="000000"/>
          <w:sz w:val="20"/>
        </w:rPr>
        <w:t>SO-02</w:t>
      </w:r>
      <w:r w:rsidRPr="009F7606">
        <w:rPr>
          <w:rFonts w:asciiTheme="majorHAnsi" w:hAnsiTheme="majorHAnsi" w:cstheme="majorHAnsi"/>
          <w:color w:val="000000"/>
          <w:sz w:val="20"/>
        </w:rPr>
        <w:tab/>
      </w:r>
      <w:r w:rsidRPr="009F7606">
        <w:rPr>
          <w:rFonts w:asciiTheme="majorHAnsi" w:hAnsiTheme="majorHAnsi" w:cstheme="majorHAnsi"/>
          <w:color w:val="000000"/>
          <w:sz w:val="20"/>
        </w:rPr>
        <w:tab/>
        <w:t>VINÁRSKA VÝROBA</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r w:rsidRPr="009F7606">
        <w:rPr>
          <w:rFonts w:asciiTheme="majorHAnsi" w:hAnsiTheme="majorHAnsi" w:cstheme="majorHAnsi"/>
          <w:color w:val="000000"/>
          <w:sz w:val="20"/>
        </w:rPr>
        <w:t>SO-03</w:t>
      </w:r>
      <w:r w:rsidRPr="009F7606">
        <w:rPr>
          <w:rFonts w:asciiTheme="majorHAnsi" w:hAnsiTheme="majorHAnsi" w:cstheme="majorHAnsi"/>
          <w:color w:val="000000"/>
          <w:sz w:val="20"/>
        </w:rPr>
        <w:tab/>
      </w:r>
      <w:r w:rsidRPr="009F7606">
        <w:rPr>
          <w:rFonts w:asciiTheme="majorHAnsi" w:hAnsiTheme="majorHAnsi" w:cstheme="majorHAnsi"/>
          <w:color w:val="000000"/>
          <w:sz w:val="20"/>
        </w:rPr>
        <w:tab/>
        <w:t>HOSPODÁRSKY OBJEKT</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r w:rsidRPr="009F7606">
        <w:rPr>
          <w:rFonts w:asciiTheme="majorHAnsi" w:hAnsiTheme="majorHAnsi" w:cstheme="majorHAnsi"/>
          <w:color w:val="000000"/>
          <w:sz w:val="20"/>
        </w:rPr>
        <w:t>SO-04</w:t>
      </w:r>
      <w:r w:rsidRPr="009F7606">
        <w:rPr>
          <w:rFonts w:asciiTheme="majorHAnsi" w:hAnsiTheme="majorHAnsi" w:cstheme="majorHAnsi"/>
          <w:color w:val="000000"/>
          <w:sz w:val="20"/>
        </w:rPr>
        <w:tab/>
      </w:r>
      <w:r w:rsidRPr="009F7606">
        <w:rPr>
          <w:rFonts w:asciiTheme="majorHAnsi" w:hAnsiTheme="majorHAnsi" w:cstheme="majorHAnsi"/>
          <w:color w:val="000000"/>
          <w:sz w:val="20"/>
        </w:rPr>
        <w:tab/>
        <w:t xml:space="preserve">JESTVUJÚCA PIVNICA </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r w:rsidRPr="009F7606">
        <w:rPr>
          <w:rFonts w:asciiTheme="majorHAnsi" w:hAnsiTheme="majorHAnsi" w:cstheme="majorHAnsi"/>
          <w:noProof/>
          <w:color w:val="000000"/>
          <w:sz w:val="20"/>
        </w:rPr>
        <w:drawing>
          <wp:inline distT="0" distB="0" distL="0" distR="0">
            <wp:extent cx="5753100" cy="4962525"/>
            <wp:effectExtent l="0" t="0" r="0" b="9525"/>
            <wp:docPr id="8" name="Obrázok 8" descr="rr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rr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100" cy="4962525"/>
                    </a:xfrm>
                    <a:prstGeom prst="rect">
                      <a:avLst/>
                    </a:prstGeom>
                    <a:noFill/>
                    <a:ln>
                      <a:noFill/>
                    </a:ln>
                  </pic:spPr>
                </pic:pic>
              </a:graphicData>
            </a:graphic>
          </wp:inline>
        </w:drawing>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p>
    <w:p w:rsidR="009F7606" w:rsidRPr="009F7606" w:rsidRDefault="009F7606" w:rsidP="009F7606">
      <w:pPr>
        <w:spacing w:line="300" w:lineRule="auto"/>
        <w:jc w:val="center"/>
        <w:rPr>
          <w:rFonts w:asciiTheme="majorHAnsi" w:hAnsiTheme="majorHAnsi" w:cstheme="majorHAnsi"/>
          <w:sz w:val="20"/>
        </w:rPr>
      </w:pPr>
      <w:r w:rsidRPr="009F7606">
        <w:rPr>
          <w:rFonts w:asciiTheme="majorHAnsi" w:hAnsiTheme="majorHAnsi" w:cstheme="majorHAnsi"/>
          <w:sz w:val="20"/>
          <w:lang w:eastAsia="cs-CZ"/>
        </w:rPr>
        <w:t xml:space="preserve">Obrázok č.1: Umiestnenie objektov </w:t>
      </w:r>
      <w:r w:rsidRPr="009F7606">
        <w:rPr>
          <w:rFonts w:asciiTheme="majorHAnsi" w:hAnsiTheme="majorHAnsi" w:cstheme="majorHAnsi"/>
          <w:color w:val="000000"/>
          <w:sz w:val="20"/>
        </w:rPr>
        <w:t>SO-01 - SO-04</w:t>
      </w:r>
    </w:p>
    <w:p w:rsidR="009F7606" w:rsidRPr="009F7606" w:rsidRDefault="009F7606" w:rsidP="009F7606">
      <w:pPr>
        <w:spacing w:line="300" w:lineRule="auto"/>
        <w:jc w:val="both"/>
        <w:rPr>
          <w:rFonts w:asciiTheme="majorHAnsi" w:hAnsiTheme="majorHAnsi" w:cstheme="majorHAnsi"/>
          <w:b/>
          <w:sz w:val="20"/>
        </w:rPr>
      </w:pPr>
      <w:bookmarkStart w:id="4" w:name="_Toc439247984"/>
      <w:r w:rsidRPr="009F7606">
        <w:rPr>
          <w:rFonts w:asciiTheme="majorHAnsi" w:hAnsiTheme="majorHAnsi" w:cstheme="majorHAnsi"/>
          <w:b/>
          <w:sz w:val="20"/>
        </w:rPr>
        <w:t>Geologické pomery staveniska</w:t>
      </w:r>
      <w:bookmarkEnd w:id="4"/>
    </w:p>
    <w:p w:rsidR="009F7606" w:rsidRPr="009F7606" w:rsidRDefault="009F7606" w:rsidP="009F7606">
      <w:pPr>
        <w:spacing w:line="300" w:lineRule="auto"/>
        <w:jc w:val="both"/>
        <w:rPr>
          <w:rFonts w:asciiTheme="majorHAnsi" w:hAnsiTheme="majorHAnsi" w:cstheme="majorHAnsi"/>
          <w:b/>
          <w:sz w:val="20"/>
        </w:rPr>
      </w:pPr>
    </w:p>
    <w:p w:rsidR="009F7606" w:rsidRPr="009F7606" w:rsidRDefault="009F7606" w:rsidP="009F7606">
      <w:pPr>
        <w:spacing w:line="300" w:lineRule="auto"/>
        <w:ind w:firstLine="720"/>
        <w:jc w:val="both"/>
        <w:rPr>
          <w:rFonts w:asciiTheme="majorHAnsi" w:hAnsiTheme="majorHAnsi" w:cstheme="majorHAnsi"/>
          <w:b/>
          <w:sz w:val="20"/>
        </w:rPr>
      </w:pPr>
      <w:r w:rsidRPr="009F7606">
        <w:rPr>
          <w:rFonts w:asciiTheme="majorHAnsi" w:hAnsiTheme="majorHAnsi" w:cstheme="majorHAnsi"/>
          <w:sz w:val="20"/>
        </w:rPr>
        <w:t>Na geologickej stavbe územia sa podieľajú sedimentárne horninové komplexy kvartéru (štvrtohory) a neogénu (mladšie treťohory).</w:t>
      </w:r>
    </w:p>
    <w:p w:rsidR="009F7606" w:rsidRPr="009F7606" w:rsidRDefault="009F7606" w:rsidP="009F7606">
      <w:pPr>
        <w:spacing w:line="300" w:lineRule="auto"/>
        <w:ind w:firstLine="720"/>
        <w:jc w:val="both"/>
        <w:rPr>
          <w:rFonts w:asciiTheme="majorHAnsi" w:hAnsiTheme="majorHAnsi" w:cstheme="majorHAnsi"/>
          <w:b/>
          <w:sz w:val="20"/>
        </w:rPr>
      </w:pPr>
    </w:p>
    <w:p w:rsidR="009F7606" w:rsidRPr="009F7606" w:rsidRDefault="009F7606" w:rsidP="009F7606">
      <w:pPr>
        <w:spacing w:line="300" w:lineRule="auto"/>
        <w:ind w:firstLine="720"/>
        <w:jc w:val="both"/>
        <w:rPr>
          <w:rFonts w:asciiTheme="majorHAnsi" w:hAnsiTheme="majorHAnsi" w:cstheme="majorHAnsi"/>
          <w:b/>
          <w:sz w:val="20"/>
        </w:rPr>
      </w:pPr>
      <w:r w:rsidRPr="009F7606">
        <w:rPr>
          <w:rFonts w:asciiTheme="majorHAnsi" w:hAnsiTheme="majorHAnsi" w:cstheme="majorHAnsi"/>
          <w:sz w:val="20"/>
        </w:rPr>
        <w:t>Kvartérne sedimenty</w:t>
      </w:r>
      <w:r w:rsidRPr="009F7606">
        <w:rPr>
          <w:rFonts w:asciiTheme="majorHAnsi" w:hAnsiTheme="majorHAnsi" w:cstheme="majorHAnsi"/>
          <w:b/>
          <w:sz w:val="20"/>
        </w:rPr>
        <w:t xml:space="preserve"> </w:t>
      </w:r>
      <w:r w:rsidRPr="009F7606">
        <w:rPr>
          <w:rFonts w:asciiTheme="majorHAnsi" w:hAnsiTheme="majorHAnsi" w:cstheme="majorHAnsi"/>
          <w:sz w:val="20"/>
        </w:rPr>
        <w:t xml:space="preserve">sú v záujmovom území reprezentované 6 - 8 m hrubým súvrstvím eolických, deluviálnych a eluviálnych sedimentov charakteru hliny (silt) a ílu s nízkou, strednou až vysokou plasticitou </w:t>
      </w:r>
      <w:r w:rsidRPr="009F7606">
        <w:rPr>
          <w:rFonts w:asciiTheme="majorHAnsi" w:hAnsiTheme="majorHAnsi" w:cstheme="majorHAnsi"/>
          <w:sz w:val="20"/>
        </w:rPr>
        <w:lastRenderedPageBreak/>
        <w:t>rôznych odtieňov hnedej farby. Pozdĺž vodného toku Paríž sa nachádzajú aj piesčito-štrkovité sedimenty fluviálneho pôvodu - piesčité íly, ílovité piesky a ílovitá štrky s variabilným podielom ílovitej zložky.</w:t>
      </w: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bCs/>
          <w:sz w:val="20"/>
        </w:rPr>
        <w:t>Neogénne sedimenty</w:t>
      </w:r>
      <w:r w:rsidRPr="009F7606">
        <w:rPr>
          <w:rFonts w:asciiTheme="majorHAnsi" w:hAnsiTheme="majorHAnsi" w:cstheme="majorHAnsi"/>
          <w:b/>
          <w:bCs/>
          <w:sz w:val="20"/>
        </w:rPr>
        <w:t xml:space="preserve"> </w:t>
      </w:r>
      <w:r w:rsidRPr="009F7606">
        <w:rPr>
          <w:rFonts w:asciiTheme="majorHAnsi" w:hAnsiTheme="majorHAnsi" w:cstheme="majorHAnsi"/>
          <w:sz w:val="20"/>
        </w:rPr>
        <w:t xml:space="preserve">sú reprezentované najmä sedimentami panónu a pontu. Vo všeobecnosti ide o viac než 1 000 m  hrubé súvrstvie  s dominanciou vrstiev ílov rôznych variácií (vápnité, piesčité) a farieb (zelenosivé, bledohnedé, hnedé, modrosivé, čiernosivé), v ktorých sú uzatvorené vrstvy pieskov, pieskovcov, jemnozrnných štrkov svetlých farieb a ojedinelo aj lignitu. </w:t>
      </w:r>
    </w:p>
    <w:p w:rsidR="009F7606" w:rsidRPr="009F7606" w:rsidRDefault="009F7606" w:rsidP="009F7606">
      <w:pPr>
        <w:spacing w:line="300" w:lineRule="auto"/>
        <w:ind w:firstLine="720"/>
        <w:jc w:val="both"/>
        <w:rPr>
          <w:rFonts w:asciiTheme="majorHAnsi" w:hAnsiTheme="majorHAnsi" w:cstheme="majorHAnsi"/>
          <w:sz w:val="20"/>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rPr>
        <w:t xml:space="preserve"> Hydrogeologické pomery</w:t>
      </w:r>
      <w:r w:rsidRPr="009F7606">
        <w:rPr>
          <w:rFonts w:asciiTheme="majorHAnsi" w:hAnsiTheme="majorHAnsi" w:cstheme="majorHAnsi"/>
          <w:b/>
          <w:sz w:val="20"/>
        </w:rPr>
        <w:t xml:space="preserve"> </w:t>
      </w:r>
      <w:r w:rsidRPr="009F7606">
        <w:rPr>
          <w:rFonts w:asciiTheme="majorHAnsi" w:hAnsiTheme="majorHAnsi" w:cstheme="majorHAnsi"/>
          <w:sz w:val="20"/>
        </w:rPr>
        <w:t xml:space="preserve"> záujmového  územia  sú pomerne  zložité  a sú  odrazom celkovej geologickej stavby územia.</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rPr>
        <w:t>Kvartérne</w:t>
      </w:r>
      <w:r w:rsidRPr="009F7606">
        <w:rPr>
          <w:rFonts w:asciiTheme="majorHAnsi" w:hAnsiTheme="majorHAnsi" w:cstheme="majorHAnsi"/>
          <w:b/>
          <w:sz w:val="20"/>
        </w:rPr>
        <w:t xml:space="preserve">  </w:t>
      </w:r>
      <w:r w:rsidRPr="009F7606">
        <w:rPr>
          <w:rFonts w:asciiTheme="majorHAnsi" w:hAnsiTheme="majorHAnsi" w:cstheme="majorHAnsi"/>
          <w:sz w:val="20"/>
        </w:rPr>
        <w:t>jemnozrnné sedimenty (ílovité hliny, íly), ktoré pokrývajú povrch záujmového územia,  sú z hydrogeologického hľadiska bezvýznamné.  Nevytvárajú vhodné podmienky  pre akumuláciu  a migráciu  podzemnej vody – sú veľmi málo priepustné až nepriepustné a hrúbka súvrstvia kvartérnych sedimentov je nízka.</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rPr>
        <w:t>Neogénne  sedimentárne horniny  Hronskej pahorkatiny sú ako celok nepriepustné.  Priepustné a zvodnené  sú piesčité a štrkové vrstvy s pórovou priepustnosťou,  ktoré sú uzatvorené medzi vrstvami ílov a ílovcov. Hladina podzemnej vody piesčitých a štrkových zvodnených horizontov  má spravidla na-pätý (artézsky) charakter. Vzhľadom na ich regionálny charakter drénujú podzemnú vodu z väčšej plochy a z väčšej vzdialenosti.</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p>
    <w:p w:rsidR="009F7606" w:rsidRPr="009F7606" w:rsidRDefault="009F7606" w:rsidP="009F7606">
      <w:pPr>
        <w:autoSpaceDE w:val="0"/>
        <w:autoSpaceDN w:val="0"/>
        <w:adjustRightInd w:val="0"/>
        <w:spacing w:line="300" w:lineRule="auto"/>
        <w:jc w:val="both"/>
        <w:rPr>
          <w:rFonts w:asciiTheme="majorHAnsi" w:hAnsiTheme="majorHAnsi" w:cstheme="majorHAnsi"/>
          <w:b/>
          <w:bCs/>
          <w:sz w:val="20"/>
        </w:rPr>
      </w:pPr>
      <w:r w:rsidRPr="009F7606">
        <w:rPr>
          <w:rFonts w:asciiTheme="majorHAnsi" w:hAnsiTheme="majorHAnsi" w:cstheme="majorHAnsi"/>
          <w:b/>
          <w:bCs/>
          <w:sz w:val="20"/>
        </w:rPr>
        <w:t>Dokumentácia prieskumných sond:</w:t>
      </w:r>
    </w:p>
    <w:p w:rsidR="009F7606" w:rsidRPr="009F7606" w:rsidRDefault="009F7606" w:rsidP="009F7606">
      <w:pPr>
        <w:autoSpaceDE w:val="0"/>
        <w:autoSpaceDN w:val="0"/>
        <w:adjustRightInd w:val="0"/>
        <w:spacing w:line="300" w:lineRule="auto"/>
        <w:jc w:val="both"/>
        <w:rPr>
          <w:rFonts w:asciiTheme="majorHAnsi" w:hAnsiTheme="majorHAnsi" w:cstheme="majorHAnsi"/>
          <w:b/>
          <w:bCs/>
          <w:sz w:val="20"/>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rPr>
        <w:t>Počas výkopu  prieskumných sond boli horninové profily  jednotlivých sond  priebežne dokumentované riešiteľom geologickej úlohy v súlade s platnou legislatívou.</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rPr>
        <w:t>Geologická dokumentácia horninových profilov sond podala obraz o prítomnosti, hrúbke a zložení vrstiev zemín povrchovej časti záujmového územia.</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noProof/>
          <w:sz w:val="20"/>
        </w:rPr>
        <w:drawing>
          <wp:anchor distT="0" distB="0" distL="114300" distR="114300" simplePos="0" relativeHeight="251686912" behindDoc="1" locked="0" layoutInCell="1" allowOverlap="1">
            <wp:simplePos x="0" y="0"/>
            <wp:positionH relativeFrom="margin">
              <wp:posOffset>2540</wp:posOffset>
            </wp:positionH>
            <wp:positionV relativeFrom="paragraph">
              <wp:posOffset>-219710</wp:posOffset>
            </wp:positionV>
            <wp:extent cx="5752465" cy="4061460"/>
            <wp:effectExtent l="0" t="0" r="635" b="0"/>
            <wp:wrapNone/>
            <wp:docPr id="14" name="Obrázok 14" descr="REVIZIA DUR_VINÁRSTVO STREKOV_IGP_aktualizácia situá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VIZIA DUR_VINÁRSTVO STREKOV_IGP_aktualizácia situáci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2465" cy="4061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r w:rsidRPr="009F7606">
        <w:rPr>
          <w:rFonts w:asciiTheme="majorHAnsi" w:hAnsiTheme="majorHAnsi" w:cstheme="majorHAnsi"/>
          <w:sz w:val="20"/>
          <w:lang w:eastAsia="cs-CZ"/>
        </w:rPr>
        <w:lastRenderedPageBreak/>
        <w:t>Obrázok č.2: Situácia prieskumných sond</w:t>
      </w:r>
    </w:p>
    <w:p w:rsidR="009F7606" w:rsidRPr="009F7606" w:rsidRDefault="009F7606" w:rsidP="009F7606">
      <w:pPr>
        <w:spacing w:line="300" w:lineRule="auto"/>
        <w:rPr>
          <w:rFonts w:asciiTheme="majorHAnsi" w:hAnsiTheme="majorHAnsi" w:cstheme="majorHAnsi"/>
          <w:b/>
          <w:sz w:val="20"/>
          <w:lang w:eastAsia="cs-CZ"/>
        </w:rPr>
      </w:pPr>
    </w:p>
    <w:p w:rsidR="009F7606" w:rsidRPr="009F7606" w:rsidRDefault="009F7606" w:rsidP="009F7606">
      <w:pPr>
        <w:spacing w:line="300" w:lineRule="auto"/>
        <w:rPr>
          <w:rFonts w:asciiTheme="majorHAnsi" w:hAnsiTheme="majorHAnsi" w:cstheme="majorHAnsi"/>
          <w:b/>
          <w:sz w:val="20"/>
        </w:rPr>
      </w:pPr>
    </w:p>
    <w:p w:rsidR="009F7606" w:rsidRPr="009F7606" w:rsidRDefault="009F7606" w:rsidP="009F7606">
      <w:pPr>
        <w:spacing w:line="300" w:lineRule="auto"/>
        <w:jc w:val="both"/>
        <w:rPr>
          <w:rFonts w:asciiTheme="majorHAnsi" w:hAnsiTheme="majorHAnsi" w:cstheme="majorHAnsi"/>
          <w:b/>
          <w:sz w:val="20"/>
        </w:rPr>
      </w:pPr>
      <w:r w:rsidRPr="009F7606">
        <w:rPr>
          <w:rFonts w:asciiTheme="majorHAnsi" w:hAnsiTheme="majorHAnsi" w:cstheme="majorHAnsi"/>
          <w:b/>
          <w:sz w:val="20"/>
        </w:rPr>
        <w:t>Jednotlivými prieskumnými sondami bol overený nasledujúci horninový profil :</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b/>
          <w:sz w:val="20"/>
          <w:u w:val="single"/>
        </w:rPr>
      </w:pPr>
      <w:r w:rsidRPr="009F7606">
        <w:rPr>
          <w:rFonts w:asciiTheme="majorHAnsi" w:hAnsiTheme="majorHAnsi" w:cstheme="majorHAnsi"/>
          <w:b/>
          <w:sz w:val="20"/>
          <w:u w:val="single"/>
        </w:rPr>
        <w:t>S-1 :</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rPr>
        <w:t>0,0 – 1,0 m</w:t>
      </w:r>
      <w:r w:rsidRPr="009F7606">
        <w:rPr>
          <w:rFonts w:asciiTheme="majorHAnsi" w:hAnsiTheme="majorHAnsi" w:cstheme="majorHAnsi"/>
          <w:sz w:val="20"/>
        </w:rPr>
        <w:t xml:space="preserve">  - sprašová hlina (silt) s nízkou (ML) až strednou (MI) plasticitou, hnedá farba, pevná konzistencia, trieda zeminy F5</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rPr>
        <w:t>1,0 – 4,3 m</w:t>
      </w:r>
      <w:r w:rsidRPr="009F7606">
        <w:rPr>
          <w:rFonts w:asciiTheme="majorHAnsi" w:hAnsiTheme="majorHAnsi" w:cstheme="majorHAnsi"/>
          <w:sz w:val="20"/>
        </w:rPr>
        <w:t xml:space="preserve">  - íl s nízkou (CL) až strednou (CI) plasticitou, bledohnedá farba,  pevná konzistencia,  trieda zeminy F6</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b/>
          <w:sz w:val="20"/>
          <w:u w:val="single"/>
        </w:rPr>
      </w:pPr>
      <w:r w:rsidRPr="009F7606">
        <w:rPr>
          <w:rFonts w:asciiTheme="majorHAnsi" w:hAnsiTheme="majorHAnsi" w:cstheme="majorHAnsi"/>
          <w:b/>
          <w:sz w:val="20"/>
          <w:u w:val="single"/>
        </w:rPr>
        <w:t>S-2 :</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rPr>
        <w:t>0,0 – 1,1 m</w:t>
      </w:r>
      <w:r w:rsidRPr="009F7606">
        <w:rPr>
          <w:rFonts w:asciiTheme="majorHAnsi" w:hAnsiTheme="majorHAnsi" w:cstheme="majorHAnsi"/>
          <w:sz w:val="20"/>
        </w:rPr>
        <w:t xml:space="preserve">  - sprašová hlina (silt) s nízkou (ML) až strednou (MI) plasticitou, hnedá farba, pevná konzistencia,  trieda zeminy F5</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rPr>
        <w:t>1,1 – 3,0 m</w:t>
      </w:r>
      <w:r w:rsidRPr="009F7606">
        <w:rPr>
          <w:rFonts w:asciiTheme="majorHAnsi" w:hAnsiTheme="majorHAnsi" w:cstheme="majorHAnsi"/>
          <w:sz w:val="20"/>
        </w:rPr>
        <w:t xml:space="preserve">  - íl s nízkou (CL) až strednou (CI) plasticitou, bledohnedá farba,  pevná konzistencia, trieda zeminy F6</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b/>
          <w:sz w:val="20"/>
          <w:u w:val="single"/>
        </w:rPr>
      </w:pPr>
      <w:r w:rsidRPr="009F7606">
        <w:rPr>
          <w:rFonts w:asciiTheme="majorHAnsi" w:hAnsiTheme="majorHAnsi" w:cstheme="majorHAnsi"/>
          <w:b/>
          <w:sz w:val="20"/>
          <w:u w:val="single"/>
        </w:rPr>
        <w:t>S-3 :</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rPr>
        <w:t>0,0 – 0,3 m</w:t>
      </w:r>
      <w:r w:rsidRPr="009F7606">
        <w:rPr>
          <w:rFonts w:asciiTheme="majorHAnsi" w:hAnsiTheme="majorHAnsi" w:cstheme="majorHAnsi"/>
          <w:sz w:val="20"/>
        </w:rPr>
        <w:t xml:space="preserve">  - sprašová hlina (silt) s nízkou (ML) až strednou (MI) plasticitou, hnedá farba, pevná konzistencia, trieda zeminy F5</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rPr>
        <w:t>0,3 – 3,1 m</w:t>
      </w:r>
      <w:r w:rsidRPr="009F7606">
        <w:rPr>
          <w:rFonts w:asciiTheme="majorHAnsi" w:hAnsiTheme="majorHAnsi" w:cstheme="majorHAnsi"/>
          <w:sz w:val="20"/>
        </w:rPr>
        <w:t xml:space="preserve">  - íl s nízkou (CL) až strednou (CI) plasticitou, bledohnedá farba,  pevná konzistencia, trieda zeminy F6</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rPr>
        <w:t>3,1 – 4,5 m</w:t>
      </w:r>
      <w:r w:rsidRPr="009F7606">
        <w:rPr>
          <w:rFonts w:asciiTheme="majorHAnsi" w:hAnsiTheme="majorHAnsi" w:cstheme="majorHAnsi"/>
          <w:sz w:val="20"/>
        </w:rPr>
        <w:t xml:space="preserve">  - íl s nízkou (CL) až strednou (CI) plasticitou, hnedá farba,  pevná konzistencia, trieda zeminy F6</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Hladina podzemnej vody nebola prieskumnými sondami narazená.</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p>
    <w:p w:rsidR="009F7606" w:rsidRPr="009F7606" w:rsidRDefault="009F7606" w:rsidP="009F7606">
      <w:pPr>
        <w:autoSpaceDE w:val="0"/>
        <w:autoSpaceDN w:val="0"/>
        <w:adjustRightInd w:val="0"/>
        <w:spacing w:line="300" w:lineRule="auto"/>
        <w:jc w:val="both"/>
        <w:rPr>
          <w:rFonts w:asciiTheme="majorHAnsi" w:hAnsiTheme="majorHAnsi" w:cstheme="majorHAnsi"/>
          <w:b/>
          <w:bCs/>
          <w:sz w:val="20"/>
        </w:rPr>
      </w:pPr>
      <w:r w:rsidRPr="009F7606">
        <w:rPr>
          <w:rFonts w:asciiTheme="majorHAnsi" w:hAnsiTheme="majorHAnsi" w:cstheme="majorHAnsi"/>
          <w:b/>
          <w:bCs/>
          <w:sz w:val="20"/>
        </w:rPr>
        <w:t>Fyzikálne vlastnosti zemín základovej pôdy:</w:t>
      </w: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b/>
          <w:bCs/>
          <w:sz w:val="20"/>
        </w:rPr>
      </w:pP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sz w:val="20"/>
        </w:rPr>
      </w:pPr>
      <w:r w:rsidRPr="009F7606">
        <w:rPr>
          <w:rFonts w:asciiTheme="majorHAnsi" w:hAnsiTheme="majorHAnsi" w:cstheme="majorHAnsi"/>
          <w:sz w:val="20"/>
        </w:rPr>
        <w:t>S ohľadom na overený horninový profil na území pripravovaných stavieb vinárstva a vyhliadkovej veže, základovú pôdu tvorí vrstva zeminy triedy F6.</w:t>
      </w: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sz w:val="20"/>
        </w:rPr>
      </w:pP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sz w:val="20"/>
        </w:rPr>
      </w:pPr>
      <w:r w:rsidRPr="009F7606">
        <w:rPr>
          <w:rFonts w:asciiTheme="majorHAnsi" w:hAnsiTheme="majorHAnsi" w:cstheme="majorHAnsi"/>
          <w:sz w:val="20"/>
        </w:rPr>
        <w:t>Hoci konzistencia všetkých vyšetrených vzoriek zemín bola z dôvodu dlhotrvajúceho bezzrážkového obdobia stanovená ako pevná, veľmi pevná až tvrdá, významnú časť roka bu-de mať zemina v hĺbkovom intervale 0,0 – 2,0 m konzistenciu tuhú, resp. tuhú až pevnú.</w:t>
      </w: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sz w:val="20"/>
        </w:rPr>
      </w:pP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sz w:val="20"/>
        </w:rPr>
      </w:pPr>
      <w:r w:rsidRPr="009F7606">
        <w:rPr>
          <w:rFonts w:asciiTheme="majorHAnsi" w:hAnsiTheme="majorHAnsi" w:cstheme="majorHAnsi"/>
          <w:sz w:val="20"/>
        </w:rPr>
        <w:t>S ohľadom na stanovený koeficient filtrácie sa predpokladá, že vplyv zrážok na konzistenciu zeminy sa prejaví do hĺbky 2,0 – 2,5 m pod povrchom terénu, ktorý vznikne po dokončení stavieb jednotlivých objektov – hlbšie je konzistencia zeminy trvalo pevná.</w:t>
      </w: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sz w:val="20"/>
        </w:rPr>
      </w:pP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sz w:val="20"/>
        </w:rPr>
      </w:pPr>
      <w:r w:rsidRPr="009F7606">
        <w:rPr>
          <w:rFonts w:asciiTheme="majorHAnsi" w:hAnsiTheme="majorHAnsi" w:cstheme="majorHAnsi"/>
          <w:sz w:val="20"/>
        </w:rPr>
        <w:t xml:space="preserve">Aby nedošlo k zmene konzistencie zeminy aj v hĺbke 2,0 m a hlbšie pod povrchom územia, je potrebné zrážkovú vodu zo striech vybudovaných objektov odviesť do bezpečnej vzdialenosti od vybudovaných objektov - minimálne 10 m od priľahlého okraja objektu v smere sklonu územia. </w:t>
      </w: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sz w:val="20"/>
        </w:rPr>
      </w:pPr>
      <w:r w:rsidRPr="009F7606">
        <w:rPr>
          <w:rFonts w:asciiTheme="majorHAnsi" w:hAnsiTheme="majorHAnsi" w:cstheme="majorHAnsi"/>
          <w:sz w:val="20"/>
        </w:rPr>
        <w:t>Infiltrovanie zrážkovej vody zo striech do horninového prostredia v blízkosti objektov je z uvedeného dôvodu vylúčené, a to aj s ohľadom na priepustnosť zeminy triedy F6.</w:t>
      </w: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sz w:val="20"/>
        </w:rPr>
      </w:pPr>
      <w:r w:rsidRPr="009F7606">
        <w:rPr>
          <w:rFonts w:asciiTheme="majorHAnsi" w:hAnsiTheme="majorHAnsi" w:cstheme="majorHAnsi"/>
          <w:bCs/>
          <w:sz w:val="20"/>
        </w:rPr>
        <w:lastRenderedPageBreak/>
        <w:t xml:space="preserve"> Pri statických výpočtoch pre zakladanie v zemine triedy F6 pevnej konzistencie so základovou škárou umiestnenou v hĺbke </w:t>
      </w:r>
      <w:r w:rsidRPr="009F7606">
        <w:rPr>
          <w:rFonts w:asciiTheme="majorHAnsi" w:hAnsiTheme="majorHAnsi" w:cstheme="majorHAnsi"/>
          <w:b/>
          <w:bCs/>
          <w:i/>
          <w:sz w:val="20"/>
        </w:rPr>
        <w:t>väčšej, než 2,5 m</w:t>
      </w:r>
      <w:r w:rsidRPr="009F7606">
        <w:rPr>
          <w:rFonts w:asciiTheme="majorHAnsi" w:hAnsiTheme="majorHAnsi" w:cstheme="majorHAnsi"/>
          <w:bCs/>
          <w:sz w:val="20"/>
        </w:rPr>
        <w:t xml:space="preserve"> pod povrchom terénu, ktorý vznikne po ukončení stavebných prác, sa odporúča použiť nasledujúce číselné charakteristiky</w:t>
      </w:r>
      <w:r w:rsidRPr="009F7606">
        <w:rPr>
          <w:rFonts w:asciiTheme="majorHAnsi" w:hAnsiTheme="majorHAnsi" w:cstheme="majorHAnsi"/>
          <w:sz w:val="20"/>
        </w:rPr>
        <w:t xml:space="preserve"> </w:t>
      </w:r>
      <w:r w:rsidRPr="009F7606">
        <w:rPr>
          <w:rFonts w:asciiTheme="majorHAnsi" w:hAnsiTheme="majorHAnsi" w:cstheme="majorHAnsi"/>
          <w:bCs/>
          <w:sz w:val="20"/>
        </w:rPr>
        <w:t>:</w:t>
      </w:r>
    </w:p>
    <w:p w:rsidR="009F7606" w:rsidRPr="009F7606" w:rsidRDefault="009F7606" w:rsidP="009F7606">
      <w:pPr>
        <w:spacing w:line="300" w:lineRule="auto"/>
        <w:jc w:val="both"/>
        <w:rPr>
          <w:rFonts w:asciiTheme="majorHAnsi" w:hAnsiTheme="majorHAnsi" w:cstheme="majorHAnsi"/>
          <w:b/>
          <w:sz w:val="20"/>
        </w:rPr>
      </w:pPr>
      <w:r w:rsidRPr="009F7606">
        <w:rPr>
          <w:rFonts w:asciiTheme="majorHAnsi" w:hAnsiTheme="majorHAnsi" w:cstheme="majorHAnsi"/>
          <w:sz w:val="20"/>
        </w:rPr>
        <w:t xml:space="preserve">    - výpočtová únosnosť</w:t>
      </w:r>
      <w:r w:rsidRPr="009F7606">
        <w:rPr>
          <w:rFonts w:asciiTheme="majorHAnsi" w:hAnsiTheme="majorHAnsi" w:cstheme="majorHAnsi"/>
          <w:b/>
          <w:sz w:val="20"/>
        </w:rPr>
        <w:t xml:space="preserve"> </w:t>
      </w:r>
      <w:r w:rsidRPr="009F7606">
        <w:rPr>
          <w:rFonts w:asciiTheme="majorHAnsi" w:hAnsiTheme="majorHAnsi" w:cstheme="majorHAnsi"/>
          <w:sz w:val="20"/>
        </w:rPr>
        <w:t xml:space="preserve">                                                           </w:t>
      </w:r>
      <w:r w:rsidRPr="009F7606">
        <w:rPr>
          <w:rFonts w:asciiTheme="majorHAnsi" w:hAnsiTheme="majorHAnsi" w:cstheme="majorHAnsi"/>
          <w:b/>
          <w:sz w:val="20"/>
        </w:rPr>
        <w:t xml:space="preserve"> R</w:t>
      </w:r>
      <w:r w:rsidRPr="009F7606">
        <w:rPr>
          <w:rFonts w:asciiTheme="majorHAnsi" w:hAnsiTheme="majorHAnsi" w:cstheme="majorHAnsi"/>
          <w:b/>
          <w:sz w:val="20"/>
          <w:vertAlign w:val="subscript"/>
        </w:rPr>
        <w:t xml:space="preserve">dt  </w:t>
      </w:r>
      <w:r w:rsidRPr="009F7606">
        <w:rPr>
          <w:rFonts w:asciiTheme="majorHAnsi" w:hAnsiTheme="majorHAnsi" w:cstheme="majorHAnsi"/>
          <w:b/>
          <w:sz w:val="20"/>
        </w:rPr>
        <w:t xml:space="preserve"> = 200 kPa</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 xml:space="preserve">      (pri hĺbke založenia do 1,5 m a šírke základu &lt; 3,0 m)</w:t>
      </w:r>
    </w:p>
    <w:p w:rsidR="009F7606" w:rsidRPr="009F7606" w:rsidRDefault="009F7606" w:rsidP="009F7606">
      <w:pPr>
        <w:spacing w:line="300" w:lineRule="auto"/>
        <w:jc w:val="both"/>
        <w:rPr>
          <w:rFonts w:asciiTheme="majorHAnsi" w:hAnsiTheme="majorHAnsi" w:cstheme="majorHAnsi"/>
          <w:b/>
          <w:bCs/>
          <w:sz w:val="20"/>
        </w:rPr>
      </w:pPr>
      <w:r w:rsidRPr="009F7606">
        <w:rPr>
          <w:rFonts w:asciiTheme="majorHAnsi" w:hAnsiTheme="majorHAnsi" w:cstheme="majorHAnsi"/>
          <w:sz w:val="20"/>
        </w:rPr>
        <w:t xml:space="preserve">    - modul pretvárnosti                                                              </w:t>
      </w:r>
      <w:r w:rsidRPr="009F7606">
        <w:rPr>
          <w:rFonts w:asciiTheme="majorHAnsi" w:hAnsiTheme="majorHAnsi" w:cstheme="majorHAnsi"/>
          <w:b/>
          <w:sz w:val="20"/>
        </w:rPr>
        <w:t>E</w:t>
      </w:r>
      <w:r w:rsidRPr="009F7606">
        <w:rPr>
          <w:rFonts w:asciiTheme="majorHAnsi" w:hAnsiTheme="majorHAnsi" w:cstheme="majorHAnsi"/>
          <w:b/>
          <w:sz w:val="20"/>
          <w:vertAlign w:val="subscript"/>
        </w:rPr>
        <w:t xml:space="preserve">def  </w:t>
      </w:r>
      <w:r w:rsidRPr="009F7606">
        <w:rPr>
          <w:rFonts w:asciiTheme="majorHAnsi" w:hAnsiTheme="majorHAnsi" w:cstheme="majorHAnsi"/>
          <w:b/>
          <w:sz w:val="20"/>
        </w:rPr>
        <w:t>= 5 MPa</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 xml:space="preserve">    - Poissonovo číslo                                                                 </w:t>
      </w:r>
      <w:r w:rsidRPr="009F7606">
        <w:rPr>
          <w:rFonts w:asciiTheme="majorHAnsi" w:hAnsiTheme="majorHAnsi" w:cstheme="majorHAnsi"/>
          <w:sz w:val="20"/>
          <w:vertAlign w:val="superscript"/>
        </w:rPr>
        <w:t xml:space="preserve"> </w:t>
      </w:r>
      <w:r w:rsidRPr="009F7606">
        <w:rPr>
          <w:rFonts w:asciiTheme="majorHAnsi" w:hAnsiTheme="majorHAnsi" w:cstheme="majorHAnsi"/>
          <w:sz w:val="20"/>
        </w:rPr>
        <w:t xml:space="preserve">  </w:t>
      </w:r>
      <w:r w:rsidRPr="009F7606">
        <w:rPr>
          <w:rFonts w:asciiTheme="majorHAnsi" w:hAnsiTheme="majorHAnsi" w:cstheme="majorHAnsi"/>
          <w:b/>
          <w:sz w:val="20"/>
        </w:rPr>
        <w:t xml:space="preserve"> </w:t>
      </w:r>
      <w:r w:rsidRPr="009F7606">
        <w:rPr>
          <w:rFonts w:asciiTheme="majorHAnsi" w:hAnsiTheme="majorHAnsi" w:cstheme="majorHAnsi"/>
          <w:b/>
          <w:sz w:val="20"/>
        </w:rPr>
        <w:sym w:font="Symbol" w:char="F06E"/>
      </w:r>
      <w:r w:rsidRPr="009F7606">
        <w:rPr>
          <w:rFonts w:asciiTheme="majorHAnsi" w:hAnsiTheme="majorHAnsi" w:cstheme="majorHAnsi"/>
          <w:b/>
          <w:sz w:val="20"/>
        </w:rPr>
        <w:t xml:space="preserve">   = 0,40</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 xml:space="preserve">    - súčiniteľ pre prevod medzi modulom pretvárnosti                     </w:t>
      </w:r>
      <w:r w:rsidRPr="009F7606">
        <w:rPr>
          <w:rFonts w:asciiTheme="majorHAnsi" w:hAnsiTheme="majorHAnsi" w:cstheme="majorHAnsi"/>
          <w:b/>
          <w:sz w:val="20"/>
        </w:rPr>
        <w:sym w:font="Symbol" w:char="F062"/>
      </w:r>
      <w:r w:rsidRPr="009F7606">
        <w:rPr>
          <w:rFonts w:asciiTheme="majorHAnsi" w:hAnsiTheme="majorHAnsi" w:cstheme="majorHAnsi"/>
          <w:b/>
          <w:sz w:val="20"/>
        </w:rPr>
        <w:t xml:space="preserve">   = 0,47</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 xml:space="preserve">      a o edometrickým modulom    </w:t>
      </w:r>
    </w:p>
    <w:p w:rsidR="009F7606" w:rsidRPr="009F7606" w:rsidRDefault="009F7606" w:rsidP="009F7606">
      <w:pPr>
        <w:spacing w:line="300" w:lineRule="auto"/>
        <w:jc w:val="both"/>
        <w:rPr>
          <w:rFonts w:asciiTheme="majorHAnsi" w:hAnsiTheme="majorHAnsi" w:cstheme="majorHAnsi"/>
          <w:b/>
          <w:sz w:val="20"/>
        </w:rPr>
      </w:pPr>
      <w:r w:rsidRPr="009F7606">
        <w:rPr>
          <w:rFonts w:asciiTheme="majorHAnsi" w:hAnsiTheme="majorHAnsi" w:cstheme="majorHAnsi"/>
          <w:sz w:val="20"/>
        </w:rPr>
        <w:t xml:space="preserve">    - objemová  hmotnosť zeminy                                                   </w:t>
      </w:r>
      <w:r w:rsidRPr="009F7606">
        <w:rPr>
          <w:rFonts w:asciiTheme="majorHAnsi" w:hAnsiTheme="majorHAnsi" w:cstheme="majorHAnsi"/>
          <w:b/>
          <w:sz w:val="20"/>
        </w:rPr>
        <w:sym w:font="Symbol" w:char="F067"/>
      </w:r>
      <w:r w:rsidRPr="009F7606">
        <w:rPr>
          <w:rFonts w:asciiTheme="majorHAnsi" w:hAnsiTheme="majorHAnsi" w:cstheme="majorHAnsi"/>
          <w:b/>
          <w:sz w:val="20"/>
        </w:rPr>
        <w:t xml:space="preserve">   = 21,0 kN.m</w:t>
      </w:r>
      <w:r w:rsidRPr="009F7606">
        <w:rPr>
          <w:rFonts w:asciiTheme="majorHAnsi" w:hAnsiTheme="majorHAnsi" w:cstheme="majorHAnsi"/>
          <w:b/>
          <w:sz w:val="20"/>
          <w:vertAlign w:val="superscript"/>
        </w:rPr>
        <w:t>-3</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vertAlign w:val="superscript"/>
        </w:rPr>
        <w:t xml:space="preserve">    </w:t>
      </w:r>
      <w:r w:rsidRPr="009F7606">
        <w:rPr>
          <w:rFonts w:asciiTheme="majorHAnsi" w:hAnsiTheme="majorHAnsi" w:cstheme="majorHAnsi"/>
          <w:sz w:val="20"/>
        </w:rPr>
        <w:t xml:space="preserve"> </w:t>
      </w:r>
      <w:r w:rsidRPr="009F7606">
        <w:rPr>
          <w:rFonts w:asciiTheme="majorHAnsi" w:hAnsiTheme="majorHAnsi" w:cstheme="majorHAnsi"/>
          <w:sz w:val="20"/>
          <w:vertAlign w:val="superscript"/>
        </w:rPr>
        <w:t xml:space="preserve"> </w:t>
      </w:r>
      <w:r w:rsidRPr="009F7606">
        <w:rPr>
          <w:rFonts w:asciiTheme="majorHAnsi" w:hAnsiTheme="majorHAnsi" w:cstheme="majorHAnsi"/>
          <w:sz w:val="20"/>
        </w:rPr>
        <w:t xml:space="preserve">- efektívny uhol vnútorného trenia                                            </w:t>
      </w:r>
      <w:r w:rsidRPr="009F7606">
        <w:rPr>
          <w:rFonts w:asciiTheme="majorHAnsi" w:hAnsiTheme="majorHAnsi" w:cstheme="majorHAnsi"/>
          <w:b/>
          <w:sz w:val="20"/>
        </w:rPr>
        <w:sym w:font="Symbol" w:char="F06A"/>
      </w:r>
      <w:r w:rsidRPr="009F7606">
        <w:rPr>
          <w:rFonts w:asciiTheme="majorHAnsi" w:hAnsiTheme="majorHAnsi" w:cstheme="majorHAnsi"/>
          <w:b/>
          <w:sz w:val="20"/>
          <w:vertAlign w:val="subscript"/>
        </w:rPr>
        <w:t xml:space="preserve">ef </w:t>
      </w:r>
      <w:r w:rsidRPr="009F7606">
        <w:rPr>
          <w:rFonts w:asciiTheme="majorHAnsi" w:hAnsiTheme="majorHAnsi" w:cstheme="majorHAnsi"/>
          <w:b/>
          <w:sz w:val="20"/>
        </w:rPr>
        <w:t>= 19°</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 xml:space="preserve">    - efektívna súdržnosť                                                               </w:t>
      </w:r>
      <w:r w:rsidRPr="009F7606">
        <w:rPr>
          <w:rFonts w:asciiTheme="majorHAnsi" w:hAnsiTheme="majorHAnsi" w:cstheme="majorHAnsi"/>
          <w:b/>
          <w:sz w:val="20"/>
        </w:rPr>
        <w:t>c</w:t>
      </w:r>
      <w:r w:rsidRPr="009F7606">
        <w:rPr>
          <w:rFonts w:asciiTheme="majorHAnsi" w:hAnsiTheme="majorHAnsi" w:cstheme="majorHAnsi"/>
          <w:b/>
          <w:sz w:val="20"/>
          <w:vertAlign w:val="subscript"/>
        </w:rPr>
        <w:t xml:space="preserve">ef </w:t>
      </w:r>
      <w:r w:rsidRPr="009F7606">
        <w:rPr>
          <w:rFonts w:asciiTheme="majorHAnsi" w:hAnsiTheme="majorHAnsi" w:cstheme="majorHAnsi"/>
          <w:b/>
          <w:sz w:val="20"/>
        </w:rPr>
        <w:t>= 12 kPa</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 xml:space="preserve">    - totálna súdržnosť                                                                   </w:t>
      </w:r>
      <w:r w:rsidRPr="009F7606">
        <w:rPr>
          <w:rFonts w:asciiTheme="majorHAnsi" w:hAnsiTheme="majorHAnsi" w:cstheme="majorHAnsi"/>
          <w:b/>
          <w:sz w:val="20"/>
        </w:rPr>
        <w:t>c</w:t>
      </w:r>
      <w:r w:rsidRPr="009F7606">
        <w:rPr>
          <w:rFonts w:asciiTheme="majorHAnsi" w:hAnsiTheme="majorHAnsi" w:cstheme="majorHAnsi"/>
          <w:b/>
          <w:sz w:val="20"/>
          <w:vertAlign w:val="subscript"/>
        </w:rPr>
        <w:t>u</w:t>
      </w:r>
      <w:r w:rsidRPr="009F7606">
        <w:rPr>
          <w:rFonts w:asciiTheme="majorHAnsi" w:hAnsiTheme="majorHAnsi" w:cstheme="majorHAnsi"/>
          <w:b/>
          <w:sz w:val="20"/>
        </w:rPr>
        <w:t xml:space="preserve"> = 60 kPa</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rPr>
        <w:t xml:space="preserve">    - totálny uhol vnútorného trenia                                                </w:t>
      </w:r>
      <w:r w:rsidRPr="009F7606">
        <w:rPr>
          <w:rFonts w:asciiTheme="majorHAnsi" w:hAnsiTheme="majorHAnsi" w:cstheme="majorHAnsi"/>
          <w:b/>
          <w:sz w:val="20"/>
        </w:rPr>
        <w:sym w:font="Symbol" w:char="F06A"/>
      </w:r>
      <w:r w:rsidRPr="009F7606">
        <w:rPr>
          <w:rFonts w:asciiTheme="majorHAnsi" w:hAnsiTheme="majorHAnsi" w:cstheme="majorHAnsi"/>
          <w:b/>
          <w:sz w:val="20"/>
          <w:vertAlign w:val="subscript"/>
        </w:rPr>
        <w:t>u</w:t>
      </w:r>
      <w:r w:rsidRPr="009F7606">
        <w:rPr>
          <w:rFonts w:asciiTheme="majorHAnsi" w:hAnsiTheme="majorHAnsi" w:cstheme="majorHAnsi"/>
          <w:b/>
          <w:sz w:val="20"/>
        </w:rPr>
        <w:t xml:space="preserve"> = 0°</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rPr>
        <w:t>Keďže základová škára základovej konštrukcie sa bude nachádzať v hĺbke väčšej, než 1,5m pod povrchom terénu, je možné pri statických výpočtoch zvýšiť hodnotu únosnosti R</w:t>
      </w:r>
      <w:r w:rsidRPr="009F7606">
        <w:rPr>
          <w:rFonts w:asciiTheme="majorHAnsi" w:hAnsiTheme="majorHAnsi" w:cstheme="majorHAnsi"/>
          <w:sz w:val="20"/>
          <w:vertAlign w:val="subscript"/>
        </w:rPr>
        <w:t>dt</w:t>
      </w:r>
      <w:r w:rsidRPr="009F7606">
        <w:rPr>
          <w:rFonts w:asciiTheme="majorHAnsi" w:hAnsiTheme="majorHAnsi" w:cstheme="majorHAnsi"/>
          <w:sz w:val="20"/>
        </w:rPr>
        <w:t xml:space="preserve"> o 1,0-násobok efektívneho napätia od tiaže zeminy, ktorá sa bude nachádzať medzi základovou škárou a hĺbkou 1,5 m (t.j. hĺbka umiestnenia základovej škáry mínus 1,5 m) – STN 73 1001, príloha 6, poznámka č. 1.</w:t>
      </w:r>
    </w:p>
    <w:p w:rsidR="009F7606" w:rsidRPr="009F7606" w:rsidRDefault="009F7606" w:rsidP="009F7606">
      <w:pPr>
        <w:spacing w:line="300" w:lineRule="auto"/>
        <w:ind w:firstLine="720"/>
        <w:jc w:val="both"/>
        <w:rPr>
          <w:rFonts w:asciiTheme="majorHAnsi" w:hAnsiTheme="majorHAnsi" w:cstheme="majorHAnsi"/>
          <w:sz w:val="20"/>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rPr>
        <w:t xml:space="preserve">Pri statických výpočtoch pre základové konštrukcie so základovou škárou umiestnenou do hĺbky 2,5 m pod povrch terénu, ktorý vznikne po ukončení stavebných prác sa odporúča použiť hodnotu </w:t>
      </w:r>
      <w:r w:rsidRPr="009F7606">
        <w:rPr>
          <w:rFonts w:asciiTheme="majorHAnsi" w:hAnsiTheme="majorHAnsi" w:cstheme="majorHAnsi"/>
          <w:b/>
          <w:i/>
          <w:sz w:val="20"/>
        </w:rPr>
        <w:t>výpočtovej únosnosti R</w:t>
      </w:r>
      <w:r w:rsidRPr="009F7606">
        <w:rPr>
          <w:rFonts w:asciiTheme="majorHAnsi" w:hAnsiTheme="majorHAnsi" w:cstheme="majorHAnsi"/>
          <w:b/>
          <w:i/>
          <w:sz w:val="20"/>
          <w:vertAlign w:val="subscript"/>
        </w:rPr>
        <w:t xml:space="preserve">dt </w:t>
      </w:r>
      <w:r w:rsidRPr="009F7606">
        <w:rPr>
          <w:rFonts w:asciiTheme="majorHAnsi" w:hAnsiTheme="majorHAnsi" w:cstheme="majorHAnsi"/>
          <w:b/>
          <w:i/>
          <w:sz w:val="20"/>
        </w:rPr>
        <w:t>= 130 kPa.</w:t>
      </w:r>
    </w:p>
    <w:p w:rsidR="009F7606" w:rsidRPr="009F7606" w:rsidRDefault="009F7606" w:rsidP="009F7606">
      <w:pPr>
        <w:spacing w:line="300" w:lineRule="auto"/>
        <w:ind w:firstLine="720"/>
        <w:jc w:val="both"/>
        <w:rPr>
          <w:rFonts w:asciiTheme="majorHAnsi" w:hAnsiTheme="majorHAnsi" w:cstheme="majorHAnsi"/>
          <w:sz w:val="20"/>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rPr>
        <w:t xml:space="preserve">Minimálna hĺbka umiestnenia základovej škáry s ohľadom na maximálnu hĺbku premŕzania pôdy sa stanovuje na </w:t>
      </w:r>
      <w:r w:rsidRPr="009F7606">
        <w:rPr>
          <w:rFonts w:asciiTheme="majorHAnsi" w:hAnsiTheme="majorHAnsi" w:cstheme="majorHAnsi"/>
          <w:b/>
          <w:i/>
          <w:sz w:val="20"/>
        </w:rPr>
        <w:t>0,9 m</w:t>
      </w:r>
      <w:r w:rsidRPr="009F7606">
        <w:rPr>
          <w:rFonts w:asciiTheme="majorHAnsi" w:hAnsiTheme="majorHAnsi" w:cstheme="majorHAnsi"/>
          <w:sz w:val="20"/>
        </w:rPr>
        <w:t xml:space="preserve"> pod úroveň povrchu terénu, ktorý vznikne po ukončení stavebných prác.</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p>
    <w:p w:rsidR="009F7606" w:rsidRPr="009F7606" w:rsidRDefault="009F7606" w:rsidP="009F7606">
      <w:pPr>
        <w:pStyle w:val="Nadpis1"/>
        <w:tabs>
          <w:tab w:val="clear" w:pos="0"/>
        </w:tabs>
        <w:spacing w:line="300" w:lineRule="auto"/>
        <w:rPr>
          <w:b w:val="0"/>
          <w:sz w:val="20"/>
        </w:rPr>
      </w:pPr>
      <w:bookmarkStart w:id="5" w:name="_Toc439247985"/>
      <w:r w:rsidRPr="009F7606">
        <w:rPr>
          <w:rFonts w:eastAsia="Arial"/>
          <w:b w:val="0"/>
          <w:bCs w:val="0"/>
          <w:sz w:val="20"/>
        </w:rPr>
        <w:t>Popis jestvujúceho stavu</w:t>
      </w:r>
      <w:bookmarkEnd w:id="5"/>
      <w:r w:rsidRPr="009F7606">
        <w:rPr>
          <w:rStyle w:val="Predvolenpsmoodseku1"/>
          <w:b w:val="0"/>
          <w:sz w:val="20"/>
        </w:rPr>
        <w:t>:</w:t>
      </w:r>
    </w:p>
    <w:p w:rsidR="009F7606" w:rsidRPr="009F7606" w:rsidRDefault="009F7606" w:rsidP="009F7606">
      <w:pPr>
        <w:spacing w:line="300" w:lineRule="auto"/>
        <w:jc w:val="both"/>
        <w:rPr>
          <w:rFonts w:asciiTheme="majorHAnsi" w:hAnsiTheme="majorHAnsi" w:cstheme="majorHAnsi"/>
          <w:sz w:val="20"/>
        </w:rPr>
      </w:pPr>
      <w:r w:rsidRPr="009F7606">
        <w:rPr>
          <w:rStyle w:val="Predvolenpsmoodseku1"/>
          <w:rFonts w:asciiTheme="majorHAnsi" w:hAnsiTheme="majorHAnsi" w:cstheme="majorHAnsi"/>
          <w:b/>
          <w:sz w:val="20"/>
        </w:rPr>
        <w:tab/>
      </w:r>
    </w:p>
    <w:p w:rsidR="009F7606" w:rsidRPr="009F7606" w:rsidRDefault="009F7606" w:rsidP="009F7606">
      <w:pPr>
        <w:spacing w:line="300" w:lineRule="auto"/>
        <w:ind w:firstLine="708"/>
        <w:jc w:val="both"/>
        <w:rPr>
          <w:rStyle w:val="Predvolenpsmoodseku1"/>
          <w:rFonts w:asciiTheme="majorHAnsi" w:hAnsiTheme="majorHAnsi" w:cstheme="majorHAnsi"/>
          <w:color w:val="000000"/>
          <w:sz w:val="20"/>
        </w:rPr>
      </w:pPr>
      <w:r w:rsidRPr="009F7606">
        <w:rPr>
          <w:rStyle w:val="Predvolenpsmoodseku1"/>
          <w:rFonts w:asciiTheme="majorHAnsi" w:hAnsiTheme="majorHAnsi" w:cstheme="majorHAnsi"/>
          <w:color w:val="000000"/>
          <w:sz w:val="20"/>
        </w:rPr>
        <w:t xml:space="preserve">Jestvujúci objekt, ktorý sa nachádza na pozemku je navrhnutá asanácia, odstráni sa komplet celá konštrukcia. Objekt SO 04 – jestvujúca pivnica zostáva zachovaná, len sa spravia patričné úpravy, ktoré vzniknú pri stavbe okolitých objektov resp. pri ich vzájomnom prepojený. </w:t>
      </w: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r w:rsidRPr="009F7606">
        <w:rPr>
          <w:rFonts w:asciiTheme="majorHAnsi" w:hAnsiTheme="majorHAnsi" w:cstheme="majorHAnsi"/>
          <w:noProof/>
          <w:sz w:val="20"/>
        </w:rPr>
        <w:drawing>
          <wp:anchor distT="0" distB="0" distL="114300" distR="114300" simplePos="0" relativeHeight="251685888" behindDoc="1" locked="0" layoutInCell="1" allowOverlap="1">
            <wp:simplePos x="0" y="0"/>
            <wp:positionH relativeFrom="margin">
              <wp:align>center</wp:align>
            </wp:positionH>
            <wp:positionV relativeFrom="paragraph">
              <wp:posOffset>1270</wp:posOffset>
            </wp:positionV>
            <wp:extent cx="5295265" cy="5071745"/>
            <wp:effectExtent l="0" t="0" r="635" b="0"/>
            <wp:wrapNone/>
            <wp:docPr id="13" name="Obrázok 13" descr="zjzj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jzjz"/>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95265" cy="5071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pStyle w:val="Nadpis1"/>
        <w:tabs>
          <w:tab w:val="clear" w:pos="0"/>
        </w:tabs>
        <w:spacing w:line="300" w:lineRule="auto"/>
        <w:rPr>
          <w:sz w:val="20"/>
          <w:lang w:eastAsia="zh-CN"/>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rPr>
      </w:pPr>
      <w:r w:rsidRPr="009F7606">
        <w:rPr>
          <w:rFonts w:asciiTheme="majorHAnsi" w:hAnsiTheme="majorHAnsi" w:cstheme="majorHAnsi"/>
          <w:sz w:val="20"/>
          <w:lang w:eastAsia="cs-CZ"/>
        </w:rPr>
        <w:t xml:space="preserve">Obrázok č.3: Umiestnenie objektov </w:t>
      </w:r>
      <w:r w:rsidRPr="009F7606">
        <w:rPr>
          <w:rFonts w:asciiTheme="majorHAnsi" w:hAnsiTheme="majorHAnsi" w:cstheme="majorHAnsi"/>
          <w:color w:val="000000"/>
          <w:sz w:val="20"/>
        </w:rPr>
        <w:t>– súčasný stav</w:t>
      </w:r>
    </w:p>
    <w:p w:rsidR="009F7606" w:rsidRPr="009F7606" w:rsidRDefault="009F7606" w:rsidP="009F7606">
      <w:pPr>
        <w:pStyle w:val="Zkladntext"/>
        <w:spacing w:line="300" w:lineRule="auto"/>
        <w:rPr>
          <w:rFonts w:asciiTheme="majorHAnsi" w:hAnsiTheme="majorHAnsi" w:cstheme="majorHAnsi"/>
        </w:rPr>
      </w:pPr>
    </w:p>
    <w:p w:rsidR="009F7606" w:rsidRPr="009F7606" w:rsidRDefault="009F7606" w:rsidP="009F7606">
      <w:pPr>
        <w:pStyle w:val="Nadpis1"/>
        <w:tabs>
          <w:tab w:val="clear" w:pos="0"/>
        </w:tabs>
        <w:spacing w:line="300" w:lineRule="auto"/>
        <w:rPr>
          <w:sz w:val="20"/>
          <w:u w:val="single"/>
        </w:rPr>
      </w:pPr>
      <w:r w:rsidRPr="009F7606">
        <w:rPr>
          <w:rStyle w:val="Predvolenpsmoodseku1"/>
          <w:b w:val="0"/>
          <w:sz w:val="20"/>
          <w:u w:val="single"/>
        </w:rPr>
        <w:t>Navrhovaný stav :</w:t>
      </w:r>
    </w:p>
    <w:p w:rsidR="009F7606" w:rsidRPr="009F7606" w:rsidRDefault="009F7606" w:rsidP="009F7606">
      <w:pPr>
        <w:spacing w:line="300" w:lineRule="auto"/>
        <w:jc w:val="both"/>
        <w:rPr>
          <w:rFonts w:asciiTheme="majorHAnsi" w:hAnsiTheme="majorHAnsi" w:cstheme="majorHAnsi"/>
          <w:b/>
          <w:sz w:val="20"/>
        </w:rPr>
      </w:pPr>
    </w:p>
    <w:p w:rsidR="009F7606" w:rsidRPr="009F7606" w:rsidRDefault="009F7606" w:rsidP="009F7606">
      <w:pPr>
        <w:spacing w:line="300" w:lineRule="auto"/>
        <w:jc w:val="both"/>
        <w:rPr>
          <w:rFonts w:asciiTheme="majorHAnsi" w:hAnsiTheme="majorHAnsi" w:cstheme="majorHAnsi"/>
          <w:b/>
          <w:sz w:val="20"/>
        </w:rPr>
      </w:pPr>
      <w:r w:rsidRPr="009F7606">
        <w:rPr>
          <w:rStyle w:val="Predvolenpsmoodseku1"/>
          <w:rFonts w:asciiTheme="majorHAnsi" w:hAnsiTheme="majorHAnsi" w:cstheme="majorHAnsi"/>
          <w:b/>
          <w:sz w:val="20"/>
        </w:rPr>
        <w:t>Existujúce konštrukcie :</w:t>
      </w:r>
    </w:p>
    <w:p w:rsidR="009F7606" w:rsidRPr="009F7606" w:rsidRDefault="009F7606" w:rsidP="009F7606">
      <w:pPr>
        <w:spacing w:line="300" w:lineRule="auto"/>
        <w:jc w:val="both"/>
        <w:rPr>
          <w:rFonts w:asciiTheme="majorHAnsi" w:hAnsiTheme="majorHAnsi" w:cstheme="majorHAnsi"/>
          <w:b/>
          <w:sz w:val="20"/>
        </w:rPr>
      </w:pPr>
    </w:p>
    <w:p w:rsidR="009F7606" w:rsidRPr="009F7606" w:rsidRDefault="009F7606" w:rsidP="009F7606">
      <w:pPr>
        <w:autoSpaceDE w:val="0"/>
        <w:autoSpaceDN w:val="0"/>
        <w:adjustRightInd w:val="0"/>
        <w:spacing w:line="300" w:lineRule="auto"/>
        <w:jc w:val="both"/>
        <w:rPr>
          <w:rFonts w:asciiTheme="majorHAnsi" w:hAnsiTheme="majorHAnsi" w:cstheme="majorHAnsi"/>
          <w:b/>
          <w:color w:val="000000"/>
          <w:sz w:val="20"/>
        </w:rPr>
      </w:pPr>
      <w:r w:rsidRPr="009F7606">
        <w:rPr>
          <w:rFonts w:asciiTheme="majorHAnsi" w:hAnsiTheme="majorHAnsi" w:cstheme="majorHAnsi"/>
          <w:b/>
          <w:bCs/>
          <w:sz w:val="20"/>
        </w:rPr>
        <w:t xml:space="preserve">Objekt </w:t>
      </w:r>
      <w:r w:rsidRPr="009F7606">
        <w:rPr>
          <w:rFonts w:asciiTheme="majorHAnsi" w:hAnsiTheme="majorHAnsi" w:cstheme="majorHAnsi"/>
          <w:b/>
          <w:color w:val="000000"/>
          <w:sz w:val="20"/>
        </w:rPr>
        <w:t xml:space="preserve">SO-04 : JESTVUJÚCA PIVNICA </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color w:val="000000"/>
          <w:sz w:val="20"/>
        </w:rPr>
      </w:pPr>
      <w:r w:rsidRPr="009F7606">
        <w:rPr>
          <w:rFonts w:asciiTheme="majorHAnsi" w:hAnsiTheme="majorHAnsi" w:cstheme="majorHAnsi"/>
          <w:sz w:val="20"/>
        </w:rPr>
        <w:t xml:space="preserve">Jestvujúci objekt </w:t>
      </w:r>
      <w:r w:rsidRPr="009F7606">
        <w:rPr>
          <w:rStyle w:val="Predvolenpsmoodseku1"/>
          <w:rFonts w:asciiTheme="majorHAnsi" w:hAnsiTheme="majorHAnsi" w:cstheme="majorHAnsi"/>
          <w:color w:val="000000"/>
          <w:sz w:val="20"/>
        </w:rPr>
        <w:t xml:space="preserve">SO04 zostáva zachovaný, pri kontakte  s objektom SO 02 sa vytvorí stavebný otvor. Počas realizácie je nevyhnutné po odkopaní pivnice zrealizovať jej prieskum. Pre realizáciou otvoru a odkopaním zásypu klenby sa jej konštrukcia podoprie drevenou podpernou konštrukciou. Po jej aktivizovaní, sa zrealizuje odkop pivnice a zrealizuje sa rozobratie klenby vo vybranej potrebnej časti. Po realizácii železobetónového spojovacieho krčku, ktorý vytvorí novú oporu pre klenbu sa klenba spätne vymuruje. Pred odstránením podpernej konštrukcie sa zhodnotí skutkový stav  celej klenby a v prípade potreby sa navrhnú sanačné opatrenia. </w:t>
      </w:r>
      <w:r w:rsidRPr="009F7606">
        <w:rPr>
          <w:rStyle w:val="Predvolenpsmoodseku1"/>
          <w:rFonts w:asciiTheme="majorHAnsi" w:hAnsiTheme="majorHAnsi" w:cstheme="majorHAnsi"/>
          <w:b/>
          <w:color w:val="000000"/>
          <w:sz w:val="20"/>
          <w:u w:val="single"/>
        </w:rPr>
        <w:t xml:space="preserve">Ak sa zvyšná časť pivnice  nebude stabilizovať tak </w:t>
      </w:r>
      <w:r w:rsidRPr="009F7606">
        <w:rPr>
          <w:rFonts w:asciiTheme="majorHAnsi" w:hAnsiTheme="majorHAnsi" w:cstheme="majorHAnsi"/>
          <w:b/>
          <w:bCs/>
          <w:sz w:val="20"/>
          <w:u w:val="single"/>
        </w:rPr>
        <w:t>materiál pre výstavbu, ako aj materiál z výkopov, nehromadiť na jednom mieste resp. nezaťažovať stropy pivnice, aby nedošlo k preťaženiu stropu!</w:t>
      </w:r>
      <w:r w:rsidRPr="009F7606">
        <w:rPr>
          <w:rFonts w:asciiTheme="majorHAnsi" w:hAnsiTheme="majorHAnsi" w:cstheme="majorHAnsi"/>
          <w:bCs/>
          <w:sz w:val="20"/>
        </w:rPr>
        <w:t xml:space="preserve"> Jednotlivé postupy </w:t>
      </w:r>
      <w:r w:rsidRPr="009F7606">
        <w:rPr>
          <w:rFonts w:asciiTheme="majorHAnsi" w:hAnsiTheme="majorHAnsi" w:cstheme="majorHAnsi"/>
          <w:bCs/>
          <w:sz w:val="20"/>
        </w:rPr>
        <w:lastRenderedPageBreak/>
        <w:t xml:space="preserve">stabilizácie sa navrhnú počas realizácie, </w:t>
      </w:r>
      <w:r w:rsidRPr="009F7606">
        <w:rPr>
          <w:rFonts w:asciiTheme="majorHAnsi" w:hAnsiTheme="majorHAnsi" w:cstheme="majorHAnsi"/>
          <w:color w:val="000000"/>
          <w:sz w:val="20"/>
        </w:rPr>
        <w:t xml:space="preserve">technologický postup realizácie predloží zhotoviteľ stavebnému dozoru na odsúhlasenie. </w:t>
      </w: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color w:val="000000"/>
          <w:sz w:val="20"/>
        </w:rPr>
      </w:pP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color w:val="000000"/>
          <w:sz w:val="20"/>
        </w:rPr>
      </w:pPr>
      <w:r w:rsidRPr="009F7606">
        <w:rPr>
          <w:rFonts w:asciiTheme="majorHAnsi" w:hAnsiTheme="majorHAnsi" w:cstheme="majorHAnsi"/>
          <w:color w:val="000000"/>
          <w:sz w:val="20"/>
        </w:rPr>
        <w:t xml:space="preserve">Pri kontakte pivnice z objektom SO 01 sa objekty vzájomne prepoja jestvujúcim schodiskom. Jestvujúce schodisko v mieste prepojenia sa bude musieť z časti rozobrať a z časti zastabilizovať v čase realizácie. Základy v objekte SO 01   v mieste jestvujúceho schodiska umiestniť do rovnakej úrovne tak aby sa základy nepodkopávali. </w:t>
      </w:r>
      <w:r w:rsidRPr="009F7606">
        <w:rPr>
          <w:rFonts w:asciiTheme="majorHAnsi" w:hAnsiTheme="majorHAnsi" w:cstheme="majorHAnsi"/>
          <w:bCs/>
          <w:sz w:val="20"/>
        </w:rPr>
        <w:t xml:space="preserve">Výškové usporiadanie základov v mieste napojenia je navrhnuté vo výkrese tvaru, </w:t>
      </w:r>
      <w:r w:rsidRPr="009F7606">
        <w:rPr>
          <w:rFonts w:asciiTheme="majorHAnsi" w:hAnsiTheme="majorHAnsi" w:cstheme="majorHAnsi"/>
          <w:color w:val="000000"/>
          <w:sz w:val="20"/>
        </w:rPr>
        <w:t>technologický postup realizácie predloží zhotoviteľ stavebnému dozoru na odsúhlasenie.</w:t>
      </w:r>
    </w:p>
    <w:p w:rsidR="009F7606" w:rsidRPr="009F7606" w:rsidRDefault="009F7606" w:rsidP="009F7606">
      <w:pPr>
        <w:tabs>
          <w:tab w:val="left" w:pos="0"/>
        </w:tabs>
        <w:spacing w:line="300" w:lineRule="auto"/>
        <w:ind w:firstLine="720"/>
        <w:jc w:val="both"/>
        <w:rPr>
          <w:rFonts w:asciiTheme="majorHAnsi" w:hAnsiTheme="majorHAnsi" w:cstheme="majorHAnsi"/>
          <w:b/>
          <w:bCs/>
          <w:sz w:val="20"/>
        </w:rPr>
      </w:pPr>
    </w:p>
    <w:p w:rsidR="009F7606" w:rsidRPr="009F7606" w:rsidRDefault="009F7606" w:rsidP="009F7606">
      <w:pPr>
        <w:tabs>
          <w:tab w:val="left" w:pos="0"/>
        </w:tabs>
        <w:spacing w:line="300" w:lineRule="auto"/>
        <w:jc w:val="both"/>
        <w:rPr>
          <w:rFonts w:asciiTheme="majorHAnsi" w:hAnsiTheme="majorHAnsi" w:cstheme="majorHAnsi"/>
          <w:b/>
          <w:sz w:val="20"/>
        </w:rPr>
      </w:pPr>
      <w:r w:rsidRPr="009F7606">
        <w:rPr>
          <w:rStyle w:val="Predvolenpsmoodseku1"/>
          <w:rFonts w:asciiTheme="majorHAnsi" w:hAnsiTheme="majorHAnsi" w:cstheme="majorHAnsi"/>
          <w:b/>
          <w:color w:val="000000"/>
          <w:sz w:val="20"/>
          <w:lang w:eastAsia="cs-CZ"/>
        </w:rPr>
        <w:t>Nové konštrukcie :</w:t>
      </w:r>
    </w:p>
    <w:p w:rsidR="009F7606" w:rsidRPr="009F7606" w:rsidRDefault="009F7606" w:rsidP="009F7606">
      <w:pPr>
        <w:autoSpaceDE w:val="0"/>
        <w:autoSpaceDN w:val="0"/>
        <w:adjustRightInd w:val="0"/>
        <w:spacing w:line="300" w:lineRule="auto"/>
        <w:jc w:val="both"/>
        <w:rPr>
          <w:rFonts w:asciiTheme="majorHAnsi" w:hAnsiTheme="majorHAnsi" w:cstheme="majorHAnsi"/>
          <w:b/>
          <w:color w:val="000000"/>
          <w:sz w:val="20"/>
        </w:rPr>
      </w:pPr>
      <w:r w:rsidRPr="009F7606">
        <w:rPr>
          <w:rFonts w:asciiTheme="majorHAnsi" w:hAnsiTheme="majorHAnsi" w:cstheme="majorHAnsi"/>
          <w:b/>
          <w:bCs/>
          <w:sz w:val="20"/>
        </w:rPr>
        <w:t>Objekt</w:t>
      </w:r>
      <w:r w:rsidRPr="009F7606">
        <w:rPr>
          <w:rFonts w:asciiTheme="majorHAnsi" w:hAnsiTheme="majorHAnsi" w:cstheme="majorHAnsi"/>
          <w:b/>
          <w:color w:val="000000"/>
          <w:sz w:val="20"/>
        </w:rPr>
        <w:t xml:space="preserve"> SO-01: SHOWROOM S UBYTOVANÍM</w:t>
      </w: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b/>
          <w:color w:val="000000"/>
          <w:sz w:val="20"/>
        </w:rPr>
      </w:pPr>
      <w:r w:rsidRPr="009F7606">
        <w:rPr>
          <w:rFonts w:asciiTheme="majorHAnsi" w:hAnsiTheme="majorHAnsi" w:cstheme="majorHAnsi"/>
          <w:bCs/>
          <w:sz w:val="20"/>
        </w:rPr>
        <w:t>Objekt</w:t>
      </w:r>
      <w:r w:rsidRPr="009F7606">
        <w:rPr>
          <w:rFonts w:asciiTheme="majorHAnsi" w:hAnsiTheme="majorHAnsi" w:cstheme="majorHAnsi"/>
          <w:color w:val="000000"/>
          <w:sz w:val="20"/>
        </w:rPr>
        <w:t xml:space="preserve"> SO-01 -</w:t>
      </w:r>
      <w:r w:rsidRPr="009F7606">
        <w:rPr>
          <w:rFonts w:asciiTheme="majorHAnsi" w:hAnsiTheme="majorHAnsi" w:cstheme="majorHAnsi"/>
          <w:b/>
          <w:color w:val="000000"/>
          <w:sz w:val="20"/>
        </w:rPr>
        <w:t xml:space="preserve"> </w:t>
      </w:r>
      <w:r w:rsidRPr="009F7606">
        <w:rPr>
          <w:rFonts w:asciiTheme="majorHAnsi" w:hAnsiTheme="majorHAnsi" w:cstheme="majorHAnsi"/>
          <w:color w:val="000000"/>
          <w:sz w:val="20"/>
        </w:rPr>
        <w:t xml:space="preserve">SHOWROOM S UBYTOVANÍM – samonosní objekt, tvorení dvoma nadzemnými podlažiami, ktorý je na 1 NP prepojený z jestvujúcou pivnicou cez pivničné schodisko. </w:t>
      </w:r>
    </w:p>
    <w:p w:rsidR="009F7606" w:rsidRPr="009F7606" w:rsidRDefault="009F7606" w:rsidP="009F7606">
      <w:pPr>
        <w:spacing w:line="300" w:lineRule="auto"/>
        <w:ind w:firstLine="708"/>
        <w:jc w:val="both"/>
        <w:rPr>
          <w:rFonts w:asciiTheme="majorHAnsi" w:hAnsiTheme="majorHAnsi" w:cstheme="majorHAnsi"/>
          <w:sz w:val="20"/>
          <w:lang w:eastAsia="cs-CZ"/>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lang w:eastAsia="cs-CZ"/>
        </w:rPr>
        <w:tab/>
        <w:t xml:space="preserve">Nosný systém objektu pôdorysného obrysu max. rozmerov 13,35m x 7,30m bude tvorený obvodovými stenami (300mm) a vnútornými stenami (250mm) z  nosného muriva - POROTHERM. Steny pri schodisku do suterénu sú navrhnuté zo železobetónu s hrúbkou 150mm. </w:t>
      </w:r>
      <w:r w:rsidRPr="009F7606">
        <w:rPr>
          <w:rStyle w:val="Predvolenpsmoodseku4"/>
          <w:rFonts w:asciiTheme="majorHAnsi" w:hAnsiTheme="majorHAnsi" w:cstheme="majorHAnsi"/>
          <w:sz w:val="20"/>
          <w:lang w:eastAsia="cs-CZ"/>
        </w:rPr>
        <w:t xml:space="preserve">Všetky zvislé nosné konštrukcie sú ukončené stužujúcim železobetónovým vencom. Steny, okrem prenosu zvislých zložiek zaťažení, svojim usporiadaním zabezpečujú tiež vodorovnú tuhosť objektu. </w:t>
      </w:r>
    </w:p>
    <w:p w:rsidR="009F7606" w:rsidRPr="009F7606" w:rsidRDefault="009F7606" w:rsidP="009F7606">
      <w:pPr>
        <w:pStyle w:val="Nadpis1"/>
        <w:spacing w:line="300" w:lineRule="auto"/>
        <w:ind w:firstLine="720"/>
        <w:rPr>
          <w:sz w:val="20"/>
        </w:rPr>
      </w:pPr>
      <w:r w:rsidRPr="009F7606">
        <w:rPr>
          <w:rStyle w:val="Predvolenpsmoodseku5"/>
          <w:rFonts w:eastAsia="Arial Unicode MS"/>
          <w:sz w:val="20"/>
        </w:rPr>
        <w:t xml:space="preserve">Stropnú konštrukciu nad 1. NP tvorí železobetónová doska min. </w:t>
      </w:r>
      <w:r w:rsidRPr="009F7606">
        <w:rPr>
          <w:rStyle w:val="Predvolenpsmoodseku4"/>
          <w:sz w:val="20"/>
        </w:rPr>
        <w:t xml:space="preserve">hr.-200mm. Z 1.NP na 2.NP je navrhnuté monolitické železobetónové schodisko. </w:t>
      </w:r>
    </w:p>
    <w:p w:rsidR="009F7606" w:rsidRPr="009F7606" w:rsidRDefault="009F7606" w:rsidP="009F7606">
      <w:pPr>
        <w:spacing w:line="300" w:lineRule="auto"/>
        <w:ind w:firstLine="708"/>
        <w:jc w:val="both"/>
        <w:rPr>
          <w:rFonts w:asciiTheme="majorHAnsi" w:hAnsiTheme="majorHAnsi" w:cstheme="majorHAnsi"/>
          <w:sz w:val="20"/>
        </w:rPr>
      </w:pPr>
      <w:r w:rsidRPr="009F7606">
        <w:rPr>
          <w:rStyle w:val="Predvolenpsmoodseku2"/>
          <w:rFonts w:asciiTheme="majorHAnsi" w:eastAsia="Arial" w:hAnsiTheme="majorHAnsi" w:cstheme="majorHAnsi"/>
          <w:color w:val="000000"/>
          <w:sz w:val="20"/>
          <w:lang w:eastAsia="cs-CZ"/>
        </w:rPr>
        <w:t xml:space="preserve">Na 2.NP budú realizované nadmúrovky cca 500mm ukončené stužujúcimi železobetónovými vencami šírky 300mm a výšky 250mm, prechádzajúcimi aj do vnútorných nosných múrov a spojené v štítoch. Veniec je nutné prepojiť ŽB stĺpmi do ŽB dosky cca po 2500mm.  </w:t>
      </w:r>
    </w:p>
    <w:p w:rsidR="009F7606" w:rsidRPr="009F7606" w:rsidRDefault="009F7606" w:rsidP="009F7606">
      <w:pPr>
        <w:pStyle w:val="Zkladntext"/>
        <w:spacing w:line="300" w:lineRule="auto"/>
        <w:ind w:firstLine="720"/>
        <w:rPr>
          <w:rFonts w:asciiTheme="majorHAnsi" w:hAnsiTheme="majorHAnsi" w:cstheme="majorHAnsi"/>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r w:rsidRPr="009F7606">
        <w:rPr>
          <w:rStyle w:val="Predvolenpsmoodseku5"/>
          <w:rFonts w:asciiTheme="majorHAnsi" w:eastAsia="Arial Unicode MS" w:hAnsiTheme="majorHAnsi" w:cstheme="majorHAnsi"/>
          <w:sz w:val="20"/>
        </w:rPr>
        <w:t xml:space="preserve">Objekt bude zastrešený sedlovou strechou so sklonom strešných rovín 45°. Pri výpočte bolo uvažované so škridlovou krytinou. Podhľad strešnej konštrukcie tvorí sadrokartón v interiéri. Nosná konštrukcia je tvorená krokvami dimenzie 100/200 v rastri 800mm,  ktoré sú vo vrchole prepojené svorníkmi a uložené vo venci na kotviaci prípravok BOVA </w:t>
      </w:r>
      <w:r w:rsidRPr="009F7606">
        <w:rPr>
          <w:rFonts w:asciiTheme="majorHAnsi" w:hAnsiTheme="majorHAnsi" w:cstheme="majorHAnsi"/>
          <w:sz w:val="20"/>
          <w:shd w:val="clear" w:color="auto" w:fill="FFFFFF"/>
        </w:rPr>
        <w:t>(kotva krokvy BV / KK). Kotviace prvky pre uchytenie krokvy sa priamo zakotvia cez lepené kotvi do ŽB. venca. Krokvy sa v rovine strechy zavetria zavetrením z dosák a pomocou oceľových pások.</w:t>
      </w: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r w:rsidRPr="009F7606">
        <w:rPr>
          <w:rFonts w:asciiTheme="majorHAnsi" w:hAnsiTheme="majorHAnsi" w:cstheme="majorHAnsi"/>
          <w:noProof/>
          <w:sz w:val="20"/>
        </w:rPr>
        <w:drawing>
          <wp:anchor distT="0" distB="0" distL="114300" distR="114300" simplePos="0" relativeHeight="251681792" behindDoc="1" locked="0" layoutInCell="1" allowOverlap="1">
            <wp:simplePos x="0" y="0"/>
            <wp:positionH relativeFrom="margin">
              <wp:align>left</wp:align>
            </wp:positionH>
            <wp:positionV relativeFrom="paragraph">
              <wp:posOffset>10795</wp:posOffset>
            </wp:positionV>
            <wp:extent cx="5762625" cy="3551555"/>
            <wp:effectExtent l="0" t="0" r="9525" b="0"/>
            <wp:wrapNone/>
            <wp:docPr id="12" name="Obrázok 12" descr="krov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rov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2625" cy="3551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7606" w:rsidRPr="009F7606" w:rsidRDefault="009F7606" w:rsidP="009F7606">
      <w:pPr>
        <w:spacing w:line="300" w:lineRule="auto"/>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left="708" w:firstLine="708"/>
        <w:rPr>
          <w:rFonts w:asciiTheme="majorHAnsi" w:hAnsiTheme="majorHAnsi" w:cstheme="majorHAnsi"/>
          <w:sz w:val="20"/>
        </w:rPr>
      </w:pPr>
      <w:r w:rsidRPr="009F7606">
        <w:rPr>
          <w:rFonts w:asciiTheme="majorHAnsi" w:hAnsiTheme="majorHAnsi" w:cstheme="majorHAnsi"/>
          <w:sz w:val="20"/>
          <w:lang w:eastAsia="cs-CZ"/>
        </w:rPr>
        <w:t xml:space="preserve">Obrázok č.4: </w:t>
      </w:r>
      <w:r w:rsidRPr="009F7606">
        <w:rPr>
          <w:rFonts w:asciiTheme="majorHAnsi" w:hAnsiTheme="majorHAnsi" w:cstheme="majorHAnsi"/>
          <w:sz w:val="20"/>
        </w:rPr>
        <w:t>Axonometria výpočtového modelu krovu.</w:t>
      </w: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lang w:eastAsia="cs-CZ"/>
        </w:rPr>
        <w:lastRenderedPageBreak/>
        <w:t>Prievlaky a preklady budú riešené ako železobetónové, alternatívne typizované keramické, alebo z valcovaných oceľových profilov.</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pStyle w:val="Zkladntext"/>
        <w:spacing w:line="300" w:lineRule="auto"/>
        <w:ind w:firstLine="708"/>
        <w:rPr>
          <w:rFonts w:asciiTheme="majorHAnsi" w:hAnsiTheme="majorHAnsi" w:cstheme="majorHAnsi"/>
          <w:color w:val="FF0000"/>
          <w:lang w:eastAsia="cs-CZ"/>
        </w:rPr>
      </w:pPr>
      <w:r w:rsidRPr="009F7606">
        <w:rPr>
          <w:rFonts w:asciiTheme="majorHAnsi" w:hAnsiTheme="majorHAnsi" w:cstheme="majorHAnsi"/>
          <w:lang w:eastAsia="cs-CZ"/>
        </w:rPr>
        <w:t>Zakladanie objektu je navrhnuté plošné na základových pásoch zo slabo vystuženého betónu. Základové pásy sú navrhnuté do nezámrznej hĺbky, obdĺžnikového prierezu 600/</w:t>
      </w:r>
      <w:proofErr w:type="gramStart"/>
      <w:r w:rsidRPr="009F7606">
        <w:rPr>
          <w:rFonts w:asciiTheme="majorHAnsi" w:hAnsiTheme="majorHAnsi" w:cstheme="majorHAnsi"/>
          <w:lang w:eastAsia="cs-CZ"/>
        </w:rPr>
        <w:t>500mm</w:t>
      </w:r>
      <w:proofErr w:type="gramEnd"/>
      <w:r w:rsidRPr="009F7606">
        <w:rPr>
          <w:rFonts w:asciiTheme="majorHAnsi" w:hAnsiTheme="majorHAnsi" w:cstheme="majorHAnsi"/>
          <w:lang w:eastAsia="cs-CZ"/>
        </w:rPr>
        <w:t xml:space="preserve"> resp. 700/500 </w:t>
      </w:r>
      <w:r w:rsidRPr="009F7606">
        <w:rPr>
          <w:rStyle w:val="Predvolenpsmoodseku2"/>
          <w:rFonts w:asciiTheme="majorHAnsi" w:hAnsiTheme="majorHAnsi" w:cstheme="majorHAnsi"/>
          <w:lang w:eastAsia="cs-CZ"/>
        </w:rPr>
        <w:t>(š/v)</w:t>
      </w:r>
      <w:r w:rsidRPr="009F7606">
        <w:rPr>
          <w:rFonts w:asciiTheme="majorHAnsi" w:hAnsiTheme="majorHAnsi" w:cstheme="majorHAnsi"/>
          <w:lang w:eastAsia="cs-CZ"/>
        </w:rPr>
        <w:t>. Maximálne napätie v základovej škáre neprekročí 130 kPa</w:t>
      </w:r>
      <w:r w:rsidRPr="009F7606">
        <w:rPr>
          <w:rFonts w:asciiTheme="majorHAnsi" w:hAnsiTheme="majorHAnsi" w:cstheme="majorHAnsi"/>
          <w:color w:val="FF0000"/>
          <w:lang w:eastAsia="cs-CZ"/>
        </w:rPr>
        <w:t xml:space="preserve">. </w:t>
      </w:r>
      <w:r w:rsidRPr="009F7606">
        <w:rPr>
          <w:rFonts w:asciiTheme="majorHAnsi" w:hAnsiTheme="majorHAnsi" w:cstheme="majorHAnsi"/>
          <w:lang w:eastAsia="cs-CZ"/>
        </w:rPr>
        <w:t>Základy je nutné zakladať do triedy zeminy F6.</w:t>
      </w:r>
    </w:p>
    <w:p w:rsidR="009F7606" w:rsidRPr="009F7606" w:rsidRDefault="009F7606" w:rsidP="009F7606">
      <w:pPr>
        <w:spacing w:line="300" w:lineRule="auto"/>
        <w:jc w:val="both"/>
        <w:rPr>
          <w:rFonts w:asciiTheme="majorHAnsi" w:hAnsiTheme="majorHAnsi" w:cstheme="majorHAnsi"/>
          <w:b/>
          <w:bCs/>
          <w:sz w:val="20"/>
        </w:rPr>
      </w:pPr>
    </w:p>
    <w:p w:rsidR="009F7606" w:rsidRPr="009F7606" w:rsidRDefault="009F7606" w:rsidP="009F7606">
      <w:pPr>
        <w:spacing w:line="300" w:lineRule="auto"/>
        <w:jc w:val="both"/>
        <w:rPr>
          <w:rFonts w:asciiTheme="majorHAnsi" w:hAnsiTheme="majorHAnsi" w:cstheme="majorHAnsi"/>
          <w:b/>
          <w:sz w:val="20"/>
          <w:lang w:eastAsia="cs-CZ"/>
        </w:rPr>
      </w:pPr>
      <w:r w:rsidRPr="009F7606">
        <w:rPr>
          <w:rFonts w:asciiTheme="majorHAnsi" w:hAnsiTheme="majorHAnsi" w:cstheme="majorHAnsi"/>
          <w:b/>
          <w:bCs/>
          <w:sz w:val="20"/>
        </w:rPr>
        <w:t>Objekt</w:t>
      </w:r>
      <w:r w:rsidRPr="009F7606">
        <w:rPr>
          <w:rFonts w:asciiTheme="majorHAnsi" w:hAnsiTheme="majorHAnsi" w:cstheme="majorHAnsi"/>
          <w:b/>
          <w:color w:val="000000"/>
          <w:sz w:val="20"/>
        </w:rPr>
        <w:t xml:space="preserve"> SO-02: VINÁRSKA VÝROBA</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ind w:firstLine="720"/>
        <w:jc w:val="both"/>
        <w:rPr>
          <w:rStyle w:val="Predvolenpsmoodseku1"/>
          <w:rFonts w:asciiTheme="majorHAnsi" w:hAnsiTheme="majorHAnsi" w:cstheme="majorHAnsi"/>
          <w:color w:val="000000"/>
          <w:sz w:val="20"/>
        </w:rPr>
      </w:pPr>
      <w:r w:rsidRPr="009F7606">
        <w:rPr>
          <w:rFonts w:asciiTheme="majorHAnsi" w:hAnsiTheme="majorHAnsi" w:cstheme="majorHAnsi"/>
          <w:sz w:val="20"/>
        </w:rPr>
        <w:t xml:space="preserve">Objekt </w:t>
      </w:r>
      <w:r w:rsidRPr="009F7606">
        <w:rPr>
          <w:rFonts w:asciiTheme="majorHAnsi" w:hAnsiTheme="majorHAnsi" w:cstheme="majorHAnsi"/>
          <w:color w:val="000000"/>
          <w:sz w:val="20"/>
        </w:rPr>
        <w:t xml:space="preserve">SO-02 -  VINÁRSKA VÝROBA je zložená z dvoch samostatných častí, ktoré sú prepojené spojovacou chodbou. Objekty sú monoliticky prepojené spojovacím krčkom, tvorené dvoma nadzemnými podlažiami a jedným suterénom. Pri </w:t>
      </w:r>
      <w:r w:rsidRPr="009F7606">
        <w:rPr>
          <w:rStyle w:val="Predvolenpsmoodseku1"/>
          <w:rFonts w:asciiTheme="majorHAnsi" w:hAnsiTheme="majorHAnsi" w:cstheme="majorHAnsi"/>
          <w:color w:val="000000"/>
          <w:sz w:val="20"/>
        </w:rPr>
        <w:t xml:space="preserve"> kontakte  z objektom SO 04 sa vytvorí spojovací krčok.</w:t>
      </w:r>
    </w:p>
    <w:p w:rsidR="009F7606" w:rsidRPr="009F7606" w:rsidRDefault="009F7606" w:rsidP="009F7606">
      <w:pPr>
        <w:spacing w:line="300" w:lineRule="auto"/>
        <w:ind w:firstLine="720"/>
        <w:jc w:val="both"/>
        <w:rPr>
          <w:rStyle w:val="Predvolenpsmoodseku1"/>
          <w:rFonts w:asciiTheme="majorHAnsi" w:hAnsiTheme="majorHAnsi" w:cstheme="majorHAnsi"/>
          <w:color w:val="000000"/>
          <w:sz w:val="20"/>
        </w:rPr>
      </w:pPr>
    </w:p>
    <w:p w:rsidR="009F7606" w:rsidRPr="009F7606" w:rsidRDefault="009F7606" w:rsidP="009F7606">
      <w:pPr>
        <w:spacing w:line="300" w:lineRule="auto"/>
        <w:ind w:firstLine="720"/>
        <w:jc w:val="both"/>
        <w:rPr>
          <w:rStyle w:val="Predvolenpsmoodseku1"/>
          <w:rFonts w:asciiTheme="majorHAnsi" w:hAnsiTheme="majorHAnsi" w:cstheme="majorHAnsi"/>
          <w:color w:val="000000"/>
          <w:sz w:val="20"/>
        </w:rPr>
      </w:pPr>
      <w:r w:rsidRPr="009F7606">
        <w:rPr>
          <w:rFonts w:asciiTheme="majorHAnsi" w:hAnsiTheme="majorHAnsi" w:cstheme="majorHAnsi"/>
          <w:sz w:val="20"/>
        </w:rPr>
        <w:t xml:space="preserve">Objekt </w:t>
      </w:r>
      <w:r w:rsidRPr="009F7606">
        <w:rPr>
          <w:rFonts w:asciiTheme="majorHAnsi" w:hAnsiTheme="majorHAnsi" w:cstheme="majorHAnsi"/>
          <w:color w:val="000000"/>
          <w:sz w:val="20"/>
        </w:rPr>
        <w:t xml:space="preserve">SO-02 -  VINÁRSKA VÝROBA  je rozdelená na </w:t>
      </w:r>
      <w:r w:rsidRPr="009F7606">
        <w:rPr>
          <w:rStyle w:val="Predvolenpsmoodseku1"/>
          <w:rFonts w:asciiTheme="majorHAnsi" w:hAnsiTheme="majorHAnsi" w:cstheme="majorHAnsi"/>
          <w:b/>
          <w:color w:val="000000"/>
          <w:sz w:val="20"/>
        </w:rPr>
        <w:t>objekt A</w:t>
      </w:r>
      <w:r w:rsidRPr="009F7606">
        <w:rPr>
          <w:rStyle w:val="Predvolenpsmoodseku1"/>
          <w:rFonts w:asciiTheme="majorHAnsi" w:hAnsiTheme="majorHAnsi" w:cstheme="majorHAnsi"/>
          <w:color w:val="000000"/>
          <w:sz w:val="20"/>
        </w:rPr>
        <w:t xml:space="preserve"> – lisovňa / flaškovňa / sklad (bent. cuk.et.) a na </w:t>
      </w:r>
      <w:r w:rsidRPr="009F7606">
        <w:rPr>
          <w:rStyle w:val="Predvolenpsmoodseku1"/>
          <w:rFonts w:asciiTheme="majorHAnsi" w:hAnsiTheme="majorHAnsi" w:cstheme="majorHAnsi"/>
          <w:b/>
          <w:color w:val="000000"/>
          <w:sz w:val="20"/>
        </w:rPr>
        <w:t>objekt B</w:t>
      </w:r>
      <w:r w:rsidRPr="009F7606">
        <w:rPr>
          <w:rStyle w:val="Predvolenpsmoodseku1"/>
          <w:rFonts w:asciiTheme="majorHAnsi" w:hAnsiTheme="majorHAnsi" w:cstheme="majorHAnsi"/>
          <w:color w:val="000000"/>
          <w:sz w:val="20"/>
        </w:rPr>
        <w:t xml:space="preserve"> – labák/ denná miestnosť/ sklad fliaš vína. </w:t>
      </w:r>
    </w:p>
    <w:p w:rsidR="009F7606" w:rsidRPr="009F7606" w:rsidRDefault="009F7606" w:rsidP="009F7606">
      <w:pPr>
        <w:spacing w:line="300" w:lineRule="auto"/>
        <w:jc w:val="both"/>
        <w:rPr>
          <w:rStyle w:val="Predvolenpsmoodseku1"/>
          <w:rFonts w:asciiTheme="majorHAnsi" w:hAnsiTheme="majorHAnsi" w:cstheme="majorHAnsi"/>
          <w:b/>
          <w:color w:val="000000"/>
          <w:sz w:val="20"/>
        </w:rPr>
      </w:pPr>
    </w:p>
    <w:p w:rsidR="009F7606" w:rsidRPr="009F7606" w:rsidRDefault="009F7606" w:rsidP="009F7606">
      <w:pPr>
        <w:spacing w:line="300" w:lineRule="auto"/>
        <w:jc w:val="both"/>
        <w:rPr>
          <w:rFonts w:asciiTheme="majorHAnsi" w:hAnsiTheme="majorHAnsi" w:cstheme="majorHAnsi"/>
          <w:b/>
          <w:sz w:val="20"/>
          <w:lang w:eastAsia="cs-CZ"/>
        </w:rPr>
      </w:pPr>
      <w:r w:rsidRPr="009F7606">
        <w:rPr>
          <w:rFonts w:asciiTheme="majorHAnsi" w:hAnsiTheme="majorHAnsi" w:cstheme="majorHAnsi"/>
          <w:b/>
          <w:bCs/>
          <w:sz w:val="20"/>
        </w:rPr>
        <w:t>Objekt</w:t>
      </w:r>
      <w:r w:rsidRPr="009F7606">
        <w:rPr>
          <w:rFonts w:asciiTheme="majorHAnsi" w:hAnsiTheme="majorHAnsi" w:cstheme="majorHAnsi"/>
          <w:b/>
          <w:color w:val="000000"/>
          <w:sz w:val="20"/>
        </w:rPr>
        <w:t xml:space="preserve"> SO-02: VINÁRSKA VÝROBA – A </w:t>
      </w:r>
      <w:r w:rsidRPr="009F7606">
        <w:rPr>
          <w:rFonts w:asciiTheme="majorHAnsi" w:hAnsiTheme="majorHAnsi" w:cstheme="majorHAnsi"/>
          <w:sz w:val="20"/>
          <w:lang w:eastAsia="cs-CZ"/>
        </w:rPr>
        <w:t>(</w:t>
      </w:r>
      <w:r w:rsidRPr="009F7606">
        <w:rPr>
          <w:rStyle w:val="Predvolenpsmoodseku1"/>
          <w:rFonts w:asciiTheme="majorHAnsi" w:hAnsiTheme="majorHAnsi" w:cstheme="majorHAnsi"/>
          <w:color w:val="000000"/>
          <w:sz w:val="20"/>
        </w:rPr>
        <w:t>lisovňa)</w:t>
      </w:r>
    </w:p>
    <w:p w:rsidR="009F7606" w:rsidRPr="009F7606" w:rsidRDefault="009F7606" w:rsidP="009F7606">
      <w:pPr>
        <w:spacing w:line="300" w:lineRule="auto"/>
        <w:jc w:val="both"/>
        <w:rPr>
          <w:rStyle w:val="Predvolenpsmoodseku1"/>
          <w:rFonts w:asciiTheme="majorHAnsi" w:hAnsiTheme="majorHAnsi" w:cstheme="majorHAnsi"/>
          <w:color w:val="000000"/>
          <w:sz w:val="20"/>
        </w:rPr>
      </w:pPr>
    </w:p>
    <w:p w:rsidR="009F7606" w:rsidRPr="009F7606" w:rsidRDefault="009F7606" w:rsidP="009F7606">
      <w:pPr>
        <w:spacing w:line="300" w:lineRule="auto"/>
        <w:ind w:firstLine="720"/>
        <w:jc w:val="both"/>
        <w:rPr>
          <w:rStyle w:val="Predvolenpsmoodseku4"/>
          <w:rFonts w:asciiTheme="majorHAnsi" w:hAnsiTheme="majorHAnsi" w:cstheme="majorHAnsi"/>
          <w:sz w:val="20"/>
          <w:lang w:eastAsia="cs-CZ"/>
        </w:rPr>
      </w:pPr>
      <w:r w:rsidRPr="009F7606">
        <w:rPr>
          <w:rFonts w:asciiTheme="majorHAnsi" w:hAnsiTheme="majorHAnsi" w:cstheme="majorHAnsi"/>
          <w:sz w:val="20"/>
          <w:lang w:eastAsia="cs-CZ"/>
        </w:rPr>
        <w:t xml:space="preserve">Nosný systém </w:t>
      </w:r>
      <w:r w:rsidRPr="009F7606">
        <w:rPr>
          <w:rFonts w:asciiTheme="majorHAnsi" w:hAnsiTheme="majorHAnsi" w:cstheme="majorHAnsi"/>
          <w:b/>
          <w:sz w:val="20"/>
          <w:lang w:eastAsia="cs-CZ"/>
        </w:rPr>
        <w:t xml:space="preserve">objektu A </w:t>
      </w:r>
      <w:r w:rsidRPr="009F7606">
        <w:rPr>
          <w:rFonts w:asciiTheme="majorHAnsi" w:hAnsiTheme="majorHAnsi" w:cstheme="majorHAnsi"/>
          <w:sz w:val="20"/>
          <w:lang w:eastAsia="cs-CZ"/>
        </w:rPr>
        <w:t>(</w:t>
      </w:r>
      <w:r w:rsidRPr="009F7606">
        <w:rPr>
          <w:rStyle w:val="Predvolenpsmoodseku1"/>
          <w:rFonts w:asciiTheme="majorHAnsi" w:hAnsiTheme="majorHAnsi" w:cstheme="majorHAnsi"/>
          <w:color w:val="000000"/>
          <w:sz w:val="20"/>
        </w:rPr>
        <w:t>lisovňa)</w:t>
      </w:r>
      <w:r w:rsidRPr="009F7606">
        <w:rPr>
          <w:rFonts w:asciiTheme="majorHAnsi" w:hAnsiTheme="majorHAnsi" w:cstheme="majorHAnsi"/>
          <w:sz w:val="20"/>
          <w:lang w:eastAsia="cs-CZ"/>
        </w:rPr>
        <w:t xml:space="preserve"> pôdorysného obrysu max. rozmerov 16,60m x 8,00m bude tvorený na 1NP obvodovými stenami s hrúbkou 300mm a vnútornými stenami s hrúbkou 250 mm z  nosného muriva - POROTHERM. </w:t>
      </w:r>
      <w:r w:rsidRPr="009F7606">
        <w:rPr>
          <w:rStyle w:val="Predvolenpsmoodseku4"/>
          <w:rFonts w:asciiTheme="majorHAnsi" w:hAnsiTheme="majorHAnsi" w:cstheme="majorHAnsi"/>
          <w:sz w:val="20"/>
          <w:lang w:eastAsia="cs-CZ"/>
        </w:rPr>
        <w:t xml:space="preserve">Všetky zvislé nosné konštrukcie sú ukončené stužujúcim železobetónovým vencom. Steny, okrem prenosu zvislých zložiek zaťažení, svojim usporiadaním zabezpečujú tiež vodorovnú tuhosť objektu. </w:t>
      </w:r>
    </w:p>
    <w:p w:rsidR="009F7606" w:rsidRPr="009F7606" w:rsidRDefault="009F7606" w:rsidP="009F7606">
      <w:pPr>
        <w:spacing w:line="300" w:lineRule="auto"/>
        <w:jc w:val="both"/>
        <w:rPr>
          <w:rStyle w:val="Predvolenpsmoodseku1"/>
          <w:rFonts w:asciiTheme="majorHAnsi" w:hAnsiTheme="majorHAnsi" w:cstheme="majorHAnsi"/>
          <w:color w:val="000000"/>
          <w:sz w:val="20"/>
        </w:rPr>
      </w:pPr>
    </w:p>
    <w:p w:rsidR="009F7606" w:rsidRPr="009F7606" w:rsidRDefault="009F7606" w:rsidP="009F7606">
      <w:pPr>
        <w:spacing w:line="300" w:lineRule="auto"/>
        <w:ind w:firstLine="720"/>
        <w:jc w:val="both"/>
        <w:rPr>
          <w:rFonts w:asciiTheme="majorHAnsi" w:hAnsiTheme="majorHAnsi" w:cstheme="majorHAnsi"/>
          <w:color w:val="000000"/>
          <w:sz w:val="20"/>
        </w:rPr>
      </w:pPr>
      <w:r w:rsidRPr="009F7606">
        <w:rPr>
          <w:rStyle w:val="Predvolenpsmoodseku1"/>
          <w:rFonts w:asciiTheme="majorHAnsi" w:hAnsiTheme="majorHAnsi" w:cstheme="majorHAnsi"/>
          <w:color w:val="000000"/>
          <w:sz w:val="20"/>
        </w:rPr>
        <w:t xml:space="preserve">Suterén je tvorený obvodovými stenami s hrúbkou 300mm a vnútornými stenami hrúbky 170-250 mm zo ŽB. Stropnú konštrukciu nad 1. PP tvorí železobetónová doska hr.150mm, ktorú nesú ŽB prievlaky 400/700mm v rastri cca 1785mm resp. 1870mm a vnútorné ŽB. nosné steny hr. 250mm. Z 1.PP na 1.NP je navrhnuté monolitické železobetónové schodisko + nožnicový výťah.                                 </w:t>
      </w:r>
    </w:p>
    <w:p w:rsidR="009F7606" w:rsidRPr="009F7606" w:rsidRDefault="009F7606" w:rsidP="009F7606">
      <w:pPr>
        <w:pStyle w:val="Nadpis1"/>
        <w:tabs>
          <w:tab w:val="clear" w:pos="0"/>
        </w:tabs>
        <w:spacing w:line="300" w:lineRule="auto"/>
        <w:ind w:firstLine="720"/>
        <w:rPr>
          <w:sz w:val="20"/>
        </w:rPr>
      </w:pPr>
      <w:r w:rsidRPr="009F7606">
        <w:rPr>
          <w:rStyle w:val="Predvolenpsmoodseku5"/>
          <w:rFonts w:eastAsia="Arial Unicode MS"/>
          <w:sz w:val="20"/>
        </w:rPr>
        <w:t xml:space="preserve">Stropnú konštrukciu nad 1. NP tvorí železobetónová doska </w:t>
      </w:r>
      <w:r w:rsidRPr="009F7606">
        <w:rPr>
          <w:rStyle w:val="Predvolenpsmoodseku4"/>
          <w:sz w:val="20"/>
        </w:rPr>
        <w:t xml:space="preserve">hr. 220mm. Z 1.NP na 2.NP je navrhnuté monolitické železobetónové schodisko. </w:t>
      </w: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r w:rsidRPr="009F7606">
        <w:rPr>
          <w:rStyle w:val="Predvolenpsmoodseku2"/>
          <w:rFonts w:asciiTheme="majorHAnsi" w:eastAsia="Arial" w:hAnsiTheme="majorHAnsi" w:cstheme="majorHAnsi"/>
          <w:color w:val="000000"/>
          <w:sz w:val="20"/>
          <w:lang w:eastAsia="cs-CZ"/>
        </w:rPr>
        <w:t xml:space="preserve">Zvislé nosné konštrukcie na prízemí sa ukončia stužujúcim vencom s rozmermi 300x400mm. Nad otvorenou častou je nutné veniec prepojiť v 1/3 dĺžky venca tiahlom.  </w:t>
      </w:r>
    </w:p>
    <w:p w:rsidR="009F7606" w:rsidRPr="009F7606" w:rsidRDefault="009F7606" w:rsidP="009F7606">
      <w:pPr>
        <w:pStyle w:val="Zkladntext"/>
        <w:spacing w:line="300" w:lineRule="auto"/>
        <w:ind w:firstLine="720"/>
        <w:rPr>
          <w:rFonts w:asciiTheme="majorHAnsi" w:hAnsiTheme="majorHAnsi" w:cstheme="majorHAnsi"/>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r w:rsidRPr="009F7606">
        <w:rPr>
          <w:rStyle w:val="Predvolenpsmoodseku5"/>
          <w:rFonts w:asciiTheme="majorHAnsi" w:eastAsia="Arial Unicode MS" w:hAnsiTheme="majorHAnsi" w:cstheme="majorHAnsi"/>
          <w:sz w:val="20"/>
        </w:rPr>
        <w:t xml:space="preserve">Objekt bude zastrešený sedlovou strechou so sklonom strešných rovín 45°. Pri výpočte bolo uvažované so škridlovou krytinou. Podhľad strešnej konštrukcie tvorí sadrokartón v interiéri. Nosná konštrukcia je tvorená krokvami dimenzie 120/220 v rastri 850mm,  ktoré sú vo vrchole prepojené svorníkom a uložené vo venci na kotviaci prípravok BOVA </w:t>
      </w:r>
      <w:r w:rsidRPr="009F7606">
        <w:rPr>
          <w:rFonts w:asciiTheme="majorHAnsi" w:hAnsiTheme="majorHAnsi" w:cstheme="majorHAnsi"/>
          <w:sz w:val="20"/>
          <w:shd w:val="clear" w:color="auto" w:fill="FFFFFF"/>
        </w:rPr>
        <w:t>(kotva krokvy BV / KK). Kotviace prvky pre uchytenie krokvy sa priamo zakotvia cez lepené kotvi do ŽB. venca. Krokvy sa v rovine strechy zavetria zavetrením z dosák a pomocou oceľových pások.</w:t>
      </w:r>
    </w:p>
    <w:p w:rsidR="009F7606" w:rsidRPr="009F7606" w:rsidRDefault="009F7606" w:rsidP="009F7606">
      <w:pPr>
        <w:spacing w:line="300" w:lineRule="auto"/>
        <w:jc w:val="both"/>
        <w:rPr>
          <w:rFonts w:asciiTheme="majorHAnsi" w:hAnsiTheme="majorHAnsi" w:cstheme="majorHAnsi"/>
          <w:sz w:val="20"/>
          <w:shd w:val="clear" w:color="auto" w:fill="FFFFFF"/>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lang w:eastAsia="cs-CZ"/>
        </w:rPr>
        <w:t>Prievlaky a preklady budú riešené ako železobetónové, alternatívne typizované keramické, alebo z valcovaných oceľových profilov.</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pStyle w:val="Zkladntext"/>
        <w:spacing w:line="300" w:lineRule="auto"/>
        <w:ind w:firstLine="708"/>
        <w:rPr>
          <w:rFonts w:asciiTheme="majorHAnsi" w:hAnsiTheme="majorHAnsi" w:cstheme="majorHAnsi"/>
          <w:color w:val="FF0000"/>
          <w:lang w:eastAsia="cs-CZ"/>
        </w:rPr>
      </w:pPr>
      <w:r w:rsidRPr="009F7606">
        <w:rPr>
          <w:rFonts w:asciiTheme="majorHAnsi" w:hAnsiTheme="majorHAnsi" w:cstheme="majorHAnsi"/>
          <w:lang w:eastAsia="cs-CZ"/>
        </w:rPr>
        <w:t>Zakladanie objektu je navrhnuté plošné na základových pásoch zo slabo vystuženého betónu. Základové pásy sú navrhnuté do nezámrznej hĺbky, obdĺžnikového prierezu 1400/</w:t>
      </w:r>
      <w:proofErr w:type="gramStart"/>
      <w:r w:rsidRPr="009F7606">
        <w:rPr>
          <w:rFonts w:asciiTheme="majorHAnsi" w:hAnsiTheme="majorHAnsi" w:cstheme="majorHAnsi"/>
          <w:lang w:eastAsia="cs-CZ"/>
        </w:rPr>
        <w:t>800mm</w:t>
      </w:r>
      <w:proofErr w:type="gramEnd"/>
      <w:r w:rsidRPr="009F7606">
        <w:rPr>
          <w:rFonts w:asciiTheme="majorHAnsi" w:hAnsiTheme="majorHAnsi" w:cstheme="majorHAnsi"/>
          <w:lang w:eastAsia="cs-CZ"/>
        </w:rPr>
        <w:t xml:space="preserve">, 800/800mm resp. 600/800 </w:t>
      </w:r>
      <w:r w:rsidRPr="009F7606">
        <w:rPr>
          <w:rStyle w:val="Predvolenpsmoodseku2"/>
          <w:rFonts w:asciiTheme="majorHAnsi" w:hAnsiTheme="majorHAnsi" w:cstheme="majorHAnsi"/>
          <w:lang w:eastAsia="cs-CZ"/>
        </w:rPr>
        <w:t>(š/v)</w:t>
      </w:r>
      <w:r w:rsidRPr="009F7606">
        <w:rPr>
          <w:rFonts w:asciiTheme="majorHAnsi" w:hAnsiTheme="majorHAnsi" w:cstheme="majorHAnsi"/>
          <w:lang w:eastAsia="cs-CZ"/>
        </w:rPr>
        <w:t xml:space="preserve">. Maximálne napätie v základovej škáre </w:t>
      </w:r>
      <w:proofErr w:type="gramStart"/>
      <w:r w:rsidRPr="009F7606">
        <w:rPr>
          <w:rFonts w:asciiTheme="majorHAnsi" w:hAnsiTheme="majorHAnsi" w:cstheme="majorHAnsi"/>
          <w:lang w:eastAsia="cs-CZ"/>
        </w:rPr>
        <w:t>neprekročí  200</w:t>
      </w:r>
      <w:proofErr w:type="gramEnd"/>
      <w:r w:rsidRPr="009F7606">
        <w:rPr>
          <w:rFonts w:asciiTheme="majorHAnsi" w:hAnsiTheme="majorHAnsi" w:cstheme="majorHAnsi"/>
          <w:lang w:eastAsia="cs-CZ"/>
        </w:rPr>
        <w:t xml:space="preserve"> kPa.</w:t>
      </w: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r w:rsidRPr="009F7606">
        <w:rPr>
          <w:rFonts w:asciiTheme="majorHAnsi" w:hAnsiTheme="majorHAnsi" w:cstheme="majorHAnsi"/>
          <w:noProof/>
          <w:sz w:val="20"/>
        </w:rPr>
        <w:drawing>
          <wp:anchor distT="0" distB="0" distL="114300" distR="114300" simplePos="0" relativeHeight="251682816" behindDoc="1" locked="0" layoutInCell="1" allowOverlap="1">
            <wp:simplePos x="0" y="0"/>
            <wp:positionH relativeFrom="margin">
              <wp:align>center</wp:align>
            </wp:positionH>
            <wp:positionV relativeFrom="paragraph">
              <wp:posOffset>-102235</wp:posOffset>
            </wp:positionV>
            <wp:extent cx="5752465" cy="3126105"/>
            <wp:effectExtent l="0" t="0" r="635" b="0"/>
            <wp:wrapNone/>
            <wp:docPr id="11" name="Obrázok 11" descr="ererv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ervev"/>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2465" cy="3126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7606" w:rsidRPr="009F7606" w:rsidRDefault="009F7606" w:rsidP="009F7606">
      <w:pPr>
        <w:spacing w:line="300" w:lineRule="auto"/>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r w:rsidRPr="009F7606">
        <w:rPr>
          <w:rFonts w:asciiTheme="majorHAnsi" w:hAnsiTheme="majorHAnsi" w:cstheme="majorHAnsi"/>
          <w:sz w:val="20"/>
          <w:shd w:val="clear" w:color="auto" w:fill="FFFFFF"/>
        </w:rPr>
        <w:t xml:space="preserve"> </w:t>
      </w: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rPr>
      </w:pPr>
      <w:r w:rsidRPr="009F7606">
        <w:rPr>
          <w:rFonts w:asciiTheme="majorHAnsi" w:hAnsiTheme="majorHAnsi" w:cstheme="majorHAnsi"/>
          <w:sz w:val="20"/>
          <w:lang w:eastAsia="cs-CZ"/>
        </w:rPr>
        <w:t xml:space="preserve">Obrázok č.5: </w:t>
      </w:r>
      <w:r w:rsidRPr="009F7606">
        <w:rPr>
          <w:rFonts w:asciiTheme="majorHAnsi" w:hAnsiTheme="majorHAnsi" w:cstheme="majorHAnsi"/>
          <w:sz w:val="20"/>
        </w:rPr>
        <w:t>Axonometria výpočtového modelu krovu.</w:t>
      </w:r>
    </w:p>
    <w:p w:rsidR="009F7606" w:rsidRPr="009F7606" w:rsidRDefault="009F7606" w:rsidP="009F7606">
      <w:pPr>
        <w:spacing w:line="300" w:lineRule="auto"/>
        <w:jc w:val="both"/>
        <w:rPr>
          <w:rStyle w:val="Predvolenpsmoodseku1"/>
          <w:rFonts w:asciiTheme="majorHAnsi" w:hAnsiTheme="majorHAnsi" w:cstheme="majorHAnsi"/>
          <w:color w:val="000000"/>
          <w:sz w:val="20"/>
        </w:rPr>
      </w:pPr>
    </w:p>
    <w:p w:rsidR="009F7606" w:rsidRPr="009F7606" w:rsidRDefault="009F7606" w:rsidP="009F7606">
      <w:pPr>
        <w:spacing w:line="300" w:lineRule="auto"/>
        <w:ind w:firstLine="720"/>
        <w:jc w:val="both"/>
        <w:rPr>
          <w:rStyle w:val="Predvolenpsmoodseku1"/>
          <w:rFonts w:asciiTheme="majorHAnsi" w:hAnsiTheme="majorHAnsi" w:cstheme="majorHAnsi"/>
          <w:color w:val="000000"/>
          <w:sz w:val="20"/>
        </w:rPr>
      </w:pPr>
    </w:p>
    <w:p w:rsidR="009F7606" w:rsidRPr="009F7606" w:rsidRDefault="009F7606" w:rsidP="009F7606">
      <w:pPr>
        <w:spacing w:line="300" w:lineRule="auto"/>
        <w:jc w:val="both"/>
        <w:rPr>
          <w:rFonts w:asciiTheme="majorHAnsi" w:hAnsiTheme="majorHAnsi" w:cstheme="majorHAnsi"/>
          <w:b/>
          <w:sz w:val="20"/>
          <w:lang w:eastAsia="cs-CZ"/>
        </w:rPr>
      </w:pPr>
      <w:r w:rsidRPr="009F7606">
        <w:rPr>
          <w:rFonts w:asciiTheme="majorHAnsi" w:hAnsiTheme="majorHAnsi" w:cstheme="majorHAnsi"/>
          <w:b/>
          <w:bCs/>
          <w:sz w:val="20"/>
        </w:rPr>
        <w:t>Objekt</w:t>
      </w:r>
      <w:r w:rsidRPr="009F7606">
        <w:rPr>
          <w:rFonts w:asciiTheme="majorHAnsi" w:hAnsiTheme="majorHAnsi" w:cstheme="majorHAnsi"/>
          <w:b/>
          <w:color w:val="000000"/>
          <w:sz w:val="20"/>
        </w:rPr>
        <w:t xml:space="preserve"> SO-02: VINÁRSKA VÝROBA – B </w:t>
      </w:r>
      <w:r w:rsidRPr="009F7606">
        <w:rPr>
          <w:rFonts w:asciiTheme="majorHAnsi" w:hAnsiTheme="majorHAnsi" w:cstheme="majorHAnsi"/>
          <w:sz w:val="20"/>
          <w:lang w:eastAsia="cs-CZ"/>
        </w:rPr>
        <w:t>(</w:t>
      </w:r>
      <w:r w:rsidRPr="009F7606">
        <w:rPr>
          <w:rStyle w:val="Predvolenpsmoodseku1"/>
          <w:rFonts w:asciiTheme="majorHAnsi" w:hAnsiTheme="majorHAnsi" w:cstheme="majorHAnsi"/>
          <w:color w:val="000000"/>
          <w:sz w:val="20"/>
        </w:rPr>
        <w:t>sklad flaš. vína)</w:t>
      </w:r>
    </w:p>
    <w:p w:rsidR="009F7606" w:rsidRPr="009F7606" w:rsidRDefault="009F7606" w:rsidP="009F7606">
      <w:pPr>
        <w:spacing w:line="300" w:lineRule="auto"/>
        <w:ind w:firstLine="720"/>
        <w:jc w:val="both"/>
        <w:rPr>
          <w:rStyle w:val="Predvolenpsmoodseku1"/>
          <w:rFonts w:asciiTheme="majorHAnsi" w:hAnsiTheme="majorHAnsi" w:cstheme="majorHAnsi"/>
          <w:color w:val="000000"/>
          <w:sz w:val="20"/>
        </w:rPr>
      </w:pPr>
    </w:p>
    <w:p w:rsidR="009F7606" w:rsidRPr="009F7606" w:rsidRDefault="009F7606" w:rsidP="009F7606">
      <w:pPr>
        <w:spacing w:line="300" w:lineRule="auto"/>
        <w:ind w:firstLine="720"/>
        <w:jc w:val="both"/>
        <w:rPr>
          <w:rStyle w:val="Predvolenpsmoodseku4"/>
          <w:rFonts w:asciiTheme="majorHAnsi" w:hAnsiTheme="majorHAnsi" w:cstheme="majorHAnsi"/>
          <w:sz w:val="20"/>
          <w:lang w:eastAsia="cs-CZ"/>
        </w:rPr>
      </w:pPr>
      <w:r w:rsidRPr="009F7606">
        <w:rPr>
          <w:rFonts w:asciiTheme="majorHAnsi" w:hAnsiTheme="majorHAnsi" w:cstheme="majorHAnsi"/>
          <w:sz w:val="20"/>
          <w:lang w:eastAsia="cs-CZ"/>
        </w:rPr>
        <w:t xml:space="preserve">Nosný systém </w:t>
      </w:r>
      <w:r w:rsidRPr="009F7606">
        <w:rPr>
          <w:rFonts w:asciiTheme="majorHAnsi" w:hAnsiTheme="majorHAnsi" w:cstheme="majorHAnsi"/>
          <w:b/>
          <w:sz w:val="20"/>
          <w:lang w:eastAsia="cs-CZ"/>
        </w:rPr>
        <w:t xml:space="preserve">objektu B </w:t>
      </w:r>
      <w:r w:rsidRPr="009F7606">
        <w:rPr>
          <w:rFonts w:asciiTheme="majorHAnsi" w:hAnsiTheme="majorHAnsi" w:cstheme="majorHAnsi"/>
          <w:sz w:val="20"/>
          <w:lang w:eastAsia="cs-CZ"/>
        </w:rPr>
        <w:t>(</w:t>
      </w:r>
      <w:r w:rsidRPr="009F7606">
        <w:rPr>
          <w:rStyle w:val="Predvolenpsmoodseku1"/>
          <w:rFonts w:asciiTheme="majorHAnsi" w:hAnsiTheme="majorHAnsi" w:cstheme="majorHAnsi"/>
          <w:color w:val="000000"/>
          <w:sz w:val="20"/>
        </w:rPr>
        <w:t>sklad flaš. vína)</w:t>
      </w:r>
      <w:r w:rsidRPr="009F7606">
        <w:rPr>
          <w:rFonts w:asciiTheme="majorHAnsi" w:hAnsiTheme="majorHAnsi" w:cstheme="majorHAnsi"/>
          <w:sz w:val="20"/>
          <w:lang w:eastAsia="cs-CZ"/>
        </w:rPr>
        <w:t xml:space="preserve"> pôdorysného obrysu max. rozmerov 17,00m x 6,80m bude tvorený na 1NP obvodovými stenami s hrúbkou 300mm a vnútornými stenami hrúbky 250mm z  nosného muriva - POROTHERM. </w:t>
      </w:r>
      <w:r w:rsidRPr="009F7606">
        <w:rPr>
          <w:rStyle w:val="Predvolenpsmoodseku4"/>
          <w:rFonts w:asciiTheme="majorHAnsi" w:hAnsiTheme="majorHAnsi" w:cstheme="majorHAnsi"/>
          <w:sz w:val="20"/>
          <w:lang w:eastAsia="cs-CZ"/>
        </w:rPr>
        <w:t xml:space="preserve">Všetky zvislé nosné konštrukcie sú ukončené stužujúcim železobetónovým vencom s rozmerom 300x400mm. Steny, okrem prenosu zvislých zložiek zaťažení, svojim usporiadaním zabezpečujú tiež vodorovnú tuhosť objektu. </w:t>
      </w:r>
    </w:p>
    <w:p w:rsidR="009F7606" w:rsidRPr="009F7606" w:rsidRDefault="009F7606" w:rsidP="009F7606">
      <w:pPr>
        <w:spacing w:line="300" w:lineRule="auto"/>
        <w:ind w:firstLine="720"/>
        <w:jc w:val="both"/>
        <w:rPr>
          <w:rStyle w:val="Predvolenpsmoodseku4"/>
          <w:rFonts w:asciiTheme="majorHAnsi" w:hAnsiTheme="majorHAnsi" w:cstheme="majorHAnsi"/>
          <w:sz w:val="20"/>
          <w:lang w:eastAsia="cs-CZ"/>
        </w:rPr>
      </w:pPr>
    </w:p>
    <w:p w:rsidR="009F7606" w:rsidRPr="009F7606" w:rsidRDefault="009F7606" w:rsidP="009F7606">
      <w:pPr>
        <w:pStyle w:val="Nadpis1"/>
        <w:spacing w:line="300" w:lineRule="auto"/>
        <w:ind w:firstLine="720"/>
        <w:rPr>
          <w:rStyle w:val="Predvolenpsmoodseku4"/>
          <w:sz w:val="20"/>
        </w:rPr>
      </w:pPr>
    </w:p>
    <w:p w:rsidR="009F7606" w:rsidRPr="009F7606" w:rsidRDefault="009F7606" w:rsidP="009F7606">
      <w:pPr>
        <w:pStyle w:val="Nadpis1"/>
        <w:spacing w:line="300" w:lineRule="auto"/>
        <w:ind w:firstLine="720"/>
        <w:rPr>
          <w:sz w:val="20"/>
        </w:rPr>
      </w:pPr>
      <w:r w:rsidRPr="009F7606">
        <w:rPr>
          <w:rStyle w:val="Predvolenpsmoodseku4"/>
          <w:sz w:val="20"/>
        </w:rPr>
        <w:t xml:space="preserve">Suterén je tvorený </w:t>
      </w:r>
      <w:r w:rsidRPr="009F7606">
        <w:rPr>
          <w:sz w:val="20"/>
        </w:rPr>
        <w:t xml:space="preserve">obvodovými stenami s hrúbkou 300 mm </w:t>
      </w:r>
      <w:r w:rsidRPr="009F7606">
        <w:rPr>
          <w:rStyle w:val="Predvolenpsmoodseku4"/>
          <w:sz w:val="20"/>
        </w:rPr>
        <w:t xml:space="preserve">zo ŽB. </w:t>
      </w:r>
      <w:r w:rsidRPr="009F7606">
        <w:rPr>
          <w:rStyle w:val="Predvolenpsmoodseku5"/>
          <w:rFonts w:eastAsia="Arial Unicode MS"/>
          <w:sz w:val="20"/>
        </w:rPr>
        <w:t xml:space="preserve">Stropnú konštrukciu nad 1. PP tvorí železobetónová doska </w:t>
      </w:r>
      <w:r w:rsidRPr="009F7606">
        <w:rPr>
          <w:rStyle w:val="Predvolenpsmoodseku4"/>
          <w:sz w:val="20"/>
        </w:rPr>
        <w:t xml:space="preserve">hr. 150mm, ktorú nesú ŽB. prievlaky  400/700mm v rastri cca 2100mm, 2250mm resp. 2700mm. </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pStyle w:val="Nadpis1"/>
        <w:spacing w:line="300" w:lineRule="auto"/>
        <w:ind w:firstLine="720"/>
        <w:rPr>
          <w:sz w:val="20"/>
        </w:rPr>
      </w:pPr>
      <w:r w:rsidRPr="009F7606">
        <w:rPr>
          <w:rStyle w:val="Predvolenpsmoodseku5"/>
          <w:rFonts w:eastAsia="Arial Unicode MS"/>
          <w:sz w:val="20"/>
        </w:rPr>
        <w:t xml:space="preserve">Stropnú konštrukciu nad 1. NP tvorí železobetónová doska </w:t>
      </w:r>
      <w:r w:rsidRPr="009F7606">
        <w:rPr>
          <w:rStyle w:val="Predvolenpsmoodseku4"/>
          <w:sz w:val="20"/>
        </w:rPr>
        <w:t xml:space="preserve">hr. 220mm. Z 1.NP na 2.NP je navrhnuté monolitické železobetónové schodisko. </w:t>
      </w: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pStyle w:val="Zkladntext"/>
        <w:spacing w:line="300" w:lineRule="auto"/>
        <w:ind w:firstLine="720"/>
        <w:rPr>
          <w:rStyle w:val="Predvolenpsmoodseku2"/>
          <w:rFonts w:asciiTheme="majorHAnsi" w:eastAsia="Arial" w:hAnsiTheme="majorHAnsi" w:cstheme="majorHAnsi"/>
          <w:lang w:eastAsia="cs-CZ"/>
        </w:rPr>
      </w:pPr>
      <w:r w:rsidRPr="009F7606">
        <w:rPr>
          <w:rStyle w:val="Predvolenpsmoodseku2"/>
          <w:rFonts w:asciiTheme="majorHAnsi" w:eastAsia="Arial" w:hAnsiTheme="majorHAnsi" w:cstheme="majorHAnsi"/>
          <w:lang w:eastAsia="cs-CZ"/>
        </w:rPr>
        <w:t>Zvislé nosné konštrukcie na prízemí sa ukončia stužujúcim vencom s rozmermi 300x400mm. Nad otvorenou častou je nutné veniec prepojiť v 1/3 dĺžky venca tiahlom.</w:t>
      </w:r>
    </w:p>
    <w:p w:rsidR="009F7606" w:rsidRPr="009F7606" w:rsidRDefault="009F7606" w:rsidP="009F7606">
      <w:pPr>
        <w:pStyle w:val="Zkladntext"/>
        <w:spacing w:line="300" w:lineRule="auto"/>
        <w:ind w:firstLine="720"/>
        <w:rPr>
          <w:rFonts w:asciiTheme="majorHAnsi" w:hAnsiTheme="majorHAnsi" w:cstheme="majorHAnsi"/>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r w:rsidRPr="009F7606">
        <w:rPr>
          <w:rStyle w:val="Predvolenpsmoodseku5"/>
          <w:rFonts w:asciiTheme="majorHAnsi" w:eastAsia="Arial Unicode MS" w:hAnsiTheme="majorHAnsi" w:cstheme="majorHAnsi"/>
          <w:sz w:val="20"/>
        </w:rPr>
        <w:t xml:space="preserve">Objekt bude zastrešený sedlovou strechou so sklonom strešných rovín 45°. Pri výpočte bolo uvažované so škridlovou krytinou. Podhľad strešnej konštrukcie tvorí sadrokartón v interiéri. Nosná konštrukcia je tvorená krokvami dimenzie 100/200 v rastri 850mm,  ktoré sú vo vrchole prepojené kotviacim plechom a uložené vo venci na kotviaci prípravok napr. BOVA </w:t>
      </w:r>
      <w:r w:rsidRPr="009F7606">
        <w:rPr>
          <w:rFonts w:asciiTheme="majorHAnsi" w:hAnsiTheme="majorHAnsi" w:cstheme="majorHAnsi"/>
          <w:sz w:val="20"/>
          <w:shd w:val="clear" w:color="auto" w:fill="FFFFFF"/>
        </w:rPr>
        <w:t>(kotva krokvy BV / KK). Kotviace prvky pre uchytenie krokvy sa priamo zakotvia cez lepené kotvi do ŽB. venca. Krokvy sa v rovine strechy zavetria zavetrením z dosák a pomocou oceľových pások.</w:t>
      </w: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Fonts w:asciiTheme="majorHAnsi" w:hAnsiTheme="majorHAnsi" w:cstheme="majorHAnsi"/>
          <w:sz w:val="20"/>
          <w:shd w:val="clear" w:color="auto" w:fill="FFFFFF"/>
        </w:rPr>
      </w:pPr>
    </w:p>
    <w:p w:rsidR="009F7606" w:rsidRPr="009F7606" w:rsidRDefault="009F7606" w:rsidP="009F7606">
      <w:pPr>
        <w:spacing w:line="300" w:lineRule="auto"/>
        <w:ind w:firstLine="708"/>
        <w:jc w:val="both"/>
        <w:rPr>
          <w:rStyle w:val="Predvolenpsmoodseku5"/>
          <w:rFonts w:asciiTheme="majorHAnsi" w:eastAsia="Arial Unicode MS"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r w:rsidRPr="009F7606">
        <w:rPr>
          <w:rFonts w:asciiTheme="majorHAnsi" w:hAnsiTheme="majorHAnsi" w:cstheme="majorHAnsi"/>
          <w:noProof/>
          <w:sz w:val="20"/>
        </w:rPr>
        <w:drawing>
          <wp:anchor distT="0" distB="0" distL="114300" distR="114300" simplePos="0" relativeHeight="251683840" behindDoc="1" locked="0" layoutInCell="1" allowOverlap="1">
            <wp:simplePos x="0" y="0"/>
            <wp:positionH relativeFrom="margin">
              <wp:posOffset>3810</wp:posOffset>
            </wp:positionH>
            <wp:positionV relativeFrom="paragraph">
              <wp:posOffset>-255905</wp:posOffset>
            </wp:positionV>
            <wp:extent cx="5752465" cy="3912870"/>
            <wp:effectExtent l="0" t="0" r="635" b="0"/>
            <wp:wrapNone/>
            <wp:docPr id="10" name="Obrázok 10" descr="rht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htz"/>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2465" cy="39128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rPr>
      </w:pPr>
      <w:r w:rsidRPr="009F7606">
        <w:rPr>
          <w:rFonts w:asciiTheme="majorHAnsi" w:hAnsiTheme="majorHAnsi" w:cstheme="majorHAnsi"/>
          <w:sz w:val="20"/>
          <w:lang w:eastAsia="cs-CZ"/>
        </w:rPr>
        <w:t xml:space="preserve">Obrázok č.6: </w:t>
      </w:r>
      <w:r w:rsidRPr="009F7606">
        <w:rPr>
          <w:rFonts w:asciiTheme="majorHAnsi" w:hAnsiTheme="majorHAnsi" w:cstheme="majorHAnsi"/>
          <w:sz w:val="20"/>
        </w:rPr>
        <w:t>Axonometria výpočtového modelu krovu.</w:t>
      </w: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lang w:eastAsia="cs-CZ"/>
        </w:rPr>
        <w:t>Prievlaky a preklady budú riešené ako železobetónové, alternatívne typizované keramické, alebo z valcovaných oceľových profilov.</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pStyle w:val="Zkladntext"/>
        <w:spacing w:line="300" w:lineRule="auto"/>
        <w:ind w:firstLine="708"/>
        <w:rPr>
          <w:rFonts w:asciiTheme="majorHAnsi" w:hAnsiTheme="majorHAnsi" w:cstheme="majorHAnsi"/>
          <w:color w:val="FF0000"/>
          <w:lang w:eastAsia="cs-CZ"/>
        </w:rPr>
      </w:pPr>
      <w:r w:rsidRPr="009F7606">
        <w:rPr>
          <w:rFonts w:asciiTheme="majorHAnsi" w:hAnsiTheme="majorHAnsi" w:cstheme="majorHAnsi"/>
          <w:lang w:eastAsia="cs-CZ"/>
        </w:rPr>
        <w:t>Zakladanie objektu je navrhnuté plošné na základových pásoch zo slabo vystuženého betónu. Základové pásy sú navrhnuté do nezámrznej hĺbky, obdĺžnikového prierezu 1400/</w:t>
      </w:r>
      <w:proofErr w:type="gramStart"/>
      <w:r w:rsidRPr="009F7606">
        <w:rPr>
          <w:rFonts w:asciiTheme="majorHAnsi" w:hAnsiTheme="majorHAnsi" w:cstheme="majorHAnsi"/>
          <w:lang w:eastAsia="cs-CZ"/>
        </w:rPr>
        <w:t>800mm</w:t>
      </w:r>
      <w:proofErr w:type="gramEnd"/>
      <w:r w:rsidRPr="009F7606">
        <w:rPr>
          <w:rFonts w:asciiTheme="majorHAnsi" w:hAnsiTheme="majorHAnsi" w:cstheme="majorHAnsi"/>
          <w:lang w:eastAsia="cs-CZ"/>
        </w:rPr>
        <w:t xml:space="preserve"> resp. 800/800 </w:t>
      </w:r>
      <w:r w:rsidRPr="009F7606">
        <w:rPr>
          <w:rStyle w:val="Predvolenpsmoodseku2"/>
          <w:rFonts w:asciiTheme="majorHAnsi" w:hAnsiTheme="majorHAnsi" w:cstheme="majorHAnsi"/>
          <w:lang w:eastAsia="cs-CZ"/>
        </w:rPr>
        <w:t>(š/v)</w:t>
      </w:r>
      <w:r w:rsidRPr="009F7606">
        <w:rPr>
          <w:rFonts w:asciiTheme="majorHAnsi" w:hAnsiTheme="majorHAnsi" w:cstheme="majorHAnsi"/>
          <w:lang w:eastAsia="cs-CZ"/>
        </w:rPr>
        <w:t xml:space="preserve">. Maximálne napätie v základovej škáre </w:t>
      </w:r>
      <w:proofErr w:type="gramStart"/>
      <w:r w:rsidRPr="009F7606">
        <w:rPr>
          <w:rFonts w:asciiTheme="majorHAnsi" w:hAnsiTheme="majorHAnsi" w:cstheme="majorHAnsi"/>
          <w:lang w:eastAsia="cs-CZ"/>
        </w:rPr>
        <w:t>neprekročí  200</w:t>
      </w:r>
      <w:proofErr w:type="gramEnd"/>
      <w:r w:rsidRPr="009F7606">
        <w:rPr>
          <w:rFonts w:asciiTheme="majorHAnsi" w:hAnsiTheme="majorHAnsi" w:cstheme="majorHAnsi"/>
          <w:lang w:eastAsia="cs-CZ"/>
        </w:rPr>
        <w:t xml:space="preserve"> kPa.</w:t>
      </w:r>
    </w:p>
    <w:p w:rsidR="009F7606" w:rsidRPr="009F7606" w:rsidRDefault="009F7606" w:rsidP="009F7606">
      <w:pPr>
        <w:spacing w:line="300" w:lineRule="auto"/>
        <w:ind w:firstLine="720"/>
        <w:jc w:val="both"/>
        <w:rPr>
          <w:rStyle w:val="Predvolenpsmoodseku1"/>
          <w:rFonts w:asciiTheme="majorHAnsi" w:hAnsiTheme="majorHAnsi" w:cstheme="majorHAnsi"/>
          <w:color w:val="000000"/>
          <w:sz w:val="20"/>
        </w:rPr>
      </w:pPr>
    </w:p>
    <w:p w:rsidR="009F7606" w:rsidRPr="009F7606" w:rsidRDefault="009F7606" w:rsidP="009F7606">
      <w:pPr>
        <w:autoSpaceDE w:val="0"/>
        <w:autoSpaceDN w:val="0"/>
        <w:adjustRightInd w:val="0"/>
        <w:spacing w:line="300" w:lineRule="auto"/>
        <w:jc w:val="both"/>
        <w:rPr>
          <w:rStyle w:val="Predvolenpsmoodseku1"/>
          <w:rFonts w:asciiTheme="majorHAnsi" w:hAnsiTheme="majorHAnsi" w:cstheme="majorHAnsi"/>
          <w:color w:val="000000"/>
          <w:sz w:val="20"/>
        </w:rPr>
      </w:pPr>
    </w:p>
    <w:p w:rsidR="009F7606" w:rsidRPr="009F7606" w:rsidRDefault="009F7606" w:rsidP="009F7606">
      <w:pPr>
        <w:autoSpaceDE w:val="0"/>
        <w:autoSpaceDN w:val="0"/>
        <w:adjustRightInd w:val="0"/>
        <w:spacing w:line="300" w:lineRule="auto"/>
        <w:jc w:val="both"/>
        <w:rPr>
          <w:rFonts w:asciiTheme="majorHAnsi" w:hAnsiTheme="majorHAnsi" w:cstheme="majorHAnsi"/>
          <w:b/>
          <w:color w:val="000000"/>
          <w:sz w:val="20"/>
        </w:rPr>
      </w:pPr>
      <w:r w:rsidRPr="009F7606">
        <w:rPr>
          <w:rFonts w:asciiTheme="majorHAnsi" w:hAnsiTheme="majorHAnsi" w:cstheme="majorHAnsi"/>
          <w:b/>
          <w:bCs/>
          <w:sz w:val="20"/>
        </w:rPr>
        <w:t>Objekt</w:t>
      </w:r>
      <w:r w:rsidRPr="009F7606">
        <w:rPr>
          <w:rFonts w:asciiTheme="majorHAnsi" w:hAnsiTheme="majorHAnsi" w:cstheme="majorHAnsi"/>
          <w:b/>
          <w:color w:val="000000"/>
          <w:sz w:val="20"/>
        </w:rPr>
        <w:t xml:space="preserve"> SO-03: HOSPODÁRSKY OBJEKT</w:t>
      </w: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color w:val="000000"/>
          <w:sz w:val="20"/>
        </w:rPr>
      </w:pPr>
    </w:p>
    <w:p w:rsidR="009F7606" w:rsidRPr="009F7606" w:rsidRDefault="009F7606" w:rsidP="009F7606">
      <w:pPr>
        <w:autoSpaceDE w:val="0"/>
        <w:autoSpaceDN w:val="0"/>
        <w:adjustRightInd w:val="0"/>
        <w:spacing w:line="300" w:lineRule="auto"/>
        <w:ind w:firstLine="720"/>
        <w:jc w:val="both"/>
        <w:rPr>
          <w:rFonts w:asciiTheme="majorHAnsi" w:hAnsiTheme="majorHAnsi" w:cstheme="majorHAnsi"/>
          <w:b/>
          <w:color w:val="000000"/>
          <w:sz w:val="20"/>
        </w:rPr>
      </w:pPr>
      <w:r w:rsidRPr="009F7606">
        <w:rPr>
          <w:rFonts w:asciiTheme="majorHAnsi" w:hAnsiTheme="majorHAnsi" w:cstheme="majorHAnsi"/>
          <w:bCs/>
          <w:sz w:val="20"/>
        </w:rPr>
        <w:t>Objekt</w:t>
      </w:r>
      <w:r w:rsidRPr="009F7606">
        <w:rPr>
          <w:rFonts w:asciiTheme="majorHAnsi" w:hAnsiTheme="majorHAnsi" w:cstheme="majorHAnsi"/>
          <w:color w:val="000000"/>
          <w:sz w:val="20"/>
        </w:rPr>
        <w:t xml:space="preserve"> SO-03 -</w:t>
      </w:r>
      <w:r w:rsidRPr="009F7606">
        <w:rPr>
          <w:rFonts w:asciiTheme="majorHAnsi" w:hAnsiTheme="majorHAnsi" w:cstheme="majorHAnsi"/>
          <w:b/>
          <w:color w:val="000000"/>
          <w:sz w:val="20"/>
        </w:rPr>
        <w:t xml:space="preserve"> </w:t>
      </w:r>
      <w:r w:rsidRPr="009F7606">
        <w:rPr>
          <w:rFonts w:asciiTheme="majorHAnsi" w:hAnsiTheme="majorHAnsi" w:cstheme="majorHAnsi"/>
          <w:color w:val="000000"/>
          <w:sz w:val="20"/>
        </w:rPr>
        <w:t xml:space="preserve">HOSPODÁRSKY OBJEKT – samonosní objekt, tvorený  čiastočne dvoma nadzemnými podlažiami. </w:t>
      </w:r>
    </w:p>
    <w:p w:rsidR="009F7606" w:rsidRPr="009F7606" w:rsidRDefault="009F7606" w:rsidP="009F7606">
      <w:pPr>
        <w:spacing w:line="300" w:lineRule="auto"/>
        <w:ind w:firstLine="708"/>
        <w:jc w:val="both"/>
        <w:rPr>
          <w:rFonts w:asciiTheme="majorHAnsi" w:hAnsiTheme="majorHAnsi" w:cstheme="majorHAnsi"/>
          <w:sz w:val="20"/>
          <w:lang w:eastAsia="cs-CZ"/>
        </w:rPr>
      </w:pPr>
    </w:p>
    <w:p w:rsidR="009F7606" w:rsidRPr="009F7606" w:rsidRDefault="009F7606" w:rsidP="009F7606">
      <w:pPr>
        <w:spacing w:line="300" w:lineRule="auto"/>
        <w:jc w:val="both"/>
        <w:rPr>
          <w:rStyle w:val="Predvolenpsmoodseku4"/>
          <w:rFonts w:asciiTheme="majorHAnsi" w:hAnsiTheme="majorHAnsi" w:cstheme="majorHAnsi"/>
          <w:sz w:val="20"/>
          <w:lang w:eastAsia="cs-CZ"/>
        </w:rPr>
      </w:pPr>
      <w:r w:rsidRPr="009F7606">
        <w:rPr>
          <w:rFonts w:asciiTheme="majorHAnsi" w:hAnsiTheme="majorHAnsi" w:cstheme="majorHAnsi"/>
          <w:sz w:val="20"/>
          <w:lang w:eastAsia="cs-CZ"/>
        </w:rPr>
        <w:tab/>
        <w:t xml:space="preserve">Nosný systém objektu pôdorysného obrysu max. rozmerov 15,35m x5,80m bude tvorený obvodovými a vnútornými stenami hrúbky 300 mm (150mm) zo ŽB resp. pri kontakte zo svahom je vytvorení ŽB oporný múr ktorý je votknutý do základovej  dosky. V prednej časti objektu je veniec  v mieste dverných otvorov nesený trojicou oceľových votknutých stĺpov dimenzie JAKEL 150/150/12,5 (S235). </w:t>
      </w:r>
      <w:r w:rsidRPr="009F7606">
        <w:rPr>
          <w:rStyle w:val="Predvolenpsmoodseku4"/>
          <w:rFonts w:asciiTheme="majorHAnsi" w:hAnsiTheme="majorHAnsi" w:cstheme="majorHAnsi"/>
          <w:sz w:val="20"/>
          <w:lang w:eastAsia="cs-CZ"/>
        </w:rPr>
        <w:t xml:space="preserve">Všetky zvislé nosné konštrukcie sú ukončené stužujúcim železobetónovým vencom. Steny, okrem prenosu zvislých zložiek zaťažení, svojim usporiadaním zabezpečujú tiež vodorovnú tuhosť objektu. </w:t>
      </w:r>
      <w:r w:rsidRPr="009F7606">
        <w:rPr>
          <w:rStyle w:val="Predvolenpsmoodseku2"/>
          <w:rFonts w:asciiTheme="majorHAnsi" w:eastAsia="Arial" w:hAnsiTheme="majorHAnsi" w:cstheme="majorHAnsi"/>
          <w:color w:val="000000"/>
          <w:sz w:val="20"/>
          <w:lang w:eastAsia="cs-CZ"/>
        </w:rPr>
        <w:t xml:space="preserve">Nad otvorenou častou je nutné veniec prepojiť v 1/3 dĺžky venca tiahlom.  </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pStyle w:val="Nadpis1"/>
        <w:spacing w:line="300" w:lineRule="auto"/>
        <w:ind w:firstLine="708"/>
        <w:rPr>
          <w:rStyle w:val="Predvolenpsmoodseku4"/>
          <w:sz w:val="20"/>
        </w:rPr>
      </w:pPr>
      <w:r w:rsidRPr="009F7606">
        <w:rPr>
          <w:rStyle w:val="Predvolenpsmoodseku5"/>
          <w:rFonts w:eastAsia="Arial Unicode MS"/>
          <w:sz w:val="20"/>
        </w:rPr>
        <w:lastRenderedPageBreak/>
        <w:t xml:space="preserve">Stropnú konštrukciu nad 1. NP ( sklady 1.25 a 1.26) tvorí železobetónová doska  </w:t>
      </w:r>
      <w:r w:rsidRPr="009F7606">
        <w:rPr>
          <w:rStyle w:val="Predvolenpsmoodseku4"/>
          <w:sz w:val="20"/>
        </w:rPr>
        <w:t xml:space="preserve">hr. 150mm. </w:t>
      </w:r>
    </w:p>
    <w:p w:rsidR="009F7606" w:rsidRPr="009F7606" w:rsidRDefault="009F7606" w:rsidP="009F7606">
      <w:pPr>
        <w:pStyle w:val="Zkladntext"/>
        <w:spacing w:line="300" w:lineRule="auto"/>
        <w:ind w:firstLine="720"/>
        <w:rPr>
          <w:rFonts w:asciiTheme="majorHAnsi" w:hAnsiTheme="majorHAnsi" w:cstheme="majorHAnsi"/>
        </w:rPr>
      </w:pPr>
    </w:p>
    <w:p w:rsidR="009F7606" w:rsidRPr="009F7606" w:rsidRDefault="009F7606" w:rsidP="009F7606">
      <w:pPr>
        <w:spacing w:line="300" w:lineRule="auto"/>
        <w:ind w:firstLine="708"/>
        <w:jc w:val="both"/>
        <w:rPr>
          <w:rFonts w:asciiTheme="majorHAnsi" w:hAnsiTheme="majorHAnsi" w:cstheme="majorHAnsi"/>
          <w:sz w:val="20"/>
        </w:rPr>
      </w:pPr>
      <w:r w:rsidRPr="009F7606">
        <w:rPr>
          <w:rStyle w:val="Predvolenpsmoodseku5"/>
          <w:rFonts w:asciiTheme="majorHAnsi" w:eastAsia="Arial Unicode MS" w:hAnsiTheme="majorHAnsi" w:cstheme="majorHAnsi"/>
          <w:sz w:val="20"/>
        </w:rPr>
        <w:t xml:space="preserve">Objekt bude zastrešený sedlovou strechou so sklonom strešných rovín 45°. Pri výpočte bolo uvažované so škridlovou krytinou. Podhľad strešnej konštrukcie tvorí sadrokartón v interiéri. Nosná konštrukcia je tvorená krokvami dimenzie 100/200 v rastri 850mm,  ktoré sú vo vrchole prepojené svorníkom a uložené vo venci na kotviaci prípravok BOVA </w:t>
      </w:r>
      <w:r w:rsidRPr="009F7606">
        <w:rPr>
          <w:rFonts w:asciiTheme="majorHAnsi" w:hAnsiTheme="majorHAnsi" w:cstheme="majorHAnsi"/>
          <w:sz w:val="20"/>
          <w:shd w:val="clear" w:color="auto" w:fill="FFFFFF"/>
        </w:rPr>
        <w:t>(kotva krokvy BV / KK). Kotviace prvky pre uchytenie krokvy sa priamo zakotvia cez lepené kotvi do ŽB. venca. Krokvy sa v rovine strechy zavetria zavetrením z dosák a pomocou oceľových pások.</w:t>
      </w: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r w:rsidRPr="009F7606">
        <w:rPr>
          <w:rFonts w:asciiTheme="majorHAnsi" w:hAnsiTheme="majorHAnsi" w:cstheme="majorHAnsi"/>
          <w:noProof/>
          <w:sz w:val="20"/>
        </w:rPr>
        <w:drawing>
          <wp:anchor distT="0" distB="0" distL="114300" distR="114300" simplePos="0" relativeHeight="251684864" behindDoc="1" locked="0" layoutInCell="1" allowOverlap="1">
            <wp:simplePos x="0" y="0"/>
            <wp:positionH relativeFrom="margin">
              <wp:align>center</wp:align>
            </wp:positionH>
            <wp:positionV relativeFrom="paragraph">
              <wp:posOffset>83820</wp:posOffset>
            </wp:positionV>
            <wp:extent cx="5752465" cy="3359785"/>
            <wp:effectExtent l="0" t="0" r="635" b="0"/>
            <wp:wrapNone/>
            <wp:docPr id="9" name="Obrázok 9" descr="ťžjťžj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ťžjťžjť"/>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2465" cy="3359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ind w:firstLine="708"/>
        <w:jc w:val="both"/>
        <w:rPr>
          <w:rFonts w:asciiTheme="majorHAnsi" w:hAnsiTheme="majorHAnsi" w:cstheme="majorHAnsi"/>
          <w:sz w:val="20"/>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lang w:eastAsia="cs-CZ"/>
        </w:rPr>
      </w:pPr>
    </w:p>
    <w:p w:rsidR="009F7606" w:rsidRPr="009F7606" w:rsidRDefault="009F7606" w:rsidP="009F7606">
      <w:pPr>
        <w:spacing w:line="300" w:lineRule="auto"/>
        <w:jc w:val="center"/>
        <w:rPr>
          <w:rFonts w:asciiTheme="majorHAnsi" w:hAnsiTheme="majorHAnsi" w:cstheme="majorHAnsi"/>
          <w:sz w:val="20"/>
        </w:rPr>
      </w:pPr>
      <w:r w:rsidRPr="009F7606">
        <w:rPr>
          <w:rFonts w:asciiTheme="majorHAnsi" w:hAnsiTheme="majorHAnsi" w:cstheme="majorHAnsi"/>
          <w:sz w:val="20"/>
          <w:lang w:eastAsia="cs-CZ"/>
        </w:rPr>
        <w:t xml:space="preserve">Obrázok č.7: </w:t>
      </w:r>
      <w:r w:rsidRPr="009F7606">
        <w:rPr>
          <w:rFonts w:asciiTheme="majorHAnsi" w:hAnsiTheme="majorHAnsi" w:cstheme="majorHAnsi"/>
          <w:sz w:val="20"/>
        </w:rPr>
        <w:t>Axonometria výpočtového modelu krovu.</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lang w:eastAsia="cs-CZ"/>
        </w:rPr>
        <w:t>Prievlaky a preklady budú riešené ako železobetónové, alternatívne typizované keramické, alebo z valcovaných oceľových profilov.</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pStyle w:val="Zkladntext"/>
        <w:spacing w:line="300" w:lineRule="auto"/>
        <w:ind w:firstLine="708"/>
        <w:rPr>
          <w:rFonts w:asciiTheme="majorHAnsi" w:hAnsiTheme="majorHAnsi" w:cstheme="majorHAnsi"/>
          <w:color w:val="FF0000"/>
          <w:lang w:eastAsia="cs-CZ"/>
        </w:rPr>
      </w:pPr>
      <w:r w:rsidRPr="009F7606">
        <w:rPr>
          <w:rFonts w:asciiTheme="majorHAnsi" w:hAnsiTheme="majorHAnsi" w:cstheme="majorHAnsi"/>
          <w:lang w:eastAsia="cs-CZ"/>
        </w:rPr>
        <w:t>Zakladanie objektu je navrhnuté plošné na základových pásoch zo slabo vystuženého betónu. Základové pásy sú navrhnuté do nezámrznej hĺbky, obdĺžnikového prierezu 600/</w:t>
      </w:r>
      <w:proofErr w:type="gramStart"/>
      <w:r w:rsidRPr="009F7606">
        <w:rPr>
          <w:rFonts w:asciiTheme="majorHAnsi" w:hAnsiTheme="majorHAnsi" w:cstheme="majorHAnsi"/>
          <w:lang w:eastAsia="cs-CZ"/>
        </w:rPr>
        <w:t>500mm</w:t>
      </w:r>
      <w:proofErr w:type="gramEnd"/>
      <w:r w:rsidRPr="009F7606">
        <w:rPr>
          <w:rFonts w:asciiTheme="majorHAnsi" w:hAnsiTheme="majorHAnsi" w:cstheme="majorHAnsi"/>
          <w:lang w:eastAsia="cs-CZ"/>
        </w:rPr>
        <w:t xml:space="preserve"> </w:t>
      </w:r>
      <w:r w:rsidRPr="009F7606">
        <w:rPr>
          <w:rStyle w:val="Predvolenpsmoodseku2"/>
          <w:rFonts w:asciiTheme="majorHAnsi" w:hAnsiTheme="majorHAnsi" w:cstheme="majorHAnsi"/>
          <w:lang w:eastAsia="cs-CZ"/>
        </w:rPr>
        <w:t>(š/v)</w:t>
      </w:r>
      <w:r w:rsidRPr="009F7606">
        <w:rPr>
          <w:rFonts w:asciiTheme="majorHAnsi" w:hAnsiTheme="majorHAnsi" w:cstheme="majorHAnsi"/>
          <w:lang w:eastAsia="cs-CZ"/>
        </w:rPr>
        <w:t>. Maximálne napätie v základovej škáre neprekročí 130 kPa.</w:t>
      </w:r>
      <w:r w:rsidRPr="009F7606">
        <w:rPr>
          <w:rFonts w:asciiTheme="majorHAnsi" w:hAnsiTheme="majorHAnsi" w:cstheme="majorHAnsi"/>
          <w:color w:val="FF0000"/>
          <w:lang w:eastAsia="cs-CZ"/>
        </w:rPr>
        <w:t xml:space="preserve"> </w:t>
      </w:r>
      <w:r w:rsidRPr="009F7606">
        <w:rPr>
          <w:rFonts w:asciiTheme="majorHAnsi" w:hAnsiTheme="majorHAnsi" w:cstheme="majorHAnsi"/>
          <w:lang w:eastAsia="cs-CZ"/>
        </w:rPr>
        <w:t>Základy je nutné zakladať do triedy zeminy F6.</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rPr>
        <w:t>Statická schéma</w:t>
      </w:r>
    </w:p>
    <w:p w:rsidR="009F7606" w:rsidRPr="009F7606" w:rsidRDefault="009F7606" w:rsidP="009F7606">
      <w:pPr>
        <w:spacing w:line="300" w:lineRule="auto"/>
        <w:jc w:val="both"/>
        <w:rPr>
          <w:rFonts w:asciiTheme="majorHAnsi" w:hAnsiTheme="majorHAnsi" w:cstheme="majorHAnsi"/>
          <w:b/>
          <w:sz w:val="20"/>
          <w:lang w:eastAsia="cs-CZ"/>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lang w:eastAsia="cs-CZ"/>
        </w:rPr>
        <w:t xml:space="preserve">Všetky vzájomné spoje prvkov krovu sú uvažované kĺbové. ŽB. prievlaky v </w:t>
      </w:r>
      <w:r w:rsidRPr="009F7606">
        <w:rPr>
          <w:rStyle w:val="Predvolenpsmoodseku5"/>
          <w:rFonts w:asciiTheme="majorHAnsi" w:eastAsia="Arial Unicode MS" w:hAnsiTheme="majorHAnsi" w:cstheme="majorHAnsi"/>
          <w:sz w:val="20"/>
        </w:rPr>
        <w:t xml:space="preserve">stropnej konštrukcie nad 1. PP sú kĺbovo kotvené do nosných ŽB stien pri objektoch </w:t>
      </w:r>
      <w:r w:rsidRPr="009F7606">
        <w:rPr>
          <w:rFonts w:asciiTheme="majorHAnsi" w:hAnsiTheme="majorHAnsi" w:cstheme="majorHAnsi"/>
          <w:color w:val="000000"/>
          <w:sz w:val="20"/>
        </w:rPr>
        <w:t>SO-02. Oceľové stĺpy pri objekte SO-03, ktoré nesú veniec sú votknuté.</w:t>
      </w:r>
    </w:p>
    <w:p w:rsidR="009F7606" w:rsidRPr="009F7606" w:rsidRDefault="009F7606" w:rsidP="009F7606">
      <w:pPr>
        <w:spacing w:line="300" w:lineRule="auto"/>
        <w:jc w:val="both"/>
        <w:rPr>
          <w:rFonts w:asciiTheme="majorHAnsi" w:hAnsiTheme="majorHAnsi" w:cstheme="majorHAnsi"/>
          <w:b/>
          <w:sz w:val="20"/>
          <w:lang w:eastAsia="cs-CZ"/>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lang w:eastAsia="cs-CZ"/>
        </w:rPr>
        <w:t>Údaje o zaťažení</w:t>
      </w:r>
    </w:p>
    <w:p w:rsidR="009F7606" w:rsidRPr="009F7606" w:rsidRDefault="009F7606" w:rsidP="009F7606">
      <w:pPr>
        <w:spacing w:line="300" w:lineRule="auto"/>
        <w:jc w:val="both"/>
        <w:rPr>
          <w:rFonts w:asciiTheme="majorHAnsi" w:hAnsiTheme="majorHAnsi" w:cstheme="majorHAnsi"/>
          <w:b/>
          <w:sz w:val="20"/>
          <w:lang w:eastAsia="cs-CZ"/>
        </w:rPr>
      </w:pPr>
    </w:p>
    <w:p w:rsidR="009F7606" w:rsidRPr="009F7606" w:rsidRDefault="009F7606" w:rsidP="009F7606">
      <w:pPr>
        <w:spacing w:line="300" w:lineRule="auto"/>
        <w:ind w:firstLine="720"/>
        <w:jc w:val="both"/>
        <w:rPr>
          <w:rFonts w:asciiTheme="majorHAnsi" w:hAnsiTheme="majorHAnsi" w:cstheme="majorHAnsi"/>
          <w:sz w:val="20"/>
          <w:lang w:eastAsia="cs-CZ"/>
        </w:rPr>
      </w:pPr>
      <w:r w:rsidRPr="009F7606">
        <w:rPr>
          <w:rFonts w:asciiTheme="majorHAnsi" w:hAnsiTheme="majorHAnsi" w:cstheme="majorHAnsi"/>
          <w:sz w:val="20"/>
          <w:lang w:eastAsia="cs-CZ"/>
        </w:rPr>
        <w:t>Pri návrhu konštrukcií zaťaženie vychádzalo z STN EN 1991 (Eurokód 1) Zaťaženia  konštrukcií. Zo stálych zaťažení bolo uplatnené zaťaženie od vlastnej hmotnosti konštrukcií + vlastná tiaž strojných zariadení podľa:  Technická  správa Špecifikácia - Vinárstvo STON  Strekov - Strojná technológia - Ing. Kristel.</w:t>
      </w:r>
    </w:p>
    <w:p w:rsidR="009F7606" w:rsidRPr="009F7606" w:rsidRDefault="009F7606" w:rsidP="009F7606">
      <w:pPr>
        <w:pStyle w:val="Zkladntext"/>
        <w:spacing w:line="300" w:lineRule="auto"/>
        <w:ind w:firstLine="720"/>
        <w:rPr>
          <w:rFonts w:asciiTheme="majorHAnsi" w:hAnsiTheme="majorHAnsi" w:cstheme="majorHAnsi"/>
        </w:rPr>
      </w:pPr>
    </w:p>
    <w:p w:rsidR="009F7606" w:rsidRPr="009F7606" w:rsidRDefault="009F7606" w:rsidP="009F7606">
      <w:pPr>
        <w:spacing w:line="300" w:lineRule="auto"/>
        <w:jc w:val="both"/>
        <w:rPr>
          <w:rStyle w:val="Predvolenpsmoodseku1"/>
          <w:rFonts w:asciiTheme="majorHAnsi" w:hAnsiTheme="majorHAnsi" w:cstheme="majorHAnsi"/>
          <w:color w:val="000000"/>
          <w:sz w:val="20"/>
        </w:rPr>
      </w:pPr>
      <w:r w:rsidRPr="009F7606">
        <w:rPr>
          <w:rFonts w:asciiTheme="majorHAnsi" w:hAnsiTheme="majorHAnsi" w:cstheme="majorHAnsi"/>
          <w:sz w:val="20"/>
          <w:lang w:eastAsia="cs-CZ"/>
        </w:rPr>
        <w:t xml:space="preserve">-Vinifikátory – 4 x 2800kg. ( umiestnené na 1NP v miestnosti 1.13 - </w:t>
      </w:r>
      <w:r w:rsidRPr="009F7606">
        <w:rPr>
          <w:rFonts w:asciiTheme="majorHAnsi" w:hAnsiTheme="majorHAnsi" w:cstheme="majorHAnsi"/>
          <w:bCs/>
          <w:sz w:val="20"/>
        </w:rPr>
        <w:t>Objekt</w:t>
      </w:r>
      <w:r w:rsidRPr="009F7606">
        <w:rPr>
          <w:rFonts w:asciiTheme="majorHAnsi" w:hAnsiTheme="majorHAnsi" w:cstheme="majorHAnsi"/>
          <w:color w:val="000000"/>
          <w:sz w:val="20"/>
        </w:rPr>
        <w:t xml:space="preserve"> SO-02: VINÁRSKA VÝROBA – A </w:t>
      </w:r>
      <w:r w:rsidRPr="009F7606">
        <w:rPr>
          <w:rFonts w:asciiTheme="majorHAnsi" w:hAnsiTheme="majorHAnsi" w:cstheme="majorHAnsi"/>
          <w:sz w:val="20"/>
          <w:lang w:eastAsia="cs-CZ"/>
        </w:rPr>
        <w:t>(</w:t>
      </w:r>
      <w:r w:rsidRPr="009F7606">
        <w:rPr>
          <w:rStyle w:val="Predvolenpsmoodseku1"/>
          <w:rFonts w:asciiTheme="majorHAnsi" w:hAnsiTheme="majorHAnsi" w:cstheme="majorHAnsi"/>
          <w:color w:val="000000"/>
          <w:sz w:val="20"/>
        </w:rPr>
        <w:t xml:space="preserve">lisovňa)) </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lang w:eastAsia="cs-CZ"/>
        </w:rPr>
        <w:t xml:space="preserve">- </w:t>
      </w:r>
      <w:r w:rsidRPr="009F7606">
        <w:rPr>
          <w:rFonts w:asciiTheme="majorHAnsi" w:hAnsiTheme="majorHAnsi" w:cstheme="majorHAnsi"/>
          <w:sz w:val="20"/>
        </w:rPr>
        <w:t>Pneumatický lis</w:t>
      </w:r>
      <w:r w:rsidRPr="009F7606">
        <w:rPr>
          <w:rFonts w:asciiTheme="majorHAnsi" w:hAnsiTheme="majorHAnsi" w:cstheme="majorHAnsi"/>
          <w:sz w:val="20"/>
          <w:lang w:eastAsia="cs-CZ"/>
        </w:rPr>
        <w:t xml:space="preserve">- (označenie: 103) </w:t>
      </w:r>
      <w:r w:rsidRPr="009F7606">
        <w:rPr>
          <w:rFonts w:asciiTheme="majorHAnsi" w:hAnsiTheme="majorHAnsi" w:cstheme="majorHAnsi"/>
          <w:sz w:val="20"/>
        </w:rPr>
        <w:t xml:space="preserve"> – 400kg</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spacing w:line="300" w:lineRule="auto"/>
        <w:jc w:val="both"/>
        <w:rPr>
          <w:rFonts w:asciiTheme="majorHAnsi" w:hAnsiTheme="majorHAnsi" w:cstheme="majorHAnsi"/>
          <w:b/>
          <w:sz w:val="20"/>
          <w:u w:val="single"/>
          <w:lang w:eastAsia="cs-CZ"/>
        </w:rPr>
      </w:pPr>
      <w:r w:rsidRPr="009F7606">
        <w:rPr>
          <w:rFonts w:asciiTheme="majorHAnsi" w:hAnsiTheme="majorHAnsi" w:cstheme="majorHAnsi"/>
          <w:b/>
          <w:sz w:val="20"/>
          <w:u w:val="single"/>
          <w:lang w:eastAsia="cs-CZ"/>
        </w:rPr>
        <w:t>Z klimatických zaťažení :</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sz w:val="20"/>
          <w:lang w:eastAsia="cs-CZ"/>
        </w:rPr>
        <w:t xml:space="preserve"> </w:t>
      </w:r>
    </w:p>
    <w:p w:rsidR="009F7606" w:rsidRPr="009F7606" w:rsidRDefault="009F7606" w:rsidP="009F7606">
      <w:pPr>
        <w:spacing w:line="300" w:lineRule="auto"/>
        <w:jc w:val="both"/>
        <w:rPr>
          <w:rFonts w:asciiTheme="majorHAnsi" w:hAnsiTheme="majorHAnsi" w:cstheme="majorHAnsi"/>
          <w:sz w:val="20"/>
          <w:lang w:eastAsia="cs-CZ"/>
        </w:rPr>
      </w:pPr>
      <w:r w:rsidRPr="009F7606">
        <w:rPr>
          <w:rFonts w:asciiTheme="majorHAnsi" w:hAnsiTheme="majorHAnsi" w:cstheme="majorHAnsi"/>
          <w:sz w:val="20"/>
          <w:lang w:eastAsia="cs-CZ"/>
        </w:rPr>
        <w:t xml:space="preserve">- zaťaženie vetrom pre fundamentálnu hodnotu základnej rýchlosti vetra </w:t>
      </w:r>
    </w:p>
    <w:p w:rsidR="009F7606" w:rsidRPr="009F7606" w:rsidRDefault="009F7606" w:rsidP="009F7606">
      <w:pPr>
        <w:spacing w:line="300" w:lineRule="auto"/>
        <w:jc w:val="both"/>
        <w:rPr>
          <w:rFonts w:asciiTheme="majorHAnsi" w:hAnsiTheme="majorHAnsi" w:cstheme="majorHAnsi"/>
          <w:sz w:val="20"/>
          <w:lang w:eastAsia="cs-CZ"/>
        </w:rPr>
      </w:pPr>
      <w:r w:rsidRPr="009F7606">
        <w:rPr>
          <w:rFonts w:asciiTheme="majorHAnsi" w:hAnsiTheme="majorHAnsi" w:cstheme="majorHAnsi"/>
          <w:sz w:val="20"/>
          <w:lang w:eastAsia="cs-CZ"/>
        </w:rPr>
        <w:t>v</w:t>
      </w:r>
      <w:r w:rsidRPr="009F7606">
        <w:rPr>
          <w:rFonts w:asciiTheme="majorHAnsi" w:hAnsiTheme="majorHAnsi" w:cstheme="majorHAnsi"/>
          <w:sz w:val="20"/>
          <w:vertAlign w:val="subscript"/>
          <w:lang w:eastAsia="cs-CZ"/>
        </w:rPr>
        <w:t xml:space="preserve">b,0 </w:t>
      </w:r>
      <w:r w:rsidRPr="009F7606">
        <w:rPr>
          <w:rFonts w:asciiTheme="majorHAnsi" w:hAnsiTheme="majorHAnsi" w:cstheme="majorHAnsi"/>
          <w:sz w:val="20"/>
          <w:lang w:eastAsia="cs-CZ"/>
        </w:rPr>
        <w:t xml:space="preserve">= 26 m/s </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lang w:eastAsia="cs-CZ"/>
        </w:rPr>
      </w:pPr>
      <w:r w:rsidRPr="009F7606">
        <w:rPr>
          <w:rFonts w:asciiTheme="majorHAnsi" w:hAnsiTheme="majorHAnsi" w:cstheme="majorHAnsi"/>
          <w:sz w:val="20"/>
          <w:lang w:eastAsia="cs-CZ"/>
        </w:rPr>
        <w:t xml:space="preserve">- zaťaženie snehom pre charakteristickú hodnotu zaťaženia snehom </w:t>
      </w:r>
    </w:p>
    <w:p w:rsidR="009F7606" w:rsidRPr="009F7606" w:rsidRDefault="009F7606" w:rsidP="009F7606">
      <w:pPr>
        <w:spacing w:line="300" w:lineRule="auto"/>
        <w:jc w:val="both"/>
        <w:rPr>
          <w:rFonts w:asciiTheme="majorHAnsi" w:hAnsiTheme="majorHAnsi" w:cstheme="majorHAnsi"/>
          <w:sz w:val="20"/>
          <w:lang w:eastAsia="cs-CZ"/>
        </w:rPr>
      </w:pPr>
      <w:r w:rsidRPr="009F7606">
        <w:rPr>
          <w:rFonts w:asciiTheme="majorHAnsi" w:hAnsiTheme="majorHAnsi" w:cstheme="majorHAnsi"/>
          <w:sz w:val="20"/>
          <w:lang w:eastAsia="cs-CZ"/>
        </w:rPr>
        <w:t>s</w:t>
      </w:r>
      <w:r w:rsidRPr="009F7606">
        <w:rPr>
          <w:rFonts w:asciiTheme="majorHAnsi" w:hAnsiTheme="majorHAnsi" w:cstheme="majorHAnsi"/>
          <w:sz w:val="20"/>
          <w:vertAlign w:val="subscript"/>
          <w:lang w:eastAsia="cs-CZ"/>
        </w:rPr>
        <w:t>k</w:t>
      </w:r>
      <w:r w:rsidRPr="009F7606">
        <w:rPr>
          <w:rFonts w:asciiTheme="majorHAnsi" w:hAnsiTheme="majorHAnsi" w:cstheme="majorHAnsi"/>
          <w:sz w:val="20"/>
          <w:lang w:eastAsia="cs-CZ"/>
        </w:rPr>
        <w:t xml:space="preserve"> = 0,70 kN/m</w:t>
      </w:r>
      <w:r w:rsidRPr="009F7606">
        <w:rPr>
          <w:rFonts w:asciiTheme="majorHAnsi" w:hAnsiTheme="majorHAnsi" w:cstheme="majorHAnsi"/>
          <w:sz w:val="20"/>
          <w:vertAlign w:val="superscript"/>
          <w:lang w:eastAsia="cs-CZ"/>
        </w:rPr>
        <w:t>2</w:t>
      </w:r>
      <w:r w:rsidRPr="009F7606">
        <w:rPr>
          <w:rFonts w:asciiTheme="majorHAnsi" w:hAnsiTheme="majorHAnsi" w:cstheme="majorHAnsi"/>
          <w:sz w:val="20"/>
          <w:lang w:eastAsia="cs-CZ"/>
        </w:rPr>
        <w:t>.</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r w:rsidRPr="009F7606">
        <w:rPr>
          <w:rStyle w:val="Predvolenpsmoodseku4"/>
          <w:rFonts w:asciiTheme="majorHAnsi" w:hAnsiTheme="majorHAnsi" w:cstheme="majorHAnsi"/>
          <w:sz w:val="20"/>
          <w:lang w:eastAsia="cs-CZ"/>
        </w:rPr>
        <w:t>-mimoriadne zaťaženie snehom pre charakteristickú hodnotu zaťaženia            sAd=1,47 kN/m2.</w:t>
      </w:r>
    </w:p>
    <w:p w:rsidR="009F7606" w:rsidRPr="009F7606" w:rsidRDefault="009F7606" w:rsidP="009F7606">
      <w:pPr>
        <w:spacing w:line="300" w:lineRule="auto"/>
        <w:jc w:val="both"/>
        <w:rPr>
          <w:rFonts w:asciiTheme="majorHAnsi" w:eastAsia="Arial" w:hAnsiTheme="majorHAnsi" w:cstheme="majorHAnsi"/>
          <w:sz w:val="20"/>
          <w:lang w:eastAsia="cs-CZ"/>
        </w:rPr>
      </w:pPr>
      <w:r w:rsidRPr="009F7606">
        <w:rPr>
          <w:rFonts w:asciiTheme="majorHAnsi" w:eastAsia="Arial" w:hAnsiTheme="majorHAnsi" w:cstheme="majorHAnsi"/>
          <w:sz w:val="20"/>
          <w:lang w:eastAsia="cs-CZ"/>
        </w:rPr>
        <w:t xml:space="preserve">       </w:t>
      </w:r>
    </w:p>
    <w:p w:rsidR="009F7606" w:rsidRPr="009F7606" w:rsidRDefault="009F7606" w:rsidP="009F7606">
      <w:pPr>
        <w:spacing w:line="300" w:lineRule="auto"/>
        <w:jc w:val="both"/>
        <w:rPr>
          <w:rFonts w:asciiTheme="majorHAnsi" w:eastAsia="Arial" w:hAnsiTheme="majorHAnsi" w:cstheme="majorHAnsi"/>
          <w:sz w:val="20"/>
          <w:lang w:eastAsia="cs-CZ"/>
        </w:rPr>
      </w:pPr>
    </w:p>
    <w:p w:rsidR="009F7606" w:rsidRPr="009F7606" w:rsidRDefault="009F7606" w:rsidP="009F7606">
      <w:pPr>
        <w:spacing w:line="300" w:lineRule="auto"/>
        <w:jc w:val="both"/>
        <w:rPr>
          <w:rStyle w:val="Predvolenpsmoodseku4"/>
          <w:rFonts w:asciiTheme="majorHAnsi" w:hAnsiTheme="majorHAnsi" w:cstheme="majorHAnsi"/>
          <w:b/>
          <w:sz w:val="20"/>
          <w:u w:val="single"/>
        </w:rPr>
      </w:pPr>
      <w:r w:rsidRPr="009F7606">
        <w:rPr>
          <w:rStyle w:val="Predvolenpsmoodseku4"/>
          <w:rFonts w:asciiTheme="majorHAnsi" w:hAnsiTheme="majorHAnsi" w:cstheme="majorHAnsi"/>
          <w:b/>
          <w:sz w:val="20"/>
          <w:u w:val="single"/>
        </w:rPr>
        <w:t xml:space="preserve">Občasné zaťaženia podláh : </w:t>
      </w:r>
    </w:p>
    <w:p w:rsidR="009F7606" w:rsidRPr="009F7606" w:rsidRDefault="009F7606" w:rsidP="009F7606">
      <w:pPr>
        <w:spacing w:line="300" w:lineRule="auto"/>
        <w:jc w:val="both"/>
        <w:rPr>
          <w:rStyle w:val="Predvolenpsmoodseku4"/>
          <w:rFonts w:asciiTheme="majorHAnsi" w:hAnsiTheme="majorHAnsi" w:cstheme="majorHAnsi"/>
          <w:sz w:val="20"/>
        </w:rPr>
      </w:pPr>
    </w:p>
    <w:p w:rsidR="009F7606" w:rsidRPr="009F7606" w:rsidRDefault="009F7606" w:rsidP="009F7606">
      <w:pPr>
        <w:spacing w:line="300" w:lineRule="auto"/>
        <w:ind w:firstLine="720"/>
        <w:jc w:val="both"/>
        <w:rPr>
          <w:rFonts w:asciiTheme="majorHAnsi" w:hAnsiTheme="majorHAnsi" w:cstheme="majorHAnsi"/>
          <w:sz w:val="20"/>
          <w:lang w:eastAsia="cs-CZ"/>
        </w:rPr>
      </w:pPr>
      <w:r w:rsidRPr="009F7606">
        <w:rPr>
          <w:rStyle w:val="Predvolenpsmoodseku4"/>
          <w:rFonts w:asciiTheme="majorHAnsi" w:hAnsiTheme="majorHAnsi" w:cstheme="majorHAnsi"/>
          <w:sz w:val="20"/>
        </w:rPr>
        <w:t xml:space="preserve">Bolo definované  investorom a čiastočne  prebrané podľa - </w:t>
      </w:r>
      <w:r w:rsidRPr="009F7606">
        <w:rPr>
          <w:rFonts w:asciiTheme="majorHAnsi" w:hAnsiTheme="majorHAnsi" w:cstheme="majorHAnsi"/>
          <w:sz w:val="20"/>
          <w:lang w:eastAsia="cs-CZ"/>
        </w:rPr>
        <w:t xml:space="preserve"> Technická  správa Špecifikácia - Vinárstvo STON  Strekov - Strojná technológia - Ing. Kristel.</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autoSpaceDE w:val="0"/>
        <w:autoSpaceDN w:val="0"/>
        <w:adjustRightInd w:val="0"/>
        <w:spacing w:line="300" w:lineRule="auto"/>
        <w:jc w:val="both"/>
        <w:rPr>
          <w:rFonts w:asciiTheme="majorHAnsi" w:hAnsiTheme="majorHAnsi" w:cstheme="majorHAnsi"/>
          <w:b/>
          <w:color w:val="000000"/>
          <w:sz w:val="20"/>
        </w:rPr>
      </w:pPr>
      <w:r w:rsidRPr="009F7606">
        <w:rPr>
          <w:rFonts w:asciiTheme="majorHAnsi" w:hAnsiTheme="majorHAnsi" w:cstheme="majorHAnsi"/>
          <w:b/>
          <w:color w:val="000000"/>
          <w:sz w:val="20"/>
        </w:rPr>
        <w:t>SO-01</w:t>
      </w:r>
      <w:r w:rsidRPr="009F7606">
        <w:rPr>
          <w:rFonts w:asciiTheme="majorHAnsi" w:hAnsiTheme="majorHAnsi" w:cstheme="majorHAnsi"/>
          <w:b/>
          <w:color w:val="000000"/>
          <w:sz w:val="20"/>
        </w:rPr>
        <w:tab/>
        <w:t>- SHOWROOM S UBYTOVANÍM</w:t>
      </w:r>
    </w:p>
    <w:p w:rsidR="009F7606" w:rsidRPr="009F7606" w:rsidRDefault="009F7606" w:rsidP="009F7606">
      <w:pPr>
        <w:autoSpaceDE w:val="0"/>
        <w:autoSpaceDN w:val="0"/>
        <w:adjustRightInd w:val="0"/>
        <w:spacing w:line="300" w:lineRule="auto"/>
        <w:jc w:val="both"/>
        <w:rPr>
          <w:rFonts w:asciiTheme="majorHAnsi" w:hAnsiTheme="majorHAnsi" w:cstheme="majorHAnsi"/>
          <w:b/>
          <w:color w:val="000000"/>
          <w:sz w:val="20"/>
        </w:rPr>
      </w:pPr>
    </w:p>
    <w:p w:rsidR="009F7606" w:rsidRPr="009F7606" w:rsidRDefault="009F7606" w:rsidP="009F7606">
      <w:pPr>
        <w:pStyle w:val="Standard"/>
        <w:spacing w:line="300" w:lineRule="auto"/>
        <w:jc w:val="both"/>
        <w:rPr>
          <w:rFonts w:asciiTheme="majorHAnsi" w:hAnsiTheme="majorHAnsi" w:cstheme="majorHAnsi"/>
          <w:sz w:val="20"/>
        </w:rPr>
      </w:pPr>
      <w:r w:rsidRPr="009F7606">
        <w:rPr>
          <w:rFonts w:asciiTheme="majorHAnsi" w:hAnsiTheme="majorHAnsi" w:cstheme="majorHAnsi"/>
          <w:sz w:val="20"/>
          <w:lang w:eastAsia="cs-CZ"/>
        </w:rPr>
        <w:t xml:space="preserve"> - miestnosti   q</w:t>
      </w:r>
      <w:r w:rsidRPr="009F7606">
        <w:rPr>
          <w:rFonts w:asciiTheme="majorHAnsi" w:hAnsiTheme="majorHAnsi" w:cstheme="majorHAnsi"/>
          <w:position w:val="-15"/>
          <w:sz w:val="20"/>
          <w:lang w:eastAsia="cs-CZ"/>
        </w:rPr>
        <w:t>k</w:t>
      </w:r>
      <w:r w:rsidRPr="009F7606">
        <w:rPr>
          <w:rFonts w:asciiTheme="majorHAnsi" w:hAnsiTheme="majorHAnsi" w:cstheme="majorHAnsi"/>
          <w:sz w:val="20"/>
          <w:lang w:eastAsia="cs-CZ"/>
        </w:rPr>
        <w:t xml:space="preserve"> = 2,0 kN/m</w:t>
      </w:r>
      <w:r w:rsidRPr="009F7606">
        <w:rPr>
          <w:rFonts w:asciiTheme="majorHAnsi" w:hAnsiTheme="majorHAnsi" w:cstheme="majorHAnsi"/>
          <w:position w:val="16"/>
          <w:sz w:val="20"/>
          <w:lang w:eastAsia="cs-CZ"/>
        </w:rPr>
        <w:t>2</w:t>
      </w:r>
    </w:p>
    <w:p w:rsidR="009F7606" w:rsidRPr="009F7606" w:rsidRDefault="009F7606" w:rsidP="009F7606">
      <w:pPr>
        <w:pStyle w:val="Standard"/>
        <w:spacing w:line="300" w:lineRule="auto"/>
        <w:jc w:val="both"/>
        <w:rPr>
          <w:rFonts w:asciiTheme="majorHAnsi" w:eastAsia="Arial" w:hAnsiTheme="majorHAnsi" w:cstheme="majorHAnsi"/>
          <w:sz w:val="20"/>
          <w:lang w:eastAsia="cs-CZ"/>
        </w:rPr>
      </w:pPr>
      <w:r w:rsidRPr="009F7606">
        <w:rPr>
          <w:rFonts w:asciiTheme="majorHAnsi" w:eastAsia="Arial" w:hAnsiTheme="majorHAnsi" w:cstheme="majorHAnsi"/>
          <w:sz w:val="20"/>
          <w:lang w:eastAsia="cs-CZ"/>
        </w:rPr>
        <w:t xml:space="preserve">                       </w:t>
      </w:r>
      <w:r w:rsidRPr="009F7606">
        <w:rPr>
          <w:rFonts w:asciiTheme="majorHAnsi" w:hAnsiTheme="majorHAnsi" w:cstheme="majorHAnsi"/>
          <w:sz w:val="20"/>
          <w:lang w:eastAsia="cs-CZ"/>
        </w:rPr>
        <w:t>Q</w:t>
      </w:r>
      <w:r w:rsidRPr="009F7606">
        <w:rPr>
          <w:rFonts w:asciiTheme="majorHAnsi" w:hAnsiTheme="majorHAnsi" w:cstheme="majorHAnsi"/>
          <w:position w:val="-15"/>
          <w:sz w:val="20"/>
          <w:lang w:eastAsia="cs-CZ"/>
        </w:rPr>
        <w:t>k</w:t>
      </w:r>
      <w:r w:rsidRPr="009F7606">
        <w:rPr>
          <w:rFonts w:asciiTheme="majorHAnsi" w:hAnsiTheme="majorHAnsi" w:cstheme="majorHAnsi"/>
          <w:sz w:val="20"/>
          <w:lang w:eastAsia="cs-CZ"/>
        </w:rPr>
        <w:t xml:space="preserve"> = 2,0 kN</w:t>
      </w:r>
      <w:r w:rsidRPr="009F7606">
        <w:rPr>
          <w:rFonts w:asciiTheme="majorHAnsi" w:eastAsia="Arial" w:hAnsiTheme="majorHAnsi" w:cstheme="majorHAnsi"/>
          <w:sz w:val="20"/>
          <w:lang w:eastAsia="cs-CZ"/>
        </w:rPr>
        <w:t xml:space="preserve">      </w:t>
      </w:r>
    </w:p>
    <w:p w:rsidR="009F7606" w:rsidRPr="009F7606" w:rsidRDefault="009F7606" w:rsidP="009F7606">
      <w:pPr>
        <w:pStyle w:val="Standard"/>
        <w:spacing w:line="300" w:lineRule="auto"/>
        <w:jc w:val="both"/>
        <w:rPr>
          <w:rFonts w:asciiTheme="majorHAnsi" w:hAnsiTheme="majorHAnsi" w:cstheme="majorHAnsi"/>
          <w:sz w:val="20"/>
        </w:rPr>
      </w:pPr>
      <w:r w:rsidRPr="009F7606">
        <w:rPr>
          <w:rFonts w:asciiTheme="majorHAnsi" w:eastAsia="Arial" w:hAnsiTheme="majorHAnsi" w:cstheme="majorHAnsi"/>
          <w:sz w:val="20"/>
          <w:lang w:eastAsia="cs-CZ"/>
        </w:rPr>
        <w:t xml:space="preserve">                                                                                                                                                                                                                                                                                                                                                                                                                                                                                                   </w:t>
      </w:r>
      <w:r w:rsidRPr="009F7606">
        <w:rPr>
          <w:rFonts w:asciiTheme="majorHAnsi" w:hAnsiTheme="majorHAnsi" w:cstheme="majorHAnsi"/>
          <w:sz w:val="20"/>
          <w:lang w:eastAsia="cs-CZ"/>
        </w:rPr>
        <w:t>- chodby a schodiská  q</w:t>
      </w:r>
      <w:r w:rsidRPr="009F7606">
        <w:rPr>
          <w:rFonts w:asciiTheme="majorHAnsi" w:hAnsiTheme="majorHAnsi" w:cstheme="majorHAnsi"/>
          <w:position w:val="-15"/>
          <w:sz w:val="20"/>
          <w:lang w:eastAsia="cs-CZ"/>
        </w:rPr>
        <w:t>k</w:t>
      </w:r>
      <w:r w:rsidRPr="009F7606">
        <w:rPr>
          <w:rFonts w:asciiTheme="majorHAnsi" w:hAnsiTheme="majorHAnsi" w:cstheme="majorHAnsi"/>
          <w:sz w:val="20"/>
          <w:lang w:eastAsia="cs-CZ"/>
        </w:rPr>
        <w:t xml:space="preserve"> = 3,0 kN/m</w:t>
      </w:r>
      <w:r w:rsidRPr="009F7606">
        <w:rPr>
          <w:rFonts w:asciiTheme="majorHAnsi" w:hAnsiTheme="majorHAnsi" w:cstheme="majorHAnsi"/>
          <w:position w:val="16"/>
          <w:sz w:val="20"/>
          <w:lang w:eastAsia="cs-CZ"/>
        </w:rPr>
        <w:t>2</w:t>
      </w:r>
      <w:r w:rsidRPr="009F7606">
        <w:rPr>
          <w:rFonts w:asciiTheme="majorHAnsi" w:hAnsiTheme="majorHAnsi" w:cstheme="majorHAnsi"/>
          <w:sz w:val="20"/>
          <w:lang w:eastAsia="cs-CZ"/>
        </w:rPr>
        <w:t xml:space="preserve">         </w:t>
      </w:r>
      <w:r w:rsidRPr="009F7606">
        <w:rPr>
          <w:rFonts w:asciiTheme="majorHAnsi" w:hAnsiTheme="majorHAnsi" w:cstheme="majorHAnsi"/>
          <w:position w:val="16"/>
          <w:sz w:val="20"/>
          <w:lang w:eastAsia="cs-CZ"/>
        </w:rPr>
        <w:t xml:space="preserve">                                                                             </w:t>
      </w:r>
    </w:p>
    <w:p w:rsidR="009F7606" w:rsidRPr="009F7606" w:rsidRDefault="009F7606" w:rsidP="009F7606">
      <w:pPr>
        <w:pStyle w:val="Standard"/>
        <w:spacing w:line="300" w:lineRule="auto"/>
        <w:jc w:val="both"/>
        <w:rPr>
          <w:rStyle w:val="Predvolenpsmoodseku4"/>
          <w:rFonts w:asciiTheme="majorHAnsi" w:eastAsia="Arial" w:hAnsiTheme="majorHAnsi" w:cstheme="majorHAnsi"/>
          <w:sz w:val="20"/>
          <w:lang w:eastAsia="cs-CZ"/>
        </w:rPr>
      </w:pPr>
      <w:r w:rsidRPr="009F7606">
        <w:rPr>
          <w:rFonts w:asciiTheme="majorHAnsi" w:eastAsia="Arial" w:hAnsiTheme="majorHAnsi" w:cstheme="majorHAnsi"/>
          <w:b/>
          <w:sz w:val="20"/>
          <w:lang w:eastAsia="cs-CZ"/>
        </w:rPr>
        <w:t xml:space="preserve">                                    </w:t>
      </w:r>
      <w:r w:rsidRPr="009F7606">
        <w:rPr>
          <w:rFonts w:asciiTheme="majorHAnsi" w:eastAsia="Arial" w:hAnsiTheme="majorHAnsi" w:cstheme="majorHAnsi"/>
          <w:sz w:val="20"/>
          <w:lang w:eastAsia="cs-CZ"/>
        </w:rPr>
        <w:t>Q</w:t>
      </w:r>
      <w:r w:rsidRPr="009F7606">
        <w:rPr>
          <w:rFonts w:asciiTheme="majorHAnsi" w:eastAsia="Arial" w:hAnsiTheme="majorHAnsi" w:cstheme="majorHAnsi"/>
          <w:position w:val="-15"/>
          <w:sz w:val="20"/>
          <w:lang w:eastAsia="cs-CZ"/>
        </w:rPr>
        <w:t>k</w:t>
      </w:r>
      <w:r w:rsidRPr="009F7606">
        <w:rPr>
          <w:rFonts w:asciiTheme="majorHAnsi" w:eastAsia="Arial" w:hAnsiTheme="majorHAnsi" w:cstheme="majorHAnsi"/>
          <w:sz w:val="20"/>
          <w:lang w:eastAsia="cs-CZ"/>
        </w:rPr>
        <w:t xml:space="preserve"> = 2,0 kN</w:t>
      </w:r>
      <w:r w:rsidRPr="009F7606">
        <w:rPr>
          <w:rStyle w:val="Predvolenpsmoodseku4"/>
          <w:rFonts w:asciiTheme="majorHAnsi" w:eastAsia="Arial" w:hAnsiTheme="majorHAnsi" w:cstheme="majorHAnsi"/>
          <w:sz w:val="20"/>
          <w:lang w:eastAsia="cs-CZ"/>
        </w:rPr>
        <w:t xml:space="preserve">       </w:t>
      </w:r>
    </w:p>
    <w:p w:rsidR="009F7606" w:rsidRPr="009F7606" w:rsidRDefault="009F7606" w:rsidP="009F7606">
      <w:pPr>
        <w:pStyle w:val="Standard"/>
        <w:spacing w:line="300" w:lineRule="auto"/>
        <w:jc w:val="both"/>
        <w:rPr>
          <w:rFonts w:asciiTheme="majorHAnsi" w:hAnsiTheme="majorHAnsi" w:cstheme="majorHAnsi"/>
          <w:sz w:val="20"/>
        </w:rPr>
      </w:pPr>
    </w:p>
    <w:p w:rsidR="009F7606" w:rsidRPr="009F7606" w:rsidRDefault="009F7606" w:rsidP="009F7606">
      <w:pPr>
        <w:autoSpaceDE w:val="0"/>
        <w:autoSpaceDN w:val="0"/>
        <w:adjustRightInd w:val="0"/>
        <w:spacing w:line="300" w:lineRule="auto"/>
        <w:jc w:val="both"/>
        <w:rPr>
          <w:rFonts w:asciiTheme="majorHAnsi" w:hAnsiTheme="majorHAnsi" w:cstheme="majorHAnsi"/>
          <w:b/>
          <w:color w:val="000000"/>
          <w:sz w:val="20"/>
        </w:rPr>
      </w:pPr>
      <w:r w:rsidRPr="009F7606">
        <w:rPr>
          <w:rFonts w:asciiTheme="majorHAnsi" w:hAnsiTheme="majorHAnsi" w:cstheme="majorHAnsi"/>
          <w:b/>
          <w:color w:val="000000"/>
          <w:sz w:val="20"/>
        </w:rPr>
        <w:t>SO-02</w:t>
      </w:r>
      <w:r w:rsidRPr="009F7606">
        <w:rPr>
          <w:rFonts w:asciiTheme="majorHAnsi" w:hAnsiTheme="majorHAnsi" w:cstheme="majorHAnsi"/>
          <w:b/>
          <w:color w:val="000000"/>
          <w:sz w:val="20"/>
        </w:rPr>
        <w:tab/>
        <w:t>- VINÁRSKA VÝROBA</w:t>
      </w:r>
    </w:p>
    <w:p w:rsidR="009F7606" w:rsidRPr="009F7606" w:rsidRDefault="009F7606" w:rsidP="009F7606">
      <w:pPr>
        <w:autoSpaceDE w:val="0"/>
        <w:autoSpaceDN w:val="0"/>
        <w:adjustRightInd w:val="0"/>
        <w:spacing w:line="300" w:lineRule="auto"/>
        <w:jc w:val="both"/>
        <w:rPr>
          <w:rFonts w:asciiTheme="majorHAnsi" w:hAnsiTheme="majorHAnsi" w:cstheme="majorHAnsi"/>
          <w:position w:val="16"/>
          <w:sz w:val="20"/>
          <w:lang w:eastAsia="cs-CZ"/>
        </w:rPr>
      </w:pPr>
      <w:r w:rsidRPr="009F7606">
        <w:rPr>
          <w:rFonts w:asciiTheme="majorHAnsi" w:hAnsiTheme="majorHAnsi" w:cstheme="majorHAnsi"/>
          <w:sz w:val="20"/>
          <w:lang w:eastAsia="cs-CZ"/>
        </w:rPr>
        <w:t>-- miestnosť  1.23  q</w:t>
      </w:r>
      <w:r w:rsidRPr="009F7606">
        <w:rPr>
          <w:rFonts w:asciiTheme="majorHAnsi" w:hAnsiTheme="majorHAnsi" w:cstheme="majorHAnsi"/>
          <w:position w:val="-15"/>
          <w:sz w:val="20"/>
          <w:lang w:eastAsia="cs-CZ"/>
        </w:rPr>
        <w:t>k</w:t>
      </w:r>
      <w:r w:rsidRPr="009F7606">
        <w:rPr>
          <w:rFonts w:asciiTheme="majorHAnsi" w:hAnsiTheme="majorHAnsi" w:cstheme="majorHAnsi"/>
          <w:sz w:val="20"/>
          <w:lang w:eastAsia="cs-CZ"/>
        </w:rPr>
        <w:t xml:space="preserve"> = 15,0 kN/m</w:t>
      </w:r>
      <w:r w:rsidRPr="009F7606">
        <w:rPr>
          <w:rFonts w:asciiTheme="majorHAnsi" w:hAnsiTheme="majorHAnsi" w:cstheme="majorHAnsi"/>
          <w:position w:val="16"/>
          <w:sz w:val="20"/>
          <w:lang w:eastAsia="cs-CZ"/>
        </w:rPr>
        <w:t xml:space="preserve">2  </w:t>
      </w:r>
    </w:p>
    <w:p w:rsidR="009F7606" w:rsidRPr="009F7606" w:rsidRDefault="009F7606" w:rsidP="009F7606">
      <w:pPr>
        <w:autoSpaceDE w:val="0"/>
        <w:autoSpaceDN w:val="0"/>
        <w:adjustRightInd w:val="0"/>
        <w:spacing w:line="300" w:lineRule="auto"/>
        <w:jc w:val="both"/>
        <w:rPr>
          <w:rFonts w:asciiTheme="majorHAnsi" w:hAnsiTheme="majorHAnsi" w:cstheme="majorHAnsi"/>
          <w:position w:val="16"/>
          <w:sz w:val="20"/>
          <w:lang w:eastAsia="cs-CZ"/>
        </w:rPr>
      </w:pPr>
      <w:r w:rsidRPr="009F7606">
        <w:rPr>
          <w:rFonts w:asciiTheme="majorHAnsi" w:hAnsiTheme="majorHAnsi" w:cstheme="majorHAnsi"/>
          <w:sz w:val="20"/>
          <w:lang w:eastAsia="cs-CZ"/>
        </w:rPr>
        <w:t>- miestnosti ostatné na 1NP  q</w:t>
      </w:r>
      <w:r w:rsidRPr="009F7606">
        <w:rPr>
          <w:rFonts w:asciiTheme="majorHAnsi" w:hAnsiTheme="majorHAnsi" w:cstheme="majorHAnsi"/>
          <w:position w:val="-15"/>
          <w:sz w:val="20"/>
          <w:lang w:eastAsia="cs-CZ"/>
        </w:rPr>
        <w:t>k</w:t>
      </w:r>
      <w:r w:rsidRPr="009F7606">
        <w:rPr>
          <w:rFonts w:asciiTheme="majorHAnsi" w:hAnsiTheme="majorHAnsi" w:cstheme="majorHAnsi"/>
          <w:sz w:val="20"/>
          <w:lang w:eastAsia="cs-CZ"/>
        </w:rPr>
        <w:t xml:space="preserve"> = 7,5 kN/m</w:t>
      </w:r>
      <w:r w:rsidRPr="009F7606">
        <w:rPr>
          <w:rFonts w:asciiTheme="majorHAnsi" w:hAnsiTheme="majorHAnsi" w:cstheme="majorHAnsi"/>
          <w:position w:val="16"/>
          <w:sz w:val="20"/>
          <w:lang w:eastAsia="cs-CZ"/>
        </w:rPr>
        <w:t xml:space="preserve">2  </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r w:rsidRPr="009F7606">
        <w:rPr>
          <w:rFonts w:asciiTheme="majorHAnsi" w:hAnsiTheme="majorHAnsi" w:cstheme="majorHAnsi"/>
          <w:color w:val="000000"/>
          <w:sz w:val="20"/>
        </w:rPr>
        <w:t xml:space="preserve">- sklady 2NP. -  </w:t>
      </w:r>
      <w:r w:rsidRPr="009F7606">
        <w:rPr>
          <w:rFonts w:asciiTheme="majorHAnsi" w:hAnsiTheme="majorHAnsi" w:cstheme="majorHAnsi"/>
          <w:sz w:val="20"/>
          <w:lang w:eastAsia="cs-CZ"/>
        </w:rPr>
        <w:t>q</w:t>
      </w:r>
      <w:r w:rsidRPr="009F7606">
        <w:rPr>
          <w:rFonts w:asciiTheme="majorHAnsi" w:hAnsiTheme="majorHAnsi" w:cstheme="majorHAnsi"/>
          <w:position w:val="-15"/>
          <w:sz w:val="20"/>
          <w:lang w:eastAsia="cs-CZ"/>
        </w:rPr>
        <w:t>k</w:t>
      </w:r>
      <w:r w:rsidRPr="009F7606">
        <w:rPr>
          <w:rFonts w:asciiTheme="majorHAnsi" w:hAnsiTheme="majorHAnsi" w:cstheme="majorHAnsi"/>
          <w:sz w:val="20"/>
          <w:lang w:eastAsia="cs-CZ"/>
        </w:rPr>
        <w:t xml:space="preserve"> = 3,0 kN/m</w:t>
      </w:r>
      <w:r w:rsidRPr="009F7606">
        <w:rPr>
          <w:rFonts w:asciiTheme="majorHAnsi" w:hAnsiTheme="majorHAnsi" w:cstheme="majorHAnsi"/>
          <w:position w:val="16"/>
          <w:sz w:val="20"/>
          <w:lang w:eastAsia="cs-CZ"/>
        </w:rPr>
        <w:t>2</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r w:rsidRPr="009F7606">
        <w:rPr>
          <w:rFonts w:asciiTheme="majorHAnsi" w:hAnsiTheme="majorHAnsi" w:cstheme="majorHAnsi"/>
          <w:color w:val="000000"/>
          <w:sz w:val="20"/>
        </w:rPr>
        <w:t>- v pivnici nerezových tankov  - 2 000 kg/ m2</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r w:rsidRPr="009F7606">
        <w:rPr>
          <w:rFonts w:asciiTheme="majorHAnsi" w:hAnsiTheme="majorHAnsi" w:cstheme="majorHAnsi"/>
          <w:color w:val="000000"/>
          <w:sz w:val="20"/>
        </w:rPr>
        <w:t>- v pivnici drevenej sudoviny  - 4 000 kg/ m2</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p>
    <w:p w:rsidR="009F7606" w:rsidRPr="009F7606" w:rsidRDefault="009F7606" w:rsidP="009F7606">
      <w:pPr>
        <w:autoSpaceDE w:val="0"/>
        <w:autoSpaceDN w:val="0"/>
        <w:adjustRightInd w:val="0"/>
        <w:spacing w:line="300" w:lineRule="auto"/>
        <w:jc w:val="both"/>
        <w:rPr>
          <w:rFonts w:asciiTheme="majorHAnsi" w:hAnsiTheme="majorHAnsi" w:cstheme="majorHAnsi"/>
          <w:b/>
          <w:color w:val="000000"/>
          <w:sz w:val="20"/>
        </w:rPr>
      </w:pPr>
      <w:r w:rsidRPr="009F7606">
        <w:rPr>
          <w:rFonts w:asciiTheme="majorHAnsi" w:hAnsiTheme="majorHAnsi" w:cstheme="majorHAnsi"/>
          <w:b/>
          <w:color w:val="000000"/>
          <w:sz w:val="20"/>
        </w:rPr>
        <w:t>SO-03</w:t>
      </w:r>
      <w:r w:rsidRPr="009F7606">
        <w:rPr>
          <w:rFonts w:asciiTheme="majorHAnsi" w:hAnsiTheme="majorHAnsi" w:cstheme="majorHAnsi"/>
          <w:b/>
          <w:color w:val="000000"/>
          <w:sz w:val="20"/>
        </w:rPr>
        <w:tab/>
        <w:t>- HOSPODÁRSKY OBJEKT</w:t>
      </w:r>
    </w:p>
    <w:p w:rsidR="009F7606" w:rsidRPr="009F7606" w:rsidRDefault="009F7606" w:rsidP="009F7606">
      <w:pPr>
        <w:autoSpaceDE w:val="0"/>
        <w:autoSpaceDN w:val="0"/>
        <w:adjustRightInd w:val="0"/>
        <w:spacing w:line="300" w:lineRule="auto"/>
        <w:jc w:val="both"/>
        <w:rPr>
          <w:rFonts w:asciiTheme="majorHAnsi" w:hAnsiTheme="majorHAnsi" w:cstheme="majorHAnsi"/>
          <w:color w:val="000000"/>
          <w:sz w:val="20"/>
        </w:rPr>
      </w:pPr>
      <w:r w:rsidRPr="009F7606">
        <w:rPr>
          <w:rFonts w:asciiTheme="majorHAnsi" w:hAnsiTheme="majorHAnsi" w:cstheme="majorHAnsi"/>
          <w:color w:val="000000"/>
          <w:sz w:val="20"/>
        </w:rPr>
        <w:t xml:space="preserve">- sklady 2NP. -  </w:t>
      </w:r>
      <w:r w:rsidRPr="009F7606">
        <w:rPr>
          <w:rFonts w:asciiTheme="majorHAnsi" w:hAnsiTheme="majorHAnsi" w:cstheme="majorHAnsi"/>
          <w:sz w:val="20"/>
          <w:lang w:eastAsia="cs-CZ"/>
        </w:rPr>
        <w:t>q</w:t>
      </w:r>
      <w:r w:rsidRPr="009F7606">
        <w:rPr>
          <w:rFonts w:asciiTheme="majorHAnsi" w:hAnsiTheme="majorHAnsi" w:cstheme="majorHAnsi"/>
          <w:position w:val="-15"/>
          <w:sz w:val="20"/>
          <w:lang w:eastAsia="cs-CZ"/>
        </w:rPr>
        <w:t>k</w:t>
      </w:r>
      <w:r w:rsidRPr="009F7606">
        <w:rPr>
          <w:rFonts w:asciiTheme="majorHAnsi" w:hAnsiTheme="majorHAnsi" w:cstheme="majorHAnsi"/>
          <w:sz w:val="20"/>
          <w:lang w:eastAsia="cs-CZ"/>
        </w:rPr>
        <w:t xml:space="preserve"> = 3,0 kN/m</w:t>
      </w:r>
      <w:r w:rsidRPr="009F7606">
        <w:rPr>
          <w:rFonts w:asciiTheme="majorHAnsi" w:hAnsiTheme="majorHAnsi" w:cstheme="majorHAnsi"/>
          <w:position w:val="16"/>
          <w:sz w:val="20"/>
          <w:lang w:eastAsia="cs-CZ"/>
        </w:rPr>
        <w:t>2</w:t>
      </w:r>
    </w:p>
    <w:p w:rsidR="009F7606" w:rsidRPr="009F7606" w:rsidRDefault="009F7606" w:rsidP="009F7606">
      <w:pPr>
        <w:autoSpaceDE w:val="0"/>
        <w:autoSpaceDN w:val="0"/>
        <w:adjustRightInd w:val="0"/>
        <w:spacing w:line="300" w:lineRule="auto"/>
        <w:jc w:val="both"/>
        <w:rPr>
          <w:rFonts w:asciiTheme="majorHAnsi" w:hAnsiTheme="majorHAnsi" w:cstheme="majorHAnsi"/>
          <w:position w:val="16"/>
          <w:sz w:val="20"/>
          <w:lang w:eastAsia="cs-CZ"/>
        </w:rPr>
      </w:pPr>
      <w:r w:rsidRPr="009F7606">
        <w:rPr>
          <w:rFonts w:asciiTheme="majorHAnsi" w:hAnsiTheme="majorHAnsi" w:cstheme="majorHAnsi"/>
          <w:sz w:val="20"/>
          <w:lang w:eastAsia="cs-CZ"/>
        </w:rPr>
        <w:lastRenderedPageBreak/>
        <w:t>- miestnosti  1NP  q</w:t>
      </w:r>
      <w:r w:rsidRPr="009F7606">
        <w:rPr>
          <w:rFonts w:asciiTheme="majorHAnsi" w:hAnsiTheme="majorHAnsi" w:cstheme="majorHAnsi"/>
          <w:position w:val="-15"/>
          <w:sz w:val="20"/>
          <w:lang w:eastAsia="cs-CZ"/>
        </w:rPr>
        <w:t>k</w:t>
      </w:r>
      <w:r w:rsidRPr="009F7606">
        <w:rPr>
          <w:rFonts w:asciiTheme="majorHAnsi" w:hAnsiTheme="majorHAnsi" w:cstheme="majorHAnsi"/>
          <w:sz w:val="20"/>
          <w:lang w:eastAsia="cs-CZ"/>
        </w:rPr>
        <w:t xml:space="preserve"> = 7,5 kN/m</w:t>
      </w:r>
      <w:r w:rsidRPr="009F7606">
        <w:rPr>
          <w:rFonts w:asciiTheme="majorHAnsi" w:hAnsiTheme="majorHAnsi" w:cstheme="majorHAnsi"/>
          <w:position w:val="16"/>
          <w:sz w:val="20"/>
          <w:lang w:eastAsia="cs-CZ"/>
        </w:rPr>
        <w:t xml:space="preserve">2  </w:t>
      </w:r>
    </w:p>
    <w:p w:rsidR="009F7606" w:rsidRPr="009F7606" w:rsidRDefault="009F7606" w:rsidP="009F7606">
      <w:pPr>
        <w:spacing w:line="300" w:lineRule="auto"/>
        <w:jc w:val="both"/>
        <w:rPr>
          <w:rFonts w:asciiTheme="majorHAnsi" w:eastAsia="Arial" w:hAnsiTheme="majorHAnsi" w:cstheme="majorHAnsi"/>
          <w:sz w:val="20"/>
          <w:lang w:eastAsia="cs-CZ"/>
        </w:rPr>
      </w:pPr>
      <w:r w:rsidRPr="009F7606">
        <w:rPr>
          <w:rFonts w:asciiTheme="majorHAnsi" w:eastAsia="Arial" w:hAnsiTheme="majorHAnsi" w:cstheme="majorHAnsi"/>
          <w:sz w:val="20"/>
          <w:lang w:eastAsia="cs-CZ"/>
        </w:rPr>
        <w:t xml:space="preserve">                                                                                                                                                                                                                                                                                                                                                                                                                                                                                                                                                                                    </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lang w:eastAsia="cs-CZ"/>
        </w:rPr>
        <w:t>Metodika statického výpočtu.</w:t>
      </w:r>
    </w:p>
    <w:p w:rsidR="009F7606" w:rsidRPr="009F7606" w:rsidRDefault="009F7606" w:rsidP="009F7606">
      <w:pPr>
        <w:spacing w:line="300" w:lineRule="auto"/>
        <w:jc w:val="both"/>
        <w:rPr>
          <w:rFonts w:asciiTheme="majorHAnsi" w:hAnsiTheme="majorHAnsi" w:cstheme="majorHAnsi"/>
          <w:b/>
          <w:sz w:val="20"/>
          <w:lang w:eastAsia="cs-CZ"/>
        </w:rPr>
      </w:pPr>
    </w:p>
    <w:p w:rsidR="009F7606" w:rsidRPr="009F7606" w:rsidRDefault="009F7606" w:rsidP="009F7606">
      <w:pPr>
        <w:spacing w:line="300" w:lineRule="auto"/>
        <w:ind w:firstLine="708"/>
        <w:jc w:val="both"/>
        <w:rPr>
          <w:rFonts w:asciiTheme="majorHAnsi" w:hAnsiTheme="majorHAnsi" w:cstheme="majorHAnsi"/>
          <w:sz w:val="20"/>
        </w:rPr>
      </w:pPr>
      <w:r w:rsidRPr="009F7606">
        <w:rPr>
          <w:rFonts w:asciiTheme="majorHAnsi" w:hAnsiTheme="majorHAnsi" w:cstheme="majorHAnsi"/>
          <w:sz w:val="20"/>
          <w:lang w:eastAsia="cs-CZ"/>
        </w:rPr>
        <w:t xml:space="preserve">Výpočet bol realizovaný programom SCIA ENGINEER ako prútový model resp. plošný  s využitím lineárnej výpočtovej metódy. </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lang w:eastAsia="cs-CZ"/>
        </w:rPr>
        <w:t>Použité materiály.</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spacing w:line="300" w:lineRule="auto"/>
        <w:ind w:firstLine="720"/>
        <w:jc w:val="both"/>
        <w:rPr>
          <w:rFonts w:asciiTheme="majorHAnsi" w:hAnsiTheme="majorHAnsi" w:cstheme="majorHAnsi"/>
          <w:sz w:val="20"/>
        </w:rPr>
      </w:pPr>
      <w:r w:rsidRPr="009F7606">
        <w:rPr>
          <w:rFonts w:asciiTheme="majorHAnsi" w:hAnsiTheme="majorHAnsi" w:cstheme="majorHAnsi"/>
          <w:sz w:val="20"/>
          <w:lang w:eastAsia="cs-CZ"/>
        </w:rPr>
        <w:tab/>
        <w:t>Betón triedy C12/15 – C25/30, výstuž B500B (10505 (R)). Drevené prvky z dreva triedy C24 (S1).  Murivo na tenkovrstvovú maltu (</w:t>
      </w:r>
      <w:r w:rsidRPr="009F7606">
        <w:rPr>
          <w:rFonts w:asciiTheme="majorHAnsi" w:hAnsiTheme="majorHAnsi" w:cstheme="majorHAnsi"/>
          <w:sz w:val="20"/>
        </w:rPr>
        <w:t>f</w:t>
      </w:r>
      <w:r w:rsidRPr="009F7606">
        <w:rPr>
          <w:rFonts w:asciiTheme="majorHAnsi" w:hAnsiTheme="majorHAnsi" w:cstheme="majorHAnsi"/>
          <w:sz w:val="20"/>
          <w:vertAlign w:val="subscript"/>
        </w:rPr>
        <w:t>m</w:t>
      </w:r>
      <w:r w:rsidRPr="009F7606">
        <w:rPr>
          <w:rFonts w:asciiTheme="majorHAnsi" w:hAnsiTheme="majorHAnsi" w:cstheme="majorHAnsi"/>
          <w:sz w:val="20"/>
        </w:rPr>
        <w:t>= 5,0 MPa)</w:t>
      </w:r>
      <w:r w:rsidRPr="009F7606">
        <w:rPr>
          <w:rFonts w:asciiTheme="majorHAnsi" w:hAnsiTheme="majorHAnsi" w:cstheme="majorHAnsi"/>
          <w:sz w:val="20"/>
          <w:lang w:eastAsia="cs-CZ"/>
        </w:rPr>
        <w:t xml:space="preserve">, betónové tvarovky HLX300. </w:t>
      </w:r>
      <w:r w:rsidRPr="009F7606">
        <w:rPr>
          <w:rFonts w:asciiTheme="majorHAnsi" w:hAnsiTheme="majorHAnsi" w:cstheme="majorHAnsi"/>
          <w:sz w:val="20"/>
        </w:rPr>
        <w:t xml:space="preserve">Oceľové prvky z ocele triedy S235. </w:t>
      </w:r>
    </w:p>
    <w:p w:rsidR="009F7606" w:rsidRPr="009F7606" w:rsidRDefault="009F7606" w:rsidP="009F7606">
      <w:pPr>
        <w:spacing w:line="300" w:lineRule="auto"/>
        <w:jc w:val="both"/>
        <w:rPr>
          <w:rFonts w:asciiTheme="majorHAnsi" w:hAnsiTheme="majorHAnsi" w:cstheme="majorHAnsi"/>
          <w:b/>
          <w:sz w:val="20"/>
          <w:lang w:eastAsia="cs-CZ"/>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lang w:eastAsia="cs-CZ"/>
        </w:rPr>
        <w:t>Výsledky výpočtu.</w:t>
      </w:r>
    </w:p>
    <w:p w:rsidR="009F7606" w:rsidRPr="009F7606" w:rsidRDefault="009F7606" w:rsidP="009F7606">
      <w:pPr>
        <w:spacing w:line="300" w:lineRule="auto"/>
        <w:jc w:val="both"/>
        <w:rPr>
          <w:rFonts w:asciiTheme="majorHAnsi" w:hAnsiTheme="majorHAnsi" w:cstheme="majorHAnsi"/>
          <w:b/>
          <w:sz w:val="20"/>
          <w:lang w:eastAsia="cs-CZ"/>
        </w:rPr>
      </w:pPr>
    </w:p>
    <w:p w:rsidR="009F7606" w:rsidRPr="009F7606" w:rsidRDefault="009F7606" w:rsidP="009F7606">
      <w:pPr>
        <w:spacing w:line="300" w:lineRule="auto"/>
        <w:ind w:firstLine="720"/>
        <w:jc w:val="both"/>
        <w:rPr>
          <w:rFonts w:asciiTheme="majorHAnsi" w:hAnsiTheme="majorHAnsi" w:cstheme="majorHAnsi"/>
          <w:sz w:val="20"/>
          <w:lang w:eastAsia="cs-CZ"/>
        </w:rPr>
      </w:pPr>
      <w:r w:rsidRPr="009F7606">
        <w:rPr>
          <w:rFonts w:asciiTheme="majorHAnsi" w:hAnsiTheme="majorHAnsi" w:cstheme="majorHAnsi"/>
          <w:sz w:val="20"/>
          <w:lang w:eastAsia="cs-CZ"/>
        </w:rPr>
        <w:t>Výpočtom bol prevedený návrh rozmerov železobetónových, drevených a oceľových častí.</w:t>
      </w:r>
    </w:p>
    <w:p w:rsidR="009F7606" w:rsidRPr="009F7606" w:rsidRDefault="009F7606" w:rsidP="009F7606">
      <w:pPr>
        <w:spacing w:line="300" w:lineRule="auto"/>
        <w:jc w:val="both"/>
        <w:rPr>
          <w:rFonts w:asciiTheme="majorHAnsi" w:hAnsiTheme="majorHAnsi" w:cstheme="majorHAnsi"/>
          <w:sz w:val="20"/>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hAnsiTheme="majorHAnsi" w:cstheme="majorHAnsi"/>
          <w:b/>
          <w:sz w:val="20"/>
          <w:lang w:eastAsia="cs-CZ"/>
        </w:rPr>
        <w:t>Záver posudku.</w:t>
      </w:r>
    </w:p>
    <w:p w:rsidR="009F7606" w:rsidRPr="009F7606" w:rsidRDefault="009F7606" w:rsidP="009F7606">
      <w:pPr>
        <w:autoSpaceDE w:val="0"/>
        <w:autoSpaceDN w:val="0"/>
        <w:adjustRightInd w:val="0"/>
        <w:spacing w:line="300" w:lineRule="auto"/>
        <w:jc w:val="both"/>
        <w:rPr>
          <w:rFonts w:asciiTheme="majorHAnsi" w:hAnsiTheme="majorHAnsi" w:cstheme="majorHAnsi"/>
          <w:sz w:val="20"/>
          <w:lang w:eastAsia="cs-CZ"/>
        </w:rPr>
      </w:pPr>
    </w:p>
    <w:p w:rsidR="009F7606" w:rsidRPr="009F7606" w:rsidRDefault="009F7606" w:rsidP="009F7606">
      <w:pPr>
        <w:autoSpaceDE w:val="0"/>
        <w:autoSpaceDN w:val="0"/>
        <w:adjustRightInd w:val="0"/>
        <w:spacing w:line="300" w:lineRule="auto"/>
        <w:ind w:firstLine="397"/>
        <w:jc w:val="both"/>
        <w:rPr>
          <w:rFonts w:asciiTheme="majorHAnsi" w:hAnsiTheme="majorHAnsi" w:cstheme="majorHAnsi"/>
          <w:sz w:val="20"/>
        </w:rPr>
      </w:pPr>
      <w:r w:rsidRPr="009F7606">
        <w:rPr>
          <w:rFonts w:asciiTheme="majorHAnsi" w:hAnsiTheme="majorHAnsi" w:cstheme="majorHAnsi"/>
          <w:sz w:val="20"/>
        </w:rPr>
        <w:t xml:space="preserve">Navrhované objekty </w:t>
      </w:r>
      <w:r w:rsidRPr="009F7606">
        <w:rPr>
          <w:rFonts w:asciiTheme="majorHAnsi" w:hAnsiTheme="majorHAnsi" w:cstheme="majorHAnsi"/>
          <w:color w:val="000000"/>
          <w:sz w:val="20"/>
        </w:rPr>
        <w:t xml:space="preserve">SO-01 (SHOWROOM S UBYTOVANÍM), SO-02 (VINÁRSKA VÝROBA), SO-03 (HOSPODÁRSKY OBJEKT), </w:t>
      </w:r>
      <w:r w:rsidRPr="009F7606">
        <w:rPr>
          <w:rFonts w:asciiTheme="majorHAnsi" w:hAnsiTheme="majorHAnsi" w:cstheme="majorHAnsi"/>
          <w:sz w:val="20"/>
        </w:rPr>
        <w:t xml:space="preserve">z hľadiska nosných konštrukcií vykazujú dostatočnú tuhosť a stabilitu. Tento statický posudok je vyhotovený v rozsahu projektu pre realizáciu. </w:t>
      </w:r>
    </w:p>
    <w:p w:rsidR="009F7606" w:rsidRPr="009F7606" w:rsidRDefault="009F7606" w:rsidP="009F7606">
      <w:pPr>
        <w:spacing w:line="300" w:lineRule="auto"/>
        <w:ind w:firstLine="397"/>
        <w:jc w:val="both"/>
        <w:rPr>
          <w:rFonts w:asciiTheme="majorHAnsi" w:hAnsiTheme="majorHAnsi" w:cstheme="majorHAnsi"/>
          <w:sz w:val="20"/>
        </w:rPr>
      </w:pPr>
      <w:r w:rsidRPr="009F7606">
        <w:rPr>
          <w:rFonts w:asciiTheme="majorHAnsi" w:eastAsia="Arial" w:hAnsiTheme="majorHAnsi" w:cstheme="majorHAnsi"/>
          <w:sz w:val="20"/>
        </w:rPr>
        <w:t xml:space="preserve">    </w:t>
      </w:r>
      <w:r w:rsidRPr="009F7606">
        <w:rPr>
          <w:rFonts w:asciiTheme="majorHAnsi" w:hAnsiTheme="majorHAnsi" w:cstheme="majorHAnsi"/>
          <w:sz w:val="20"/>
        </w:rPr>
        <w:t>Konštrukcia pri dodržaní hore uvedených opatrení  je stabilná, únosná a schopná prevádzky pre daný účel.</w:t>
      </w:r>
      <w:r w:rsidRPr="009F7606">
        <w:rPr>
          <w:rFonts w:asciiTheme="majorHAnsi" w:hAnsiTheme="majorHAnsi" w:cstheme="majorHAnsi"/>
          <w:sz w:val="20"/>
          <w:lang w:eastAsia="cs-CZ"/>
        </w:rPr>
        <w:t xml:space="preserve">  </w:t>
      </w: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eastAsia="Arial" w:hAnsiTheme="majorHAnsi" w:cstheme="majorHAnsi"/>
          <w:sz w:val="20"/>
          <w:lang w:eastAsia="cs-CZ"/>
        </w:rPr>
        <w:t xml:space="preserve">                                                             </w:t>
      </w:r>
    </w:p>
    <w:p w:rsidR="009F7606" w:rsidRPr="009F7606" w:rsidRDefault="009F7606" w:rsidP="009F7606">
      <w:pPr>
        <w:spacing w:line="300" w:lineRule="auto"/>
        <w:jc w:val="both"/>
        <w:rPr>
          <w:rFonts w:asciiTheme="majorHAnsi" w:hAnsiTheme="majorHAnsi" w:cstheme="majorHAnsi"/>
          <w:sz w:val="20"/>
          <w:lang w:eastAsia="cs-CZ"/>
        </w:rPr>
      </w:pPr>
    </w:p>
    <w:p w:rsidR="009F7606" w:rsidRPr="009F7606" w:rsidRDefault="009F7606" w:rsidP="009F7606">
      <w:pPr>
        <w:spacing w:line="300" w:lineRule="auto"/>
        <w:jc w:val="both"/>
        <w:rPr>
          <w:rFonts w:asciiTheme="majorHAnsi" w:hAnsiTheme="majorHAnsi" w:cstheme="majorHAnsi"/>
          <w:sz w:val="20"/>
        </w:rPr>
      </w:pPr>
      <w:r w:rsidRPr="009F7606">
        <w:rPr>
          <w:rFonts w:asciiTheme="majorHAnsi" w:eastAsia="Arial" w:hAnsiTheme="majorHAnsi" w:cstheme="majorHAnsi"/>
          <w:sz w:val="20"/>
          <w:lang w:eastAsia="cs-CZ"/>
        </w:rPr>
        <w:t xml:space="preserve">                                                   </w:t>
      </w:r>
      <w:r w:rsidRPr="009F7606">
        <w:rPr>
          <w:rFonts w:asciiTheme="majorHAnsi" w:eastAsia="Arial" w:hAnsiTheme="majorHAnsi" w:cstheme="majorHAnsi"/>
          <w:sz w:val="20"/>
          <w:lang w:eastAsia="cs-CZ"/>
        </w:rPr>
        <w:tab/>
      </w:r>
      <w:r w:rsidRPr="009F7606">
        <w:rPr>
          <w:rFonts w:asciiTheme="majorHAnsi" w:eastAsia="Arial" w:hAnsiTheme="majorHAnsi" w:cstheme="majorHAnsi"/>
          <w:sz w:val="20"/>
          <w:lang w:eastAsia="cs-CZ"/>
        </w:rPr>
        <w:tab/>
      </w:r>
      <w:r w:rsidRPr="009F7606">
        <w:rPr>
          <w:rFonts w:asciiTheme="majorHAnsi" w:eastAsia="Arial" w:hAnsiTheme="majorHAnsi" w:cstheme="majorHAnsi"/>
          <w:sz w:val="20"/>
          <w:lang w:eastAsia="cs-CZ"/>
        </w:rPr>
        <w:tab/>
        <w:t xml:space="preserve">                                  </w:t>
      </w:r>
      <w:r w:rsidRPr="009F7606">
        <w:rPr>
          <w:rFonts w:asciiTheme="majorHAnsi" w:hAnsiTheme="majorHAnsi" w:cstheme="majorHAnsi"/>
          <w:sz w:val="20"/>
          <w:lang w:eastAsia="cs-CZ"/>
        </w:rPr>
        <w:t xml:space="preserve">Vypracoval : Ing. Miroslav Mach </w:t>
      </w:r>
    </w:p>
    <w:p w:rsidR="009F7606" w:rsidRDefault="009F7606" w:rsidP="0009245A">
      <w:pPr>
        <w:autoSpaceDE w:val="0"/>
        <w:autoSpaceDN w:val="0"/>
        <w:adjustRightInd w:val="0"/>
        <w:rPr>
          <w:rFonts w:ascii="Calibri" w:hAnsi="Calibri" w:cs="Calibri"/>
          <w:b/>
          <w:iCs/>
          <w:sz w:val="24"/>
        </w:rPr>
      </w:pPr>
    </w:p>
    <w:p w:rsidR="00541DF6" w:rsidRDefault="00541DF6" w:rsidP="0009245A">
      <w:pPr>
        <w:autoSpaceDE w:val="0"/>
        <w:autoSpaceDN w:val="0"/>
        <w:adjustRightInd w:val="0"/>
        <w:rPr>
          <w:rFonts w:ascii="Calibri" w:hAnsi="Calibri" w:cs="Calibri"/>
          <w:b/>
          <w:iCs/>
          <w:sz w:val="24"/>
        </w:rPr>
      </w:pPr>
    </w:p>
    <w:p w:rsidR="00763F78" w:rsidRPr="008F58C0" w:rsidRDefault="00763F78" w:rsidP="0009245A">
      <w:pPr>
        <w:autoSpaceDE w:val="0"/>
        <w:autoSpaceDN w:val="0"/>
        <w:adjustRightInd w:val="0"/>
        <w:rPr>
          <w:rFonts w:ascii="Calibri" w:hAnsi="Calibri" w:cs="Calibri"/>
          <w:b/>
          <w:iCs/>
          <w:sz w:val="24"/>
        </w:rPr>
      </w:pPr>
      <w:r w:rsidRPr="008F58C0">
        <w:rPr>
          <w:rFonts w:ascii="Calibri" w:hAnsi="Calibri" w:cs="Calibri"/>
          <w:b/>
          <w:iCs/>
          <w:sz w:val="24"/>
        </w:rPr>
        <w:t>PROTIPOŽIARNA BEZPEČNOSŤ STAVBY</w:t>
      </w:r>
      <w:r w:rsidR="009371A4" w:rsidRPr="008F58C0">
        <w:rPr>
          <w:rFonts w:ascii="Calibri" w:hAnsi="Calibri" w:cs="Calibri"/>
          <w:b/>
          <w:iCs/>
          <w:sz w:val="24"/>
        </w:rPr>
        <w:t xml:space="preserve"> ( SO 01 a SO 04 )</w:t>
      </w:r>
    </w:p>
    <w:p w:rsidR="00763F78" w:rsidRPr="008F58C0" w:rsidRDefault="00763F78" w:rsidP="0009245A">
      <w:pPr>
        <w:autoSpaceDE w:val="0"/>
        <w:autoSpaceDN w:val="0"/>
        <w:adjustRightInd w:val="0"/>
        <w:rPr>
          <w:rFonts w:ascii="Calibri" w:hAnsi="Calibri" w:cs="Calibri"/>
          <w:b/>
          <w:iCs/>
          <w:sz w:val="24"/>
        </w:rPr>
      </w:pPr>
    </w:p>
    <w:p w:rsidR="00B473D2" w:rsidRPr="008F58C0" w:rsidRDefault="00B473D2" w:rsidP="007A5218">
      <w:pPr>
        <w:jc w:val="both"/>
        <w:rPr>
          <w:rFonts w:ascii="Calibri" w:hAnsi="Calibri" w:cs="Calibri"/>
          <w:sz w:val="20"/>
        </w:rPr>
      </w:pPr>
      <w:r w:rsidRPr="008F58C0">
        <w:rPr>
          <w:rFonts w:ascii="Calibri" w:hAnsi="Calibri" w:cs="Calibri"/>
          <w:sz w:val="20"/>
        </w:rPr>
        <w:t xml:space="preserve">Predmetom riešenia protipožiarnej bezpečnosti je Showroom s ubytovaním (SO01) a Jestvujúca pivnica (SO04). Objekt SO01 bude pristavený k existujúcej pivnici.  V pristavenej časti pre Showroom s ubytovaním bude navrhnuté aj prepojovacie schodisko medzi existujúcou pivničnou časťou a navrhnutou pristavenou časťou.  </w:t>
      </w:r>
    </w:p>
    <w:p w:rsidR="00B473D2" w:rsidRPr="008F58C0" w:rsidRDefault="00B473D2" w:rsidP="007A5218">
      <w:pPr>
        <w:jc w:val="both"/>
        <w:rPr>
          <w:rFonts w:ascii="Calibri" w:hAnsi="Calibri" w:cs="Calibri"/>
          <w:sz w:val="20"/>
        </w:rPr>
      </w:pPr>
      <w:r w:rsidRPr="008F58C0">
        <w:rPr>
          <w:rFonts w:ascii="Calibri" w:hAnsi="Calibri" w:cs="Calibri"/>
          <w:sz w:val="20"/>
        </w:rPr>
        <w:t>Z druhej strany existujúcej pivnice bude pristavený objekt SO02 – Vinárska výroba (posúdené v samostatnej časti projektovej dokumentácie), ktorý bude od existujúcej pivnice staticky nezávislý (oddilatovaný po celej výške). Existujúce pivničné priestory budú slúžiť ako príručný sklad vína v sudoch pre vinársku výrobu (objekt SO02) a objekty budú navzájom komunikačne prepojené.</w:t>
      </w:r>
    </w:p>
    <w:p w:rsidR="00B473D2" w:rsidRPr="008F58C0" w:rsidRDefault="00B473D2" w:rsidP="00B473D2">
      <w:pPr>
        <w:jc w:val="both"/>
        <w:rPr>
          <w:rFonts w:ascii="Calibri" w:hAnsi="Calibri" w:cs="Calibri"/>
          <w:b/>
          <w:sz w:val="20"/>
          <w:u w:val="single"/>
        </w:rPr>
      </w:pPr>
      <w:r w:rsidRPr="008F58C0">
        <w:rPr>
          <w:rFonts w:ascii="Calibri" w:hAnsi="Calibri" w:cs="Calibri"/>
          <w:b/>
          <w:sz w:val="20"/>
          <w:u w:val="single"/>
        </w:rPr>
        <w:t xml:space="preserve">Nasledovné riešenie je vypracované v rozsahu projektu stavby prikladaného k žiadosti o vydanie stavebného povolenia. </w:t>
      </w:r>
    </w:p>
    <w:p w:rsidR="00B473D2" w:rsidRPr="008F58C0" w:rsidRDefault="00B473D2" w:rsidP="007A5218">
      <w:pPr>
        <w:jc w:val="both"/>
        <w:rPr>
          <w:rFonts w:ascii="Calibri" w:hAnsi="Calibri" w:cs="Calibri"/>
          <w:iCs/>
          <w:sz w:val="20"/>
        </w:rPr>
      </w:pPr>
      <w:r w:rsidRPr="008F58C0">
        <w:rPr>
          <w:rFonts w:ascii="Calibri" w:hAnsi="Calibri" w:cs="Calibri"/>
          <w:sz w:val="20"/>
          <w:shd w:val="clear" w:color="auto" w:fill="FFFFFF"/>
        </w:rPr>
        <w:t xml:space="preserve">Riešenie protipožiarnej bezpečnosti je spracované v zmysle Vyhl. MV SR č.94/2004 Z.z. s novelami </w:t>
      </w:r>
      <w:r w:rsidRPr="008F58C0">
        <w:rPr>
          <w:rFonts w:ascii="Calibri" w:hAnsi="Calibri" w:cs="Calibri"/>
          <w:iCs/>
          <w:sz w:val="20"/>
        </w:rPr>
        <w:t>č.307/2007 Z.z.</w:t>
      </w:r>
      <w:r w:rsidRPr="008F58C0">
        <w:rPr>
          <w:rFonts w:ascii="Calibri" w:hAnsi="Calibri" w:cs="Calibri"/>
          <w:sz w:val="20"/>
          <w:shd w:val="clear" w:color="auto" w:fill="FFFFFF"/>
        </w:rPr>
        <w:t xml:space="preserve"> a </w:t>
      </w:r>
      <w:r w:rsidRPr="008F58C0">
        <w:rPr>
          <w:rFonts w:ascii="Calibri" w:hAnsi="Calibri" w:cs="Calibri"/>
          <w:iCs/>
          <w:sz w:val="20"/>
        </w:rPr>
        <w:t>č.225/2012 Z.z</w:t>
      </w:r>
      <w:r w:rsidRPr="008F58C0">
        <w:rPr>
          <w:rFonts w:ascii="Calibri" w:hAnsi="Calibri" w:cs="Calibri"/>
          <w:sz w:val="20"/>
          <w:shd w:val="clear" w:color="auto" w:fill="FFFFFF"/>
        </w:rPr>
        <w:t xml:space="preserve"> , č. 334/2018 Z.z., ktorou sa</w:t>
      </w:r>
      <w:r w:rsidRPr="008F58C0">
        <w:rPr>
          <w:rFonts w:ascii="Calibri" w:hAnsi="Calibri" w:cs="Calibri"/>
          <w:sz w:val="20"/>
        </w:rPr>
        <w:t xml:space="preserve"> ustanovujú technické požiadavky na protipožiarnu bezpečnosť pri výstavbe a pri užívaní stavieb</w:t>
      </w:r>
      <w:r w:rsidRPr="008F58C0">
        <w:rPr>
          <w:rFonts w:ascii="Calibri" w:hAnsi="Calibri" w:cs="Calibri"/>
          <w:iCs/>
          <w:sz w:val="20"/>
        </w:rPr>
        <w:t xml:space="preserve">, </w:t>
      </w:r>
      <w:r w:rsidRPr="008F58C0">
        <w:rPr>
          <w:rFonts w:ascii="Calibri" w:hAnsi="Calibri" w:cs="Calibri"/>
          <w:sz w:val="20"/>
        </w:rPr>
        <w:t xml:space="preserve">Vyhl. MV SR č.699/2004 Z.z. o zabezpečení stavieb vodou na hasenie požiarov, </w:t>
      </w:r>
      <w:r w:rsidRPr="008F58C0">
        <w:rPr>
          <w:rFonts w:ascii="Calibri" w:hAnsi="Calibri" w:cs="Calibri"/>
          <w:iCs/>
          <w:sz w:val="20"/>
        </w:rPr>
        <w:t>STN 92 0201-1, STN 92 0201-2, STN 92 0201-3, STN 92 0201-4, STN 92 0400 a ďalších nadväzných STN z oboru ochrany pred požiarmi.</w:t>
      </w:r>
    </w:p>
    <w:p w:rsidR="00B473D2" w:rsidRPr="008F58C0" w:rsidRDefault="00B473D2" w:rsidP="00B473D2">
      <w:pPr>
        <w:ind w:firstLine="576"/>
        <w:jc w:val="both"/>
        <w:rPr>
          <w:rFonts w:ascii="Calibri" w:hAnsi="Calibri" w:cs="Calibri"/>
          <w:iCs/>
          <w:sz w:val="20"/>
        </w:rPr>
      </w:pPr>
    </w:p>
    <w:p w:rsidR="00B473D2" w:rsidRPr="008F58C0" w:rsidRDefault="00B473D2" w:rsidP="008F58C0">
      <w:pPr>
        <w:contextualSpacing/>
        <w:rPr>
          <w:rFonts w:ascii="Calibri" w:hAnsi="Calibri" w:cs="Calibri"/>
          <w:bCs/>
          <w:sz w:val="20"/>
          <w:u w:val="single"/>
        </w:rPr>
      </w:pPr>
      <w:r w:rsidRPr="008F58C0">
        <w:rPr>
          <w:rFonts w:ascii="Calibri" w:hAnsi="Calibri" w:cs="Calibri"/>
          <w:bCs/>
          <w:sz w:val="20"/>
          <w:u w:val="single"/>
        </w:rPr>
        <w:t>Stavba je z hľadiska protipožiarnej bezpečnosti navrhnutá tak, aby v prípade vzniku požiaru :</w:t>
      </w:r>
    </w:p>
    <w:p w:rsidR="00B473D2" w:rsidRPr="008F58C0" w:rsidRDefault="00B473D2" w:rsidP="008F58C0">
      <w:pPr>
        <w:contextualSpacing/>
        <w:rPr>
          <w:rFonts w:ascii="Calibri" w:hAnsi="Calibri" w:cs="Calibri"/>
          <w:sz w:val="20"/>
        </w:rPr>
      </w:pPr>
      <w:r w:rsidRPr="008F58C0">
        <w:rPr>
          <w:rFonts w:ascii="Calibri" w:hAnsi="Calibri" w:cs="Calibri"/>
          <w:sz w:val="20"/>
        </w:rPr>
        <w:t xml:space="preserve">a) zostala na čas určený technickými špecifikáciami zachovaná jej nosnosť a stabilita,                                                                                                                             </w:t>
      </w:r>
    </w:p>
    <w:p w:rsidR="00B473D2" w:rsidRPr="008F58C0" w:rsidRDefault="00B473D2" w:rsidP="008F58C0">
      <w:pPr>
        <w:contextualSpacing/>
        <w:rPr>
          <w:rFonts w:ascii="Calibri" w:hAnsi="Calibri" w:cs="Calibri"/>
          <w:sz w:val="20"/>
        </w:rPr>
      </w:pPr>
      <w:r w:rsidRPr="008F58C0">
        <w:rPr>
          <w:rFonts w:ascii="Calibri" w:hAnsi="Calibri" w:cs="Calibri"/>
          <w:sz w:val="20"/>
        </w:rPr>
        <w:t xml:space="preserve">b) bola umožnená bezpečná evakuácia osôb z horiacej alebo požiarom </w:t>
      </w:r>
      <w:r w:rsidRPr="008F58C0">
        <w:rPr>
          <w:rFonts w:ascii="Calibri" w:hAnsi="Calibri" w:cs="Calibri"/>
          <w:sz w:val="20"/>
        </w:rPr>
        <w:br/>
        <w:t xml:space="preserve">    ohrozenej stavby na voľné priestranstvo alebo do iného požiarom neohrozeného </w:t>
      </w:r>
      <w:r w:rsidRPr="008F58C0">
        <w:rPr>
          <w:rFonts w:ascii="Calibri" w:hAnsi="Calibri" w:cs="Calibri"/>
          <w:sz w:val="20"/>
        </w:rPr>
        <w:br/>
        <w:t xml:space="preserve">    priestoru,                                                                                                                                          </w:t>
      </w:r>
    </w:p>
    <w:p w:rsidR="00B473D2" w:rsidRPr="008F58C0" w:rsidRDefault="00B473D2" w:rsidP="008F58C0">
      <w:pPr>
        <w:contextualSpacing/>
        <w:rPr>
          <w:rFonts w:ascii="Calibri" w:hAnsi="Calibri" w:cs="Calibri"/>
          <w:sz w:val="20"/>
        </w:rPr>
      </w:pPr>
      <w:r w:rsidRPr="008F58C0">
        <w:rPr>
          <w:rFonts w:ascii="Calibri" w:hAnsi="Calibri" w:cs="Calibri"/>
          <w:sz w:val="20"/>
        </w:rPr>
        <w:lastRenderedPageBreak/>
        <w:t xml:space="preserve">c) sa zabránilo šíreniu požiaru a dymu medzi jednotlivými požiarnymi úsekmi vnútri </w:t>
      </w:r>
      <w:r w:rsidRPr="008F58C0">
        <w:rPr>
          <w:rFonts w:ascii="Calibri" w:hAnsi="Calibri" w:cs="Calibri"/>
          <w:sz w:val="20"/>
        </w:rPr>
        <w:br/>
        <w:t xml:space="preserve">    stavby alebo na inú stavbu,</w:t>
      </w:r>
      <w:r w:rsidRPr="008F58C0">
        <w:rPr>
          <w:rFonts w:ascii="Calibri" w:hAnsi="Calibri" w:cs="Calibri"/>
          <w:sz w:val="20"/>
        </w:rPr>
        <w:br/>
        <w:t>d) bol umožnený odvod splodín horenia mimo stavby,</w:t>
      </w:r>
    </w:p>
    <w:p w:rsidR="00B473D2" w:rsidRPr="008F58C0" w:rsidRDefault="00B473D2" w:rsidP="008F58C0">
      <w:pPr>
        <w:rPr>
          <w:rFonts w:ascii="Calibri" w:hAnsi="Calibri" w:cs="Calibri"/>
          <w:sz w:val="20"/>
        </w:rPr>
      </w:pPr>
      <w:r w:rsidRPr="008F58C0">
        <w:rPr>
          <w:rFonts w:ascii="Calibri" w:hAnsi="Calibri" w:cs="Calibri"/>
          <w:sz w:val="20"/>
        </w:rPr>
        <w:t xml:space="preserve">e) bol umožnený účinný a bezpečný zásah jednotky požiarnej ochrany pri zdolávaní </w:t>
      </w:r>
      <w:r w:rsidRPr="008F58C0">
        <w:rPr>
          <w:rFonts w:ascii="Calibri" w:hAnsi="Calibri" w:cs="Calibri"/>
          <w:sz w:val="20"/>
        </w:rPr>
        <w:br/>
        <w:t xml:space="preserve">    požiaru a vykonávaní záchranných prác.</w:t>
      </w:r>
    </w:p>
    <w:p w:rsidR="00B473D2" w:rsidRPr="008F58C0" w:rsidRDefault="00B473D2" w:rsidP="00B473D2">
      <w:pPr>
        <w:contextualSpacing/>
        <w:jc w:val="both"/>
        <w:rPr>
          <w:rFonts w:ascii="Calibri" w:hAnsi="Calibri" w:cs="Calibri"/>
          <w:sz w:val="20"/>
        </w:rPr>
      </w:pPr>
    </w:p>
    <w:p w:rsidR="00B473D2" w:rsidRPr="008F58C0" w:rsidRDefault="00B473D2" w:rsidP="00B473D2">
      <w:pPr>
        <w:contextualSpacing/>
        <w:jc w:val="both"/>
        <w:rPr>
          <w:rFonts w:ascii="Calibri" w:hAnsi="Calibri" w:cs="Calibri"/>
          <w:sz w:val="20"/>
          <w:u w:val="single"/>
        </w:rPr>
      </w:pPr>
      <w:r w:rsidRPr="008F58C0">
        <w:rPr>
          <w:rFonts w:ascii="Calibri" w:hAnsi="Calibri" w:cs="Calibri"/>
          <w:sz w:val="20"/>
          <w:u w:val="single"/>
        </w:rPr>
        <w:t>Riešenie požiarnej bezpečnosti obsahuje :</w:t>
      </w:r>
    </w:p>
    <w:p w:rsidR="00B473D2" w:rsidRPr="008F58C0" w:rsidRDefault="00B473D2" w:rsidP="00B473D2">
      <w:pPr>
        <w:contextualSpacing/>
        <w:jc w:val="both"/>
        <w:rPr>
          <w:rFonts w:ascii="Calibri" w:hAnsi="Calibri" w:cs="Calibri"/>
          <w:sz w:val="20"/>
        </w:rPr>
      </w:pPr>
      <w:r w:rsidRPr="008F58C0">
        <w:rPr>
          <w:rFonts w:ascii="Calibri" w:hAnsi="Calibri" w:cs="Calibri"/>
          <w:sz w:val="20"/>
        </w:rPr>
        <w:t>a) členenie stavby na požiarne úseky</w:t>
      </w:r>
    </w:p>
    <w:p w:rsidR="00B473D2" w:rsidRPr="008F58C0" w:rsidRDefault="00B473D2" w:rsidP="00B473D2">
      <w:pPr>
        <w:contextualSpacing/>
        <w:jc w:val="both"/>
        <w:rPr>
          <w:rFonts w:ascii="Calibri" w:hAnsi="Calibri" w:cs="Calibri"/>
          <w:sz w:val="20"/>
        </w:rPr>
      </w:pPr>
      <w:r w:rsidRPr="008F58C0">
        <w:rPr>
          <w:rFonts w:ascii="Calibri" w:hAnsi="Calibri" w:cs="Calibri"/>
          <w:sz w:val="20"/>
        </w:rPr>
        <w:t>b) určenie požiarneho rizika</w:t>
      </w:r>
    </w:p>
    <w:p w:rsidR="00B473D2" w:rsidRPr="008F58C0" w:rsidRDefault="00B473D2" w:rsidP="00B473D2">
      <w:pPr>
        <w:contextualSpacing/>
        <w:jc w:val="both"/>
        <w:rPr>
          <w:rFonts w:ascii="Calibri" w:hAnsi="Calibri" w:cs="Calibri"/>
          <w:sz w:val="20"/>
        </w:rPr>
      </w:pPr>
      <w:r w:rsidRPr="008F58C0">
        <w:rPr>
          <w:rFonts w:ascii="Calibri" w:hAnsi="Calibri" w:cs="Calibri"/>
          <w:sz w:val="20"/>
        </w:rPr>
        <w:t>c) určenie požiadaviek na konštrukcie stavby</w:t>
      </w:r>
    </w:p>
    <w:p w:rsidR="00B473D2" w:rsidRPr="008F58C0" w:rsidRDefault="00B473D2" w:rsidP="00B473D2">
      <w:pPr>
        <w:contextualSpacing/>
        <w:jc w:val="both"/>
        <w:rPr>
          <w:rFonts w:ascii="Calibri" w:hAnsi="Calibri" w:cs="Calibri"/>
          <w:sz w:val="20"/>
        </w:rPr>
      </w:pPr>
      <w:r w:rsidRPr="008F58C0">
        <w:rPr>
          <w:rFonts w:ascii="Calibri" w:hAnsi="Calibri" w:cs="Calibri"/>
          <w:sz w:val="20"/>
        </w:rPr>
        <w:t>d) zabezpečenie evakuácie osôb</w:t>
      </w:r>
    </w:p>
    <w:p w:rsidR="00B473D2" w:rsidRPr="008F58C0" w:rsidRDefault="00B473D2" w:rsidP="00B473D2">
      <w:pPr>
        <w:contextualSpacing/>
        <w:jc w:val="both"/>
        <w:rPr>
          <w:rFonts w:ascii="Calibri" w:hAnsi="Calibri" w:cs="Calibri"/>
          <w:sz w:val="20"/>
        </w:rPr>
      </w:pPr>
      <w:r w:rsidRPr="008F58C0">
        <w:rPr>
          <w:rFonts w:ascii="Calibri" w:hAnsi="Calibri" w:cs="Calibri"/>
          <w:sz w:val="20"/>
        </w:rPr>
        <w:t>e) určenie požiadaviek na únikové cesty</w:t>
      </w:r>
    </w:p>
    <w:p w:rsidR="00B473D2" w:rsidRPr="008F58C0" w:rsidRDefault="00B473D2" w:rsidP="00B473D2">
      <w:pPr>
        <w:contextualSpacing/>
        <w:jc w:val="both"/>
        <w:rPr>
          <w:rFonts w:ascii="Calibri" w:hAnsi="Calibri" w:cs="Calibri"/>
          <w:sz w:val="20"/>
        </w:rPr>
      </w:pPr>
      <w:r w:rsidRPr="008F58C0">
        <w:rPr>
          <w:rFonts w:ascii="Calibri" w:hAnsi="Calibri" w:cs="Calibri"/>
          <w:sz w:val="20"/>
        </w:rPr>
        <w:t>f) určenie odstupových vzdialeností</w:t>
      </w:r>
    </w:p>
    <w:p w:rsidR="00B473D2" w:rsidRPr="008F58C0" w:rsidRDefault="00B473D2" w:rsidP="00B473D2">
      <w:pPr>
        <w:contextualSpacing/>
        <w:jc w:val="both"/>
        <w:rPr>
          <w:rFonts w:ascii="Calibri" w:hAnsi="Calibri" w:cs="Calibri"/>
          <w:sz w:val="20"/>
        </w:rPr>
      </w:pPr>
      <w:r w:rsidRPr="008F58C0">
        <w:rPr>
          <w:rFonts w:ascii="Calibri" w:hAnsi="Calibri" w:cs="Calibri"/>
          <w:sz w:val="20"/>
        </w:rPr>
        <w:t>g) určenie požiarnobezpečnostných opatrení</w:t>
      </w:r>
    </w:p>
    <w:p w:rsidR="00B473D2" w:rsidRPr="008F58C0" w:rsidRDefault="00B473D2" w:rsidP="00B473D2">
      <w:pPr>
        <w:contextualSpacing/>
        <w:jc w:val="both"/>
        <w:rPr>
          <w:rFonts w:ascii="Calibri" w:hAnsi="Calibri" w:cs="Calibri"/>
          <w:sz w:val="20"/>
        </w:rPr>
      </w:pPr>
      <w:r w:rsidRPr="008F58C0">
        <w:rPr>
          <w:rFonts w:ascii="Calibri" w:hAnsi="Calibri" w:cs="Calibri"/>
          <w:sz w:val="20"/>
        </w:rPr>
        <w:t>h) určenie zariadení na zásah</w:t>
      </w:r>
    </w:p>
    <w:p w:rsidR="00B473D2" w:rsidRPr="008F58C0" w:rsidRDefault="00B473D2" w:rsidP="00B473D2">
      <w:pPr>
        <w:contextualSpacing/>
        <w:jc w:val="both"/>
        <w:rPr>
          <w:rFonts w:ascii="Calibri" w:hAnsi="Calibri" w:cs="Calibri"/>
          <w:b/>
          <w:sz w:val="20"/>
        </w:rPr>
      </w:pPr>
    </w:p>
    <w:p w:rsidR="00B473D2" w:rsidRPr="008F58C0" w:rsidRDefault="00B473D2" w:rsidP="00B473D2">
      <w:pPr>
        <w:contextualSpacing/>
        <w:jc w:val="both"/>
        <w:rPr>
          <w:rFonts w:ascii="Calibri" w:hAnsi="Calibri" w:cs="Calibri"/>
          <w:b/>
          <w:sz w:val="20"/>
        </w:rPr>
      </w:pPr>
      <w:r w:rsidRPr="008F58C0">
        <w:rPr>
          <w:rFonts w:ascii="Calibri" w:hAnsi="Calibri" w:cs="Calibri"/>
          <w:b/>
          <w:sz w:val="20"/>
        </w:rPr>
        <w:t>A/ Showroom s ubytovaním (navrhovaná časť)</w:t>
      </w:r>
    </w:p>
    <w:p w:rsidR="00B473D2" w:rsidRPr="008F58C0" w:rsidRDefault="00B473D2" w:rsidP="00B473D2">
      <w:pPr>
        <w:contextualSpacing/>
        <w:jc w:val="both"/>
        <w:rPr>
          <w:rFonts w:ascii="Calibri" w:hAnsi="Calibri" w:cs="Calibri"/>
          <w:b/>
          <w:sz w:val="20"/>
          <w:u w:val="single"/>
        </w:rPr>
      </w:pPr>
      <w:r w:rsidRPr="008F58C0">
        <w:rPr>
          <w:rFonts w:ascii="Calibri" w:hAnsi="Calibri" w:cs="Calibri"/>
          <w:b/>
          <w:sz w:val="20"/>
          <w:u w:val="single"/>
        </w:rPr>
        <w:t xml:space="preserve">Konštrukčné a dispozičné riešenie </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 xml:space="preserve">je pristavený k existujúcej podzemnej pivnici  ( pristavená časť a pivnica sú navzájom sú prepojené schodiskom) </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 xml:space="preserve">má dve nadzemné podlažia </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 xml:space="preserve">v stavbe  sú navrhované nasledovné miestnosti na 1.np: showroom (bude slúžiť iba pre ubytované osoby – ako priestor pre degustáciu a kuchynka a tiež ako spoločenská miestnosť), schodisko spájajúce nadzemné podlažia, spálňa (pre 2 osoby), upratovacia komora pod schodiskom, sprcha, wc muži, wc ženy, </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 xml:space="preserve">na 2.np sú navrhnuté nasledovné miestnosti: chodba,  dve izby pre 3 osoby, kúpelňa+ wc </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hlavný vstup  je navrhovaný na 1.np cez showroom, (do showroomu je riešených viacero vstupov z exteriéru z troch strán stavby) ďalší vstup je navrhnutý cez spálňu</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nosný systém tvoria murované obvodové steny  a vnútorné nosné steny murované z keramických tvárnic Porotherm</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 xml:space="preserve">priečky sú navrhnuté ako murované z keramických tvárnic </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obvodové steny budú zo strany exteriéru zateplené tepelnou izoláciou na báze minerálnej vlny hr. 150mm</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povrchovú úpravu obvodových stien zo strany exteriéru  tvorí omietka</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vnútornú povrchovú úpravu stien tvorí omietka prípadne keramický obklad, prípadne drevený obklad</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podlahy sú navrhované ako terazzo, drevená podlaha, keramická dlažba  (podľa  legendy miestností)</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stropná konštrukcia medzi 1.np a 2.np  je navrhnutá ako železobetónová stropná doska hr. 200mm</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objekt je zastrešený šikmou strechou, nosnú konštrukciu tvorí drevená krokvová sústava,  zo spodnej strany stropu je navrhnutý sadrokartónový podhľad, strešná krytina je navrhnutá ako keramická</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 xml:space="preserve">strecha je zateplená medzi krokvami tepelnou izoláciou na báze minerálnej vlny a nad krokvami je dodatočné zateplenie tepelnou izoláciou- drevovlákno stieco </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v streche nie sú navrhované strešné okná</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schodisko z 1.np na 2.np je riešené ako dvojramenné, železobetónové, so sklonom 30°</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 xml:space="preserve">výška stavby je cca. 7,69m od úrovne terénu, pôdorysné rozmery stavby sú 13,35m x 7,3m (rozmery so zateplením) </w:t>
      </w:r>
    </w:p>
    <w:p w:rsidR="00B473D2" w:rsidRPr="008F58C0" w:rsidRDefault="00B473D2" w:rsidP="00B473D2">
      <w:pPr>
        <w:contextualSpacing/>
        <w:jc w:val="both"/>
        <w:rPr>
          <w:rFonts w:ascii="Calibri" w:hAnsi="Calibri" w:cs="Calibri"/>
          <w:b/>
          <w:sz w:val="20"/>
        </w:rPr>
      </w:pPr>
      <w:r w:rsidRPr="008F58C0">
        <w:rPr>
          <w:rFonts w:ascii="Calibri" w:hAnsi="Calibri" w:cs="Calibri"/>
          <w:b/>
          <w:sz w:val="20"/>
        </w:rPr>
        <w:t>B/ Jestvujúca pivnica</w:t>
      </w:r>
    </w:p>
    <w:p w:rsidR="00B473D2" w:rsidRPr="008F58C0" w:rsidRDefault="00B473D2" w:rsidP="00B473D2">
      <w:pPr>
        <w:contextualSpacing/>
        <w:jc w:val="both"/>
        <w:rPr>
          <w:rFonts w:ascii="Calibri" w:hAnsi="Calibri" w:cs="Calibri"/>
          <w:b/>
          <w:sz w:val="20"/>
          <w:u w:val="single"/>
        </w:rPr>
      </w:pPr>
      <w:r w:rsidRPr="008F58C0">
        <w:rPr>
          <w:rFonts w:ascii="Calibri" w:hAnsi="Calibri" w:cs="Calibri"/>
          <w:b/>
          <w:sz w:val="20"/>
          <w:u w:val="single"/>
        </w:rPr>
        <w:t xml:space="preserve">Konštrukčné a dispozičné riešenie </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 xml:space="preserve">pivnica bude slúžiť pre objekt SO02 ako príručný sklad – vínna pivnica </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existujúca pivnica má jedno podzemné podlažie, jej steny sú z plnej pálenej tehly hr. 300mm a jej stropnú konštrukciu tvorí  klenbový strop z plných pálených tehál hr. 150mm</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schodisko je tvorené tehlami na podkladnom betóne, schodisko je jednoramenné so sklonom 30°</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lastRenderedPageBreak/>
        <w:t>v mieste prepojenia v navrhovanej časti je nad schodiskom navrhnutá železobetónová stropná doska hr. 150mm</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pivnica je komunikačne prepojená aj s objektom pre vinársku výrobu (SO02)</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plocha podzemného podlažia je 49,36m2</w:t>
      </w:r>
    </w:p>
    <w:p w:rsidR="00B473D2" w:rsidRPr="008F58C0" w:rsidRDefault="00B473D2" w:rsidP="00964D77">
      <w:pPr>
        <w:numPr>
          <w:ilvl w:val="0"/>
          <w:numId w:val="9"/>
        </w:numPr>
        <w:suppressAutoHyphens/>
        <w:spacing w:line="0" w:lineRule="atLeast"/>
        <w:contextualSpacing/>
        <w:jc w:val="both"/>
        <w:rPr>
          <w:rFonts w:ascii="Calibri" w:hAnsi="Calibri" w:cs="Calibri"/>
          <w:sz w:val="20"/>
        </w:rPr>
      </w:pPr>
      <w:r w:rsidRPr="008F58C0">
        <w:rPr>
          <w:rFonts w:ascii="Calibri" w:hAnsi="Calibri" w:cs="Calibri"/>
          <w:sz w:val="20"/>
        </w:rPr>
        <w:t>podlaha pivnice je tehlová</w:t>
      </w:r>
    </w:p>
    <w:p w:rsidR="00B473D2" w:rsidRPr="008F58C0" w:rsidRDefault="00B473D2" w:rsidP="00B473D2">
      <w:pPr>
        <w:spacing w:line="0" w:lineRule="atLeast"/>
        <w:contextualSpacing/>
        <w:jc w:val="both"/>
        <w:rPr>
          <w:rFonts w:ascii="Calibri" w:hAnsi="Calibri" w:cs="Calibri"/>
          <w:sz w:val="20"/>
        </w:rPr>
      </w:pPr>
    </w:p>
    <w:p w:rsidR="00B473D2" w:rsidRPr="008F58C0" w:rsidRDefault="00B473D2" w:rsidP="00B473D2">
      <w:pPr>
        <w:spacing w:line="0" w:lineRule="atLeast"/>
        <w:jc w:val="both"/>
        <w:rPr>
          <w:rFonts w:ascii="Calibri" w:hAnsi="Calibri" w:cs="Calibri"/>
          <w:b/>
          <w:sz w:val="20"/>
        </w:rPr>
      </w:pPr>
      <w:r w:rsidRPr="008F58C0">
        <w:rPr>
          <w:rFonts w:ascii="Calibri" w:hAnsi="Calibri" w:cs="Calibri"/>
          <w:b/>
          <w:sz w:val="20"/>
        </w:rPr>
        <w:t xml:space="preserve">Riešenie protipožiarnej bezpečnosti </w:t>
      </w:r>
    </w:p>
    <w:p w:rsidR="00B473D2" w:rsidRPr="008F58C0" w:rsidRDefault="00B473D2" w:rsidP="00B473D2">
      <w:pPr>
        <w:spacing w:line="0" w:lineRule="atLeast"/>
        <w:jc w:val="both"/>
        <w:rPr>
          <w:rFonts w:ascii="Calibri" w:hAnsi="Calibri" w:cs="Calibri"/>
          <w:sz w:val="20"/>
        </w:rPr>
      </w:pPr>
    </w:p>
    <w:p w:rsidR="00B473D2" w:rsidRPr="008F58C0" w:rsidRDefault="00B473D2" w:rsidP="008F58C0">
      <w:pPr>
        <w:spacing w:line="0" w:lineRule="atLeast"/>
        <w:ind w:firstLine="708"/>
        <w:contextualSpacing/>
        <w:jc w:val="both"/>
        <w:rPr>
          <w:rFonts w:ascii="Calibri" w:hAnsi="Calibri" w:cs="Calibri"/>
          <w:sz w:val="20"/>
        </w:rPr>
      </w:pPr>
      <w:r w:rsidRPr="008F58C0">
        <w:rPr>
          <w:rFonts w:ascii="Calibri" w:hAnsi="Calibri" w:cs="Calibri"/>
          <w:sz w:val="20"/>
        </w:rPr>
        <w:t>Riešenie protipožiarnej bezpečnosti je vykonané podľa Vyhl. MV SR č. 94/2004 Z.z.</w:t>
      </w:r>
      <w:r w:rsidRPr="008F58C0">
        <w:rPr>
          <w:rFonts w:ascii="Calibri" w:hAnsi="Calibri" w:cs="Calibri"/>
          <w:sz w:val="20"/>
          <w:shd w:val="clear" w:color="auto" w:fill="FFFFFF"/>
        </w:rPr>
        <w:t xml:space="preserve"> s novelami </w:t>
      </w:r>
      <w:r w:rsidRPr="008F58C0">
        <w:rPr>
          <w:rFonts w:ascii="Calibri" w:hAnsi="Calibri" w:cs="Calibri"/>
          <w:iCs/>
          <w:sz w:val="20"/>
        </w:rPr>
        <w:t>č.307/2007 Z.z.</w:t>
      </w:r>
      <w:r w:rsidRPr="008F58C0">
        <w:rPr>
          <w:rFonts w:ascii="Calibri" w:hAnsi="Calibri" w:cs="Calibri"/>
          <w:sz w:val="20"/>
          <w:shd w:val="clear" w:color="auto" w:fill="FFFFFF"/>
        </w:rPr>
        <w:t xml:space="preserve"> a </w:t>
      </w:r>
      <w:r w:rsidRPr="008F58C0">
        <w:rPr>
          <w:rFonts w:ascii="Calibri" w:hAnsi="Calibri" w:cs="Calibri"/>
          <w:iCs/>
          <w:sz w:val="20"/>
        </w:rPr>
        <w:t>č.225/2012 Z.z a</w:t>
      </w:r>
      <w:r w:rsidRPr="008F58C0">
        <w:rPr>
          <w:rFonts w:ascii="Calibri" w:hAnsi="Calibri" w:cs="Calibri"/>
          <w:sz w:val="20"/>
        </w:rPr>
        <w:t xml:space="preserve"> v nadväznosti na STN 92 0201-1 až 4. </w:t>
      </w:r>
    </w:p>
    <w:p w:rsidR="00B473D2" w:rsidRPr="008F58C0" w:rsidRDefault="00B473D2" w:rsidP="00B473D2">
      <w:pPr>
        <w:ind w:firstLine="709"/>
        <w:contextualSpacing/>
        <w:jc w:val="both"/>
        <w:rPr>
          <w:rFonts w:ascii="Calibri" w:hAnsi="Calibri" w:cs="Calibri"/>
          <w:sz w:val="20"/>
        </w:rPr>
      </w:pPr>
      <w:r w:rsidRPr="008F58C0">
        <w:rPr>
          <w:rFonts w:ascii="Calibri" w:hAnsi="Calibri" w:cs="Calibri"/>
          <w:sz w:val="20"/>
        </w:rPr>
        <w:t xml:space="preserve">Posudzovaná stavba má podľa § 5, § 7 ods.1 vyhl. MV SR č. 94/2004 Z.z dve nadzemné požiarne podlažia a v časti pivnice jedno podzemné požiarne podlažie.  Prvé nadzemné požiarne podlažie sa nachádza na výškovej  úrovni  0,0m, druhé sa nachádza na výškovej úrovni 3m.  </w:t>
      </w:r>
    </w:p>
    <w:p w:rsidR="00B473D2" w:rsidRPr="008F58C0" w:rsidRDefault="00B473D2" w:rsidP="007A5218">
      <w:pPr>
        <w:contextualSpacing/>
        <w:jc w:val="both"/>
        <w:rPr>
          <w:rFonts w:ascii="Calibri" w:hAnsi="Calibri" w:cs="Calibri"/>
          <w:sz w:val="20"/>
        </w:rPr>
      </w:pPr>
      <w:r w:rsidRPr="008F58C0">
        <w:rPr>
          <w:rFonts w:ascii="Calibri" w:hAnsi="Calibri" w:cs="Calibri"/>
          <w:sz w:val="20"/>
        </w:rPr>
        <w:t xml:space="preserve">Prvé podzemné  požiarne podlažie sa nachádza na výškovej úrovni  -4,6m. Požiarna výška stavby  je 3m. </w:t>
      </w:r>
    </w:p>
    <w:p w:rsidR="00B473D2" w:rsidRPr="008F58C0" w:rsidRDefault="00B473D2" w:rsidP="00B473D2">
      <w:pPr>
        <w:contextualSpacing/>
        <w:jc w:val="both"/>
        <w:rPr>
          <w:rFonts w:ascii="Calibri" w:hAnsi="Calibri" w:cs="Calibri"/>
          <w:sz w:val="20"/>
        </w:rPr>
      </w:pPr>
    </w:p>
    <w:p w:rsidR="00B473D2" w:rsidRPr="008F58C0" w:rsidRDefault="00B473D2" w:rsidP="00B473D2">
      <w:pPr>
        <w:contextualSpacing/>
        <w:jc w:val="both"/>
        <w:rPr>
          <w:rFonts w:ascii="Calibri" w:hAnsi="Calibri" w:cs="Calibri"/>
          <w:sz w:val="20"/>
        </w:rPr>
      </w:pPr>
      <w:r w:rsidRPr="008F58C0">
        <w:rPr>
          <w:rFonts w:ascii="Calibri" w:hAnsi="Calibri" w:cs="Calibri"/>
          <w:b/>
          <w:sz w:val="20"/>
        </w:rPr>
        <w:t>Rozdelenie stavby na požiarne úseky, požiarne riziko</w:t>
      </w:r>
    </w:p>
    <w:p w:rsidR="00B473D2" w:rsidRPr="008F58C0" w:rsidRDefault="00B473D2" w:rsidP="00B473D2">
      <w:pPr>
        <w:spacing w:line="0" w:lineRule="atLeast"/>
        <w:ind w:firstLine="709"/>
        <w:jc w:val="both"/>
        <w:rPr>
          <w:rFonts w:ascii="Calibri" w:hAnsi="Calibri" w:cs="Calibri"/>
          <w:sz w:val="20"/>
          <w:lang w:eastAsia="cs-CZ"/>
        </w:rPr>
      </w:pPr>
    </w:p>
    <w:p w:rsidR="00B473D2" w:rsidRPr="008F58C0" w:rsidRDefault="00B473D2" w:rsidP="007A5218">
      <w:pPr>
        <w:spacing w:line="0" w:lineRule="atLeast"/>
        <w:jc w:val="both"/>
        <w:rPr>
          <w:rFonts w:ascii="Calibri" w:hAnsi="Calibri" w:cs="Calibri"/>
          <w:sz w:val="20"/>
          <w:lang w:eastAsia="cs-CZ"/>
        </w:rPr>
      </w:pPr>
      <w:r w:rsidRPr="008F58C0">
        <w:rPr>
          <w:rFonts w:ascii="Calibri" w:hAnsi="Calibri" w:cs="Calibri"/>
          <w:sz w:val="20"/>
          <w:lang w:eastAsia="cs-CZ"/>
        </w:rPr>
        <w:t xml:space="preserve">Posudzovaná stavba spĺňa požiadavky pre stavbu na ubytovanie skupiny A  </w:t>
      </w:r>
      <w:r w:rsidRPr="008F58C0">
        <w:rPr>
          <w:rFonts w:ascii="Calibri" w:hAnsi="Calibri" w:cs="Calibri"/>
          <w:sz w:val="20"/>
        </w:rPr>
        <w:t>v zmysle §94 ods.2, 3 Vyhl. MV SR č. 94/2004 Z.z. . Stavba bude slúžiť na ubytovanie pre 11 normových osôb (2x1,3+ 3x1,3x 2=11n.o. stanovené v súlade s STN920241).</w:t>
      </w:r>
    </w:p>
    <w:p w:rsidR="00B473D2" w:rsidRPr="008F58C0" w:rsidRDefault="00B473D2" w:rsidP="00B473D2">
      <w:pPr>
        <w:spacing w:line="0" w:lineRule="atLeast"/>
        <w:jc w:val="both"/>
        <w:rPr>
          <w:rFonts w:ascii="Calibri" w:hAnsi="Calibri" w:cs="Calibri"/>
          <w:sz w:val="20"/>
        </w:rPr>
      </w:pPr>
      <w:r w:rsidRPr="008F58C0">
        <w:rPr>
          <w:rFonts w:ascii="Calibri" w:hAnsi="Calibri" w:cs="Calibri"/>
          <w:sz w:val="20"/>
        </w:rPr>
        <w:t>Časť stavby na ubytovanie sk. A bude tvoriť jeden požiarny v zmysle prílohy č. 1 Vyhl. MV SR č. 94/2004 Z.z a  § 94 ods. 4 Vyhl.  MV SR č. 94/2004 Z.z..  Pivnica (príručný sklad pre SO02)  bude tvoriť samostatný požiarny úsek v súlade s prílohou č. 1 Vyhl. MV SR č. 94/2004 Z.z..</w:t>
      </w:r>
    </w:p>
    <w:p w:rsidR="00B473D2" w:rsidRDefault="00B473D2" w:rsidP="00B473D2">
      <w:pPr>
        <w:pBdr>
          <w:bottom w:val="single" w:sz="4" w:space="1" w:color="000000"/>
        </w:pBdr>
        <w:jc w:val="both"/>
        <w:rPr>
          <w:rFonts w:ascii="Calibri" w:hAnsi="Calibri" w:cs="Calibri"/>
          <w:sz w:val="20"/>
        </w:rPr>
      </w:pPr>
      <w:r w:rsidRPr="008F58C0">
        <w:rPr>
          <w:rFonts w:ascii="Calibri" w:hAnsi="Calibri" w:cs="Calibri"/>
          <w:sz w:val="20"/>
        </w:rPr>
        <w:t>Dovolená plocha požiarneho úseku sa neposudzuje, nakoľko jeho plocha je menšia ako 300m2 v zmysle § 4 ods. 2 vyhlášky MV 94/2004 Z.z..</w:t>
      </w:r>
    </w:p>
    <w:p w:rsidR="008F58C0" w:rsidRPr="008F58C0" w:rsidRDefault="008F58C0" w:rsidP="00B473D2">
      <w:pPr>
        <w:pBdr>
          <w:bottom w:val="single" w:sz="4" w:space="1" w:color="000000"/>
        </w:pBdr>
        <w:jc w:val="both"/>
        <w:rPr>
          <w:rFonts w:ascii="Calibri" w:hAnsi="Calibri" w:cs="Calibri"/>
          <w:sz w:val="20"/>
        </w:rPr>
      </w:pPr>
    </w:p>
    <w:p w:rsidR="00B473D2" w:rsidRPr="008F58C0" w:rsidRDefault="00B473D2" w:rsidP="00B473D2">
      <w:pPr>
        <w:pBdr>
          <w:bottom w:val="single" w:sz="4" w:space="1" w:color="000000"/>
        </w:pBdr>
        <w:jc w:val="both"/>
        <w:rPr>
          <w:rFonts w:ascii="Calibri" w:hAnsi="Calibri" w:cs="Calibri"/>
          <w:sz w:val="20"/>
        </w:rPr>
      </w:pPr>
      <w:r w:rsidRPr="008F58C0">
        <w:rPr>
          <w:rFonts w:ascii="Calibri" w:hAnsi="Calibri" w:cs="Calibri"/>
          <w:sz w:val="20"/>
        </w:rPr>
        <w:t>Posúdenie dovoleného počtu požiarnych podlaží požiarneho úseku N1.01/N2: z=100/50=2.......dovolený počet nadzemných podlaží nie je prekročený. Rozdelenie stavby na požiarne úseky je znázor</w:t>
      </w:r>
    </w:p>
    <w:p w:rsidR="00B473D2" w:rsidRPr="008F58C0" w:rsidRDefault="00B473D2" w:rsidP="00B473D2">
      <w:pPr>
        <w:tabs>
          <w:tab w:val="left" w:pos="2835"/>
        </w:tabs>
        <w:ind w:left="2835" w:hanging="2977"/>
        <w:contextualSpacing/>
        <w:jc w:val="both"/>
        <w:rPr>
          <w:rFonts w:ascii="Calibri" w:hAnsi="Calibri" w:cs="Calibri"/>
          <w:color w:val="000000"/>
          <w:sz w:val="20"/>
          <w:shd w:val="clear" w:color="auto" w:fill="FFFFFF"/>
        </w:rPr>
      </w:pPr>
      <w:r w:rsidRPr="008F58C0">
        <w:rPr>
          <w:rFonts w:ascii="Calibri" w:hAnsi="Calibri" w:cs="Calibri"/>
          <w:color w:val="000000"/>
          <w:sz w:val="20"/>
          <w:shd w:val="clear" w:color="auto" w:fill="FFFFFF"/>
        </w:rPr>
        <w:t xml:space="preserve">   Požiarny úsek </w:t>
      </w:r>
      <w:r w:rsidRPr="008F58C0">
        <w:rPr>
          <w:rFonts w:ascii="Calibri" w:hAnsi="Calibri" w:cs="Calibri"/>
          <w:b/>
          <w:bCs/>
          <w:color w:val="000000"/>
          <w:sz w:val="20"/>
          <w:shd w:val="clear" w:color="auto" w:fill="FFFFFF"/>
        </w:rPr>
        <w:t>N1.01/N2</w:t>
      </w:r>
      <w:r w:rsidRPr="008F58C0">
        <w:rPr>
          <w:rFonts w:ascii="Calibri" w:hAnsi="Calibri" w:cs="Calibri"/>
          <w:b/>
          <w:color w:val="000000"/>
          <w:sz w:val="20"/>
          <w:shd w:val="clear" w:color="auto" w:fill="FFFFFF"/>
        </w:rPr>
        <w:t>:</w:t>
      </w:r>
      <w:r w:rsidRPr="008F58C0">
        <w:rPr>
          <w:rFonts w:ascii="Calibri" w:hAnsi="Calibri" w:cs="Calibri"/>
          <w:b/>
          <w:color w:val="000000"/>
          <w:sz w:val="20"/>
          <w:shd w:val="clear" w:color="auto" w:fill="FFFFFF"/>
        </w:rPr>
        <w:tab/>
      </w:r>
      <w:r w:rsidRPr="008F58C0">
        <w:rPr>
          <w:rFonts w:ascii="Calibri" w:hAnsi="Calibri" w:cs="Calibri"/>
          <w:sz w:val="20"/>
        </w:rPr>
        <w:t xml:space="preserve">showroom s ubytovaním  </w:t>
      </w:r>
    </w:p>
    <w:p w:rsidR="00B473D2" w:rsidRPr="008F58C0" w:rsidRDefault="00B473D2" w:rsidP="00B473D2">
      <w:pPr>
        <w:tabs>
          <w:tab w:val="left" w:pos="2835"/>
        </w:tabs>
        <w:ind w:left="3600" w:hanging="3600"/>
        <w:contextualSpacing/>
        <w:jc w:val="both"/>
        <w:rPr>
          <w:rFonts w:ascii="Calibri" w:hAnsi="Calibri" w:cs="Calibri"/>
          <w:kern w:val="1"/>
          <w:sz w:val="20"/>
          <w:shd w:val="clear" w:color="auto" w:fill="FFFFFF"/>
          <w:vertAlign w:val="superscript"/>
        </w:rPr>
      </w:pPr>
      <w:r w:rsidRPr="008F58C0">
        <w:rPr>
          <w:rFonts w:ascii="Calibri" w:hAnsi="Calibri" w:cs="Calibri"/>
          <w:color w:val="000000"/>
          <w:sz w:val="20"/>
          <w:shd w:val="clear" w:color="auto" w:fill="FFFFFF"/>
        </w:rPr>
        <w:t>Požiarne zaťaženie:</w:t>
      </w:r>
      <w:r w:rsidRPr="008F58C0">
        <w:rPr>
          <w:rFonts w:ascii="Calibri" w:hAnsi="Calibri" w:cs="Calibri"/>
          <w:color w:val="000000"/>
          <w:sz w:val="20"/>
          <w:shd w:val="clear" w:color="auto" w:fill="FFFFFF"/>
        </w:rPr>
        <w:tab/>
        <w:t>50</w:t>
      </w:r>
      <w:r w:rsidRPr="008F58C0">
        <w:rPr>
          <w:rFonts w:ascii="Calibri" w:hAnsi="Calibri" w:cs="Calibri"/>
          <w:kern w:val="1"/>
          <w:sz w:val="20"/>
          <w:shd w:val="clear" w:color="auto" w:fill="FFFFFF"/>
        </w:rPr>
        <w:t xml:space="preserve"> kg/m</w:t>
      </w:r>
      <w:r w:rsidRPr="008F58C0">
        <w:rPr>
          <w:rFonts w:ascii="Calibri" w:hAnsi="Calibri" w:cs="Calibri"/>
          <w:kern w:val="1"/>
          <w:sz w:val="20"/>
          <w:shd w:val="clear" w:color="auto" w:fill="FFFFFF"/>
          <w:vertAlign w:val="superscript"/>
        </w:rPr>
        <w:t>2</w:t>
      </w:r>
    </w:p>
    <w:p w:rsidR="00B473D2" w:rsidRPr="008F58C0" w:rsidRDefault="00B473D2" w:rsidP="00B473D2">
      <w:pPr>
        <w:contextualSpacing/>
        <w:jc w:val="both"/>
        <w:rPr>
          <w:rFonts w:ascii="Calibri" w:hAnsi="Calibri" w:cs="Calibri"/>
          <w:sz w:val="20"/>
        </w:rPr>
      </w:pPr>
      <w:r w:rsidRPr="008F58C0">
        <w:rPr>
          <w:rFonts w:ascii="Calibri" w:hAnsi="Calibri" w:cs="Calibri"/>
          <w:kern w:val="1"/>
          <w:sz w:val="20"/>
          <w:shd w:val="clear" w:color="auto" w:fill="FFFFFF"/>
        </w:rPr>
        <w:t>SPB:</w:t>
      </w:r>
      <w:r w:rsidRPr="008F58C0">
        <w:rPr>
          <w:rFonts w:ascii="Calibri" w:hAnsi="Calibri" w:cs="Calibri"/>
          <w:kern w:val="1"/>
          <w:sz w:val="20"/>
          <w:shd w:val="clear" w:color="auto" w:fill="FFFFFF"/>
        </w:rPr>
        <w:tab/>
      </w:r>
      <w:r w:rsidRPr="008F58C0">
        <w:rPr>
          <w:rFonts w:ascii="Calibri" w:hAnsi="Calibri" w:cs="Calibri"/>
          <w:kern w:val="1"/>
          <w:sz w:val="20"/>
          <w:shd w:val="clear" w:color="auto" w:fill="FFFFFF"/>
        </w:rPr>
        <w:tab/>
      </w:r>
      <w:r w:rsidRPr="008F58C0">
        <w:rPr>
          <w:rFonts w:ascii="Calibri" w:hAnsi="Calibri" w:cs="Calibri"/>
          <w:kern w:val="1"/>
          <w:sz w:val="20"/>
          <w:shd w:val="clear" w:color="auto" w:fill="FFFFFF"/>
        </w:rPr>
        <w:tab/>
      </w:r>
      <w:r w:rsidRPr="008F58C0">
        <w:rPr>
          <w:rFonts w:ascii="Calibri" w:hAnsi="Calibri" w:cs="Calibri"/>
          <w:kern w:val="1"/>
          <w:sz w:val="20"/>
          <w:shd w:val="clear" w:color="auto" w:fill="FFFFFF"/>
        </w:rPr>
        <w:tab/>
        <w:t xml:space="preserve">I. SPB ( podľa </w:t>
      </w:r>
      <w:r w:rsidRPr="008F58C0">
        <w:rPr>
          <w:rFonts w:ascii="Calibri" w:hAnsi="Calibri" w:cs="Calibri"/>
          <w:sz w:val="20"/>
        </w:rPr>
        <w:t>čl.3.4  STN 92 0201-2)</w:t>
      </w:r>
    </w:p>
    <w:p w:rsidR="00B473D2" w:rsidRPr="008F58C0" w:rsidRDefault="00B473D2" w:rsidP="00B473D2">
      <w:pPr>
        <w:pBdr>
          <w:bottom w:val="single" w:sz="4" w:space="0" w:color="000000"/>
        </w:pBdr>
        <w:tabs>
          <w:tab w:val="left" w:pos="2835"/>
        </w:tabs>
        <w:jc w:val="both"/>
        <w:rPr>
          <w:rFonts w:ascii="Calibri" w:hAnsi="Calibri" w:cs="Calibri"/>
          <w:color w:val="000000"/>
          <w:sz w:val="20"/>
          <w:shd w:val="clear" w:color="auto" w:fill="FFFFFF"/>
        </w:rPr>
      </w:pPr>
    </w:p>
    <w:p w:rsidR="00B473D2" w:rsidRPr="008F58C0" w:rsidRDefault="00B473D2" w:rsidP="00B473D2">
      <w:pPr>
        <w:tabs>
          <w:tab w:val="left" w:pos="2835"/>
        </w:tabs>
        <w:ind w:left="2835" w:hanging="2977"/>
        <w:contextualSpacing/>
        <w:jc w:val="both"/>
        <w:rPr>
          <w:rFonts w:ascii="Calibri" w:hAnsi="Calibri" w:cs="Calibri"/>
          <w:color w:val="000000"/>
          <w:sz w:val="20"/>
          <w:shd w:val="clear" w:color="auto" w:fill="FFFFFF"/>
        </w:rPr>
      </w:pPr>
      <w:r w:rsidRPr="008F58C0">
        <w:rPr>
          <w:rFonts w:ascii="Calibri" w:hAnsi="Calibri" w:cs="Calibri"/>
          <w:color w:val="000000"/>
          <w:sz w:val="20"/>
          <w:shd w:val="clear" w:color="auto" w:fill="FFFFFF"/>
        </w:rPr>
        <w:t xml:space="preserve">  Požiarny úsek </w:t>
      </w:r>
      <w:r w:rsidRPr="008F58C0">
        <w:rPr>
          <w:rFonts w:ascii="Calibri" w:hAnsi="Calibri" w:cs="Calibri"/>
          <w:b/>
          <w:bCs/>
          <w:color w:val="000000"/>
          <w:sz w:val="20"/>
          <w:shd w:val="clear" w:color="auto" w:fill="FFFFFF"/>
        </w:rPr>
        <w:t>P1.02</w:t>
      </w:r>
      <w:r w:rsidRPr="008F58C0">
        <w:rPr>
          <w:rFonts w:ascii="Calibri" w:hAnsi="Calibri" w:cs="Calibri"/>
          <w:b/>
          <w:color w:val="000000"/>
          <w:sz w:val="20"/>
          <w:shd w:val="clear" w:color="auto" w:fill="FFFFFF"/>
        </w:rPr>
        <w:t>:</w:t>
      </w:r>
      <w:r w:rsidRPr="008F58C0">
        <w:rPr>
          <w:rFonts w:ascii="Calibri" w:hAnsi="Calibri" w:cs="Calibri"/>
          <w:b/>
          <w:color w:val="000000"/>
          <w:sz w:val="20"/>
          <w:shd w:val="clear" w:color="auto" w:fill="FFFFFF"/>
        </w:rPr>
        <w:tab/>
      </w:r>
      <w:r w:rsidRPr="008F58C0">
        <w:rPr>
          <w:rFonts w:ascii="Calibri" w:hAnsi="Calibri" w:cs="Calibri"/>
          <w:sz w:val="20"/>
        </w:rPr>
        <w:t xml:space="preserve">pivničné priestory- príručný sklad vínna pivnica  (m.č.0.05, m.č. 0.06, m.č. 1.04) </w:t>
      </w:r>
    </w:p>
    <w:p w:rsidR="00B473D2" w:rsidRPr="008F58C0" w:rsidRDefault="00B473D2" w:rsidP="00B473D2">
      <w:pPr>
        <w:tabs>
          <w:tab w:val="left" w:pos="2835"/>
        </w:tabs>
        <w:ind w:left="3600" w:hanging="3600"/>
        <w:contextualSpacing/>
        <w:jc w:val="both"/>
        <w:rPr>
          <w:rFonts w:ascii="Calibri" w:hAnsi="Calibri" w:cs="Calibri"/>
          <w:kern w:val="1"/>
          <w:sz w:val="20"/>
          <w:shd w:val="clear" w:color="auto" w:fill="FFFFFF"/>
          <w:vertAlign w:val="superscript"/>
        </w:rPr>
      </w:pPr>
      <w:r w:rsidRPr="008F58C0">
        <w:rPr>
          <w:rFonts w:ascii="Calibri" w:hAnsi="Calibri" w:cs="Calibri"/>
          <w:color w:val="000000"/>
          <w:sz w:val="20"/>
          <w:shd w:val="clear" w:color="auto" w:fill="FFFFFF"/>
        </w:rPr>
        <w:t>Ekvivalentný čas trvania požiaru:</w:t>
      </w:r>
      <w:r w:rsidRPr="008F58C0">
        <w:rPr>
          <w:rFonts w:ascii="Calibri" w:hAnsi="Calibri" w:cs="Calibri"/>
          <w:color w:val="000000"/>
          <w:sz w:val="20"/>
          <w:shd w:val="clear" w:color="auto" w:fill="FFFFFF"/>
        </w:rPr>
        <w:tab/>
        <w:t xml:space="preserve">taue=27min </w:t>
      </w:r>
      <w:r w:rsidRPr="008F58C0">
        <w:rPr>
          <w:rFonts w:ascii="Calibri" w:hAnsi="Calibri" w:cs="Calibri"/>
          <w:sz w:val="20"/>
        </w:rPr>
        <w:t xml:space="preserve">podľa prílohy L.1  STN 92 0201-1 </w:t>
      </w:r>
      <w:r w:rsidRPr="008F58C0">
        <w:rPr>
          <w:rFonts w:ascii="Calibri" w:hAnsi="Calibri" w:cs="Calibri"/>
          <w:color w:val="000000"/>
          <w:sz w:val="20"/>
          <w:shd w:val="clear" w:color="auto" w:fill="FFFFFF"/>
        </w:rPr>
        <w:t xml:space="preserve"> </w:t>
      </w:r>
    </w:p>
    <w:p w:rsidR="00B473D2" w:rsidRPr="008F58C0" w:rsidRDefault="00B473D2" w:rsidP="00B473D2">
      <w:pPr>
        <w:contextualSpacing/>
        <w:jc w:val="both"/>
        <w:rPr>
          <w:rFonts w:ascii="Calibri" w:hAnsi="Calibri" w:cs="Calibri"/>
          <w:sz w:val="20"/>
        </w:rPr>
      </w:pPr>
      <w:r w:rsidRPr="008F58C0">
        <w:rPr>
          <w:rFonts w:ascii="Calibri" w:hAnsi="Calibri" w:cs="Calibri"/>
          <w:kern w:val="1"/>
          <w:sz w:val="20"/>
          <w:shd w:val="clear" w:color="auto" w:fill="FFFFFF"/>
        </w:rPr>
        <w:t>SPB:</w:t>
      </w:r>
      <w:r w:rsidRPr="008F58C0">
        <w:rPr>
          <w:rFonts w:ascii="Calibri" w:hAnsi="Calibri" w:cs="Calibri"/>
          <w:kern w:val="1"/>
          <w:sz w:val="20"/>
          <w:shd w:val="clear" w:color="auto" w:fill="FFFFFF"/>
        </w:rPr>
        <w:tab/>
      </w:r>
      <w:r w:rsidRPr="008F58C0">
        <w:rPr>
          <w:rFonts w:ascii="Calibri" w:hAnsi="Calibri" w:cs="Calibri"/>
          <w:kern w:val="1"/>
          <w:sz w:val="20"/>
          <w:shd w:val="clear" w:color="auto" w:fill="FFFFFF"/>
        </w:rPr>
        <w:tab/>
      </w:r>
      <w:r w:rsidRPr="008F58C0">
        <w:rPr>
          <w:rFonts w:ascii="Calibri" w:hAnsi="Calibri" w:cs="Calibri"/>
          <w:kern w:val="1"/>
          <w:sz w:val="20"/>
          <w:shd w:val="clear" w:color="auto" w:fill="FFFFFF"/>
        </w:rPr>
        <w:tab/>
      </w:r>
      <w:r w:rsidRPr="008F58C0">
        <w:rPr>
          <w:rFonts w:ascii="Calibri" w:hAnsi="Calibri" w:cs="Calibri"/>
          <w:kern w:val="1"/>
          <w:sz w:val="20"/>
          <w:shd w:val="clear" w:color="auto" w:fill="FFFFFF"/>
        </w:rPr>
        <w:tab/>
        <w:t>I. SPB (</w:t>
      </w:r>
      <w:r w:rsidRPr="008F58C0">
        <w:rPr>
          <w:rFonts w:ascii="Calibri" w:hAnsi="Calibri" w:cs="Calibri"/>
          <w:sz w:val="20"/>
        </w:rPr>
        <w:t xml:space="preserve">§ 37 ods. 4, písm. a) Vyhl. MV SR č. 94/2004 Z.z., </w:t>
      </w:r>
    </w:p>
    <w:p w:rsidR="00B473D2" w:rsidRPr="008F58C0" w:rsidRDefault="00B473D2" w:rsidP="00B473D2">
      <w:pPr>
        <w:ind w:left="709" w:firstLine="709"/>
        <w:contextualSpacing/>
        <w:jc w:val="both"/>
        <w:rPr>
          <w:rFonts w:ascii="Calibri" w:hAnsi="Calibri" w:cs="Calibri"/>
          <w:sz w:val="20"/>
        </w:rPr>
      </w:pPr>
      <w:r w:rsidRPr="008F58C0">
        <w:rPr>
          <w:rFonts w:ascii="Calibri" w:hAnsi="Calibri" w:cs="Calibri"/>
          <w:sz w:val="20"/>
        </w:rPr>
        <w:t xml:space="preserve">                            </w:t>
      </w:r>
      <w:r w:rsidR="008F58C0">
        <w:rPr>
          <w:rFonts w:ascii="Calibri" w:hAnsi="Calibri" w:cs="Calibri"/>
          <w:sz w:val="20"/>
        </w:rPr>
        <w:tab/>
      </w:r>
      <w:r w:rsidRPr="008F58C0">
        <w:rPr>
          <w:rFonts w:ascii="Calibri" w:hAnsi="Calibri" w:cs="Calibri"/>
          <w:sz w:val="20"/>
        </w:rPr>
        <w:t>tab. 1 STN 920201-2, k8= 1,73*1/2,4=0,721)</w:t>
      </w:r>
    </w:p>
    <w:p w:rsidR="00B473D2" w:rsidRPr="008F58C0" w:rsidRDefault="00B473D2" w:rsidP="00B473D2">
      <w:pPr>
        <w:pBdr>
          <w:bottom w:val="single" w:sz="4" w:space="1" w:color="auto"/>
        </w:pBdr>
        <w:tabs>
          <w:tab w:val="left" w:pos="2835"/>
        </w:tabs>
        <w:contextualSpacing/>
        <w:jc w:val="both"/>
        <w:rPr>
          <w:rFonts w:ascii="Calibri" w:hAnsi="Calibri" w:cs="Calibri"/>
          <w:color w:val="000000"/>
          <w:sz w:val="20"/>
          <w:shd w:val="clear" w:color="auto" w:fill="FFFFFF"/>
        </w:rPr>
      </w:pPr>
    </w:p>
    <w:p w:rsidR="00B473D2" w:rsidRPr="008F58C0" w:rsidRDefault="00B473D2" w:rsidP="00165ED7">
      <w:pPr>
        <w:pStyle w:val="Nadpis1"/>
      </w:pPr>
    </w:p>
    <w:p w:rsidR="00B473D2" w:rsidRPr="008F58C0" w:rsidRDefault="00B473D2" w:rsidP="007A5218">
      <w:pPr>
        <w:jc w:val="both"/>
        <w:rPr>
          <w:rFonts w:ascii="Calibri" w:hAnsi="Calibri" w:cs="Calibri"/>
          <w:sz w:val="20"/>
        </w:rPr>
      </w:pPr>
      <w:r w:rsidRPr="008F58C0">
        <w:rPr>
          <w:rFonts w:ascii="Calibri" w:hAnsi="Calibri" w:cs="Calibri"/>
          <w:sz w:val="20"/>
        </w:rPr>
        <w:t xml:space="preserve">Požiarne riziko PÚ požiarneho úseku P1.02  je vyjadrené ekvivalentným časom trvania požiaru stanoveným v súlade s </w:t>
      </w:r>
      <w:r w:rsidRPr="008F58C0">
        <w:rPr>
          <w:rFonts w:ascii="Calibri" w:hAnsi="Calibri" w:cs="Calibri"/>
          <w:bCs/>
          <w:sz w:val="20"/>
        </w:rPr>
        <w:t>§ .21, ods. 1 Vyhl. MV SR č. 94/2004 Z.z</w:t>
      </w:r>
      <w:r w:rsidRPr="008F58C0">
        <w:rPr>
          <w:rFonts w:ascii="Calibri" w:hAnsi="Calibri" w:cs="Calibri"/>
          <w:sz w:val="20"/>
        </w:rPr>
        <w:t xml:space="preserve">.,a  čl 3.5.2 v STN 920201-1., nakoľko sa jedná o požiarny úsek, ktorý funkčne súvisí s výrobou v súlade s </w:t>
      </w:r>
      <w:r w:rsidRPr="008F58C0">
        <w:rPr>
          <w:rFonts w:ascii="Calibri" w:hAnsi="Calibri" w:cs="Calibri"/>
          <w:bCs/>
          <w:sz w:val="20"/>
        </w:rPr>
        <w:t>§ 1, ods.j  Vyhl. MV SR č. 94/2004 Z.z</w:t>
      </w:r>
      <w:r w:rsidRPr="008F58C0">
        <w:rPr>
          <w:rFonts w:ascii="Calibri" w:hAnsi="Calibri" w:cs="Calibri"/>
          <w:sz w:val="20"/>
        </w:rPr>
        <w:t xml:space="preserve">..  </w:t>
      </w:r>
    </w:p>
    <w:p w:rsidR="00B473D2" w:rsidRPr="008F58C0" w:rsidRDefault="00B473D2" w:rsidP="00B473D2">
      <w:pPr>
        <w:jc w:val="both"/>
        <w:rPr>
          <w:rFonts w:ascii="Calibri" w:hAnsi="Calibri" w:cs="Calibri"/>
          <w:sz w:val="20"/>
        </w:rPr>
      </w:pPr>
    </w:p>
    <w:p w:rsidR="00B473D2" w:rsidRPr="008F58C0" w:rsidRDefault="00B473D2" w:rsidP="00165ED7">
      <w:pPr>
        <w:pStyle w:val="Nadpis1"/>
        <w:numPr>
          <w:ilvl w:val="0"/>
          <w:numId w:val="3"/>
        </w:numPr>
      </w:pPr>
      <w:r w:rsidRPr="008F58C0">
        <w:t xml:space="preserve">Požiarna odolnosť stavebných konštrukcií </w:t>
      </w:r>
    </w:p>
    <w:p w:rsidR="00B473D2" w:rsidRPr="008F58C0" w:rsidRDefault="00B473D2" w:rsidP="00B473D2">
      <w:pPr>
        <w:ind w:firstLine="708"/>
        <w:contextualSpacing/>
        <w:jc w:val="both"/>
        <w:rPr>
          <w:rFonts w:ascii="Calibri" w:hAnsi="Calibri" w:cs="Calibri"/>
          <w:sz w:val="20"/>
          <w:lang w:eastAsia="cs-CZ"/>
        </w:rPr>
      </w:pPr>
    </w:p>
    <w:p w:rsidR="00B473D2" w:rsidRPr="008F58C0" w:rsidRDefault="00B473D2" w:rsidP="007A5218">
      <w:pPr>
        <w:contextualSpacing/>
        <w:jc w:val="both"/>
        <w:rPr>
          <w:rFonts w:ascii="Calibri" w:hAnsi="Calibri" w:cs="Calibri"/>
          <w:sz w:val="20"/>
        </w:rPr>
      </w:pPr>
      <w:bookmarkStart w:id="6" w:name="_Hlk2278035"/>
      <w:r w:rsidRPr="008F58C0">
        <w:rPr>
          <w:rFonts w:ascii="Calibri" w:hAnsi="Calibri" w:cs="Calibri"/>
          <w:sz w:val="20"/>
          <w:lang w:eastAsia="cs-CZ"/>
        </w:rPr>
        <w:t>Stavba bude tvoriť  nehorľavý  konštrukčný celok  v podzemnej časti (</w:t>
      </w:r>
      <w:r w:rsidRPr="008F58C0">
        <w:rPr>
          <w:rFonts w:ascii="Calibri" w:hAnsi="Calibri" w:cs="Calibri"/>
          <w:bCs/>
          <w:sz w:val="20"/>
        </w:rPr>
        <w:t>§ 13, ods. 3,  Vyhl. MV SR č. 94/2004 Z.z</w:t>
      </w:r>
      <w:r w:rsidRPr="008F58C0">
        <w:rPr>
          <w:rFonts w:ascii="Calibri" w:hAnsi="Calibri" w:cs="Calibri"/>
          <w:sz w:val="20"/>
        </w:rPr>
        <w:t xml:space="preserve">.) a horľavý konštrukčný celok v nadzemnej časti </w:t>
      </w:r>
      <w:r w:rsidRPr="008F58C0">
        <w:rPr>
          <w:rFonts w:ascii="Calibri" w:hAnsi="Calibri" w:cs="Calibri"/>
          <w:sz w:val="20"/>
          <w:lang w:eastAsia="cs-CZ"/>
        </w:rPr>
        <w:t>(</w:t>
      </w:r>
      <w:r w:rsidRPr="008F58C0">
        <w:rPr>
          <w:rFonts w:ascii="Calibri" w:hAnsi="Calibri" w:cs="Calibri"/>
          <w:bCs/>
          <w:sz w:val="20"/>
        </w:rPr>
        <w:t>§ 13, ods. 5b, 9 Vyhl. MV SR č. 94/2004 Z.z</w:t>
      </w:r>
      <w:r w:rsidRPr="008F58C0">
        <w:rPr>
          <w:rFonts w:ascii="Calibri" w:hAnsi="Calibri" w:cs="Calibri"/>
          <w:sz w:val="20"/>
        </w:rPr>
        <w:t xml:space="preserve">.). Požiarne úseky sú zaradené do I. stupňa protipožiarnej bezpečnosti. </w:t>
      </w:r>
    </w:p>
    <w:p w:rsidR="00B473D2" w:rsidRDefault="00B473D2" w:rsidP="007A5218">
      <w:pPr>
        <w:contextualSpacing/>
        <w:jc w:val="both"/>
        <w:rPr>
          <w:rFonts w:ascii="Calibri" w:hAnsi="Calibri" w:cs="Calibri"/>
          <w:bCs/>
          <w:sz w:val="20"/>
        </w:rPr>
      </w:pPr>
      <w:r w:rsidRPr="008F58C0">
        <w:rPr>
          <w:rFonts w:ascii="Calibri" w:hAnsi="Calibri" w:cs="Calibri"/>
          <w:bCs/>
          <w:sz w:val="20"/>
        </w:rPr>
        <w:t>Skutočné požiarne odolnosti stavebných konštrukcií v zmysle tab. 5 STN 92 0201-2 musia v plnom rozsahu vyhovovať požadovaným požiarnym odolnostiam určeným podľa stupňa protipožiarnej bezpečnosti. Požiadavky na stavebné konštrukcie sú znázornené vo výkresovej časti (v pôdorysoch).</w:t>
      </w:r>
    </w:p>
    <w:p w:rsidR="008F58C0" w:rsidRPr="008F58C0" w:rsidRDefault="008F58C0" w:rsidP="007A5218">
      <w:pPr>
        <w:contextualSpacing/>
        <w:jc w:val="both"/>
        <w:rPr>
          <w:rFonts w:ascii="Calibri" w:hAnsi="Calibri" w:cs="Calibri"/>
          <w:bCs/>
          <w:sz w:val="20"/>
        </w:rPr>
      </w:pPr>
    </w:p>
    <w:tbl>
      <w:tblPr>
        <w:tblW w:w="0" w:type="auto"/>
        <w:tblCellMar>
          <w:left w:w="70" w:type="dxa"/>
          <w:right w:w="70" w:type="dxa"/>
        </w:tblCellMar>
        <w:tblLook w:val="0000" w:firstRow="0" w:lastRow="0" w:firstColumn="0" w:lastColumn="0" w:noHBand="0" w:noVBand="0"/>
      </w:tblPr>
      <w:tblGrid>
        <w:gridCol w:w="766"/>
        <w:gridCol w:w="7353"/>
        <w:gridCol w:w="943"/>
      </w:tblGrid>
      <w:tr w:rsidR="00B473D2" w:rsidRPr="008F58C0" w:rsidTr="00FF2B38">
        <w:trPr>
          <w:trHeight w:val="510"/>
        </w:trPr>
        <w:tc>
          <w:tcPr>
            <w:tcW w:w="0" w:type="auto"/>
            <w:gridSpan w:val="3"/>
            <w:tcBorders>
              <w:top w:val="single" w:sz="4" w:space="0" w:color="auto"/>
              <w:left w:val="single" w:sz="4" w:space="0" w:color="auto"/>
              <w:bottom w:val="single" w:sz="4" w:space="0" w:color="auto"/>
              <w:right w:val="single" w:sz="4" w:space="0" w:color="auto"/>
            </w:tcBorders>
            <w:shd w:val="clear" w:color="auto" w:fill="C0C0C0"/>
            <w:noWrap/>
            <w:vAlign w:val="center"/>
          </w:tcPr>
          <w:p w:rsidR="00B473D2" w:rsidRPr="008F58C0" w:rsidRDefault="00B473D2" w:rsidP="00B473D2">
            <w:pPr>
              <w:jc w:val="both"/>
              <w:rPr>
                <w:rFonts w:ascii="Calibri" w:hAnsi="Calibri" w:cs="Calibri"/>
                <w:bCs/>
                <w:color w:val="000000"/>
                <w:sz w:val="20"/>
                <w:lang w:val="cs-CZ" w:eastAsia="cs-CZ"/>
              </w:rPr>
            </w:pPr>
            <w:r w:rsidRPr="008F58C0">
              <w:rPr>
                <w:rFonts w:ascii="Calibri" w:hAnsi="Calibri" w:cs="Calibri"/>
                <w:bCs/>
                <w:color w:val="000000"/>
                <w:sz w:val="20"/>
              </w:rPr>
              <w:t>Požiarna odolnosť vybraných stavebných konštrukcií</w:t>
            </w:r>
          </w:p>
        </w:tc>
      </w:tr>
      <w:tr w:rsidR="00B473D2" w:rsidRPr="008F58C0" w:rsidTr="00FF2B38">
        <w:trPr>
          <w:trHeight w:val="478"/>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podľa tab. 5- STN 920201-2</w:t>
            </w:r>
          </w:p>
        </w:tc>
      </w:tr>
      <w:tr w:rsidR="00B473D2" w:rsidRPr="008F58C0" w:rsidTr="00FF2B38">
        <w:trPr>
          <w:trHeight w:val="349"/>
        </w:trPr>
        <w:tc>
          <w:tcPr>
            <w:tcW w:w="0" w:type="auto"/>
            <w:tcBorders>
              <w:top w:val="nil"/>
              <w:left w:val="single" w:sz="4" w:space="0" w:color="auto"/>
              <w:bottom w:val="nil"/>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lastRenderedPageBreak/>
              <w:t>PÚ:</w:t>
            </w:r>
          </w:p>
        </w:tc>
        <w:tc>
          <w:tcPr>
            <w:tcW w:w="0" w:type="auto"/>
            <w:gridSpan w:val="2"/>
            <w:tcBorders>
              <w:top w:val="single" w:sz="4" w:space="0" w:color="auto"/>
              <w:left w:val="nil"/>
              <w:bottom w:val="nil"/>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P1.</w:t>
            </w:r>
            <w:proofErr w:type="gramStart"/>
            <w:r w:rsidRPr="008F58C0">
              <w:rPr>
                <w:rFonts w:ascii="Calibri" w:hAnsi="Calibri" w:cs="Calibri"/>
                <w:color w:val="000000"/>
                <w:sz w:val="20"/>
                <w:lang w:val="cs-CZ" w:eastAsia="cs-CZ"/>
              </w:rPr>
              <w:t>02 ,</w:t>
            </w:r>
            <w:proofErr w:type="gramEnd"/>
            <w:r w:rsidRPr="008F58C0">
              <w:rPr>
                <w:rFonts w:ascii="Calibri" w:hAnsi="Calibri" w:cs="Calibri"/>
                <w:color w:val="000000"/>
                <w:sz w:val="20"/>
                <w:lang w:val="cs-CZ" w:eastAsia="cs-CZ"/>
              </w:rPr>
              <w:t xml:space="preserve"> N1.01/N2</w:t>
            </w:r>
          </w:p>
        </w:tc>
      </w:tr>
      <w:tr w:rsidR="00B473D2" w:rsidRPr="008F58C0" w:rsidTr="00FF2B38">
        <w:trPr>
          <w:trHeight w:val="400"/>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rPr>
              <w:t>Stupeň  protipožiarnej bezpečnosti: I</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rPr>
              <w:t>Položka</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rPr>
              <w:t>Stavebná konštrukcia</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POSK</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proofErr w:type="gramStart"/>
            <w:r w:rsidRPr="008F58C0">
              <w:rPr>
                <w:rFonts w:ascii="Calibri" w:hAnsi="Calibri" w:cs="Calibri"/>
                <w:color w:val="000000"/>
                <w:sz w:val="20"/>
                <w:lang w:val="cs-CZ" w:eastAsia="cs-CZ"/>
              </w:rPr>
              <w:t>1a</w:t>
            </w:r>
            <w:proofErr w:type="gramEnd"/>
            <w:r w:rsidRPr="008F58C0">
              <w:rPr>
                <w:rFonts w:ascii="Calibri" w:hAnsi="Calibri" w:cs="Calibri"/>
                <w:color w:val="000000"/>
                <w:sz w:val="20"/>
                <w:lang w:val="cs-CZ" w:eastAsia="cs-CZ"/>
              </w:rPr>
              <w:t>)</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 xml:space="preserve">Požiarne stropy a požiarne </w:t>
            </w:r>
            <w:proofErr w:type="gramStart"/>
            <w:r w:rsidRPr="008F58C0">
              <w:rPr>
                <w:rFonts w:ascii="Calibri" w:hAnsi="Calibri" w:cs="Calibri"/>
                <w:color w:val="000000"/>
                <w:sz w:val="20"/>
                <w:lang w:val="cs-CZ" w:eastAsia="cs-CZ"/>
              </w:rPr>
              <w:t>steny -v</w:t>
            </w:r>
            <w:proofErr w:type="gramEnd"/>
            <w:r w:rsidRPr="008F58C0">
              <w:rPr>
                <w:rFonts w:ascii="Calibri" w:hAnsi="Calibri" w:cs="Calibri"/>
                <w:color w:val="000000"/>
                <w:sz w:val="20"/>
                <w:lang w:val="cs-CZ" w:eastAsia="cs-CZ"/>
              </w:rPr>
              <w:t xml:space="preserve"> podzemných podlažiach</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45/D1</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proofErr w:type="gramStart"/>
            <w:r w:rsidRPr="008F58C0">
              <w:rPr>
                <w:rFonts w:ascii="Calibri" w:hAnsi="Calibri" w:cs="Calibri"/>
                <w:color w:val="000000"/>
                <w:sz w:val="20"/>
                <w:lang w:val="cs-CZ" w:eastAsia="cs-CZ"/>
              </w:rPr>
              <w:t>1b</w:t>
            </w:r>
            <w:proofErr w:type="gramEnd"/>
            <w:r w:rsidRPr="008F58C0">
              <w:rPr>
                <w:rFonts w:ascii="Calibri" w:hAnsi="Calibri" w:cs="Calibri"/>
                <w:color w:val="000000"/>
                <w:sz w:val="20"/>
                <w:lang w:val="cs-CZ" w:eastAsia="cs-CZ"/>
              </w:rPr>
              <w:t>)</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 xml:space="preserve">Požiarne stropy a požiarne </w:t>
            </w:r>
            <w:proofErr w:type="gramStart"/>
            <w:r w:rsidRPr="008F58C0">
              <w:rPr>
                <w:rFonts w:ascii="Calibri" w:hAnsi="Calibri" w:cs="Calibri"/>
                <w:color w:val="000000"/>
                <w:sz w:val="20"/>
                <w:lang w:val="cs-CZ" w:eastAsia="cs-CZ"/>
              </w:rPr>
              <w:t>steny -v</w:t>
            </w:r>
            <w:proofErr w:type="gramEnd"/>
            <w:r w:rsidRPr="008F58C0">
              <w:rPr>
                <w:rFonts w:ascii="Calibri" w:hAnsi="Calibri" w:cs="Calibri"/>
                <w:color w:val="000000"/>
                <w:sz w:val="20"/>
                <w:lang w:val="cs-CZ" w:eastAsia="cs-CZ"/>
              </w:rPr>
              <w:t xml:space="preserve"> nadzemných podlažiach</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30</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1c)</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 xml:space="preserve">Požiarne stropy a požiarne </w:t>
            </w:r>
            <w:proofErr w:type="gramStart"/>
            <w:r w:rsidRPr="008F58C0">
              <w:rPr>
                <w:rFonts w:ascii="Calibri" w:hAnsi="Calibri" w:cs="Calibri"/>
                <w:color w:val="000000"/>
                <w:sz w:val="20"/>
                <w:lang w:val="cs-CZ" w:eastAsia="cs-CZ"/>
              </w:rPr>
              <w:t>steny - v</w:t>
            </w:r>
            <w:proofErr w:type="gramEnd"/>
            <w:r w:rsidRPr="008F58C0">
              <w:rPr>
                <w:rFonts w:ascii="Calibri" w:hAnsi="Calibri" w:cs="Calibri"/>
                <w:color w:val="000000"/>
                <w:sz w:val="20"/>
                <w:lang w:val="cs-CZ" w:eastAsia="cs-CZ"/>
              </w:rPr>
              <w:t> poslednom nadzemnom podlaží</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15</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proofErr w:type="gramStart"/>
            <w:r w:rsidRPr="008F58C0">
              <w:rPr>
                <w:rFonts w:ascii="Calibri" w:hAnsi="Calibri" w:cs="Calibri"/>
                <w:color w:val="000000"/>
                <w:sz w:val="20"/>
                <w:lang w:val="cs-CZ" w:eastAsia="cs-CZ"/>
              </w:rPr>
              <w:t>1d</w:t>
            </w:r>
            <w:proofErr w:type="gramEnd"/>
            <w:r w:rsidRPr="008F58C0">
              <w:rPr>
                <w:rFonts w:ascii="Calibri" w:hAnsi="Calibri" w:cs="Calibri"/>
                <w:color w:val="000000"/>
                <w:sz w:val="20"/>
                <w:lang w:val="cs-CZ" w:eastAsia="cs-CZ"/>
              </w:rPr>
              <w:t>)</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Požiarne steny medzi stavbami</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45/D1</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proofErr w:type="gramStart"/>
            <w:r w:rsidRPr="008F58C0">
              <w:rPr>
                <w:rFonts w:ascii="Calibri" w:hAnsi="Calibri" w:cs="Calibri"/>
                <w:color w:val="000000"/>
                <w:sz w:val="20"/>
                <w:lang w:val="cs-CZ" w:eastAsia="cs-CZ"/>
              </w:rPr>
              <w:t>2a</w:t>
            </w:r>
            <w:proofErr w:type="gramEnd"/>
            <w:r w:rsidRPr="008F58C0">
              <w:rPr>
                <w:rFonts w:ascii="Calibri" w:hAnsi="Calibri" w:cs="Calibri"/>
                <w:color w:val="000000"/>
                <w:sz w:val="20"/>
                <w:lang w:val="cs-CZ" w:eastAsia="cs-CZ"/>
              </w:rPr>
              <w:t>.1)</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Obvodové steny zaisťujúce stabilitu stavby alebo jej časti v podzemných podlažiach z vnútornej strany</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45/D1</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proofErr w:type="gramStart"/>
            <w:r w:rsidRPr="008F58C0">
              <w:rPr>
                <w:rFonts w:ascii="Calibri" w:hAnsi="Calibri" w:cs="Calibri"/>
                <w:color w:val="000000"/>
                <w:sz w:val="20"/>
                <w:lang w:val="cs-CZ" w:eastAsia="cs-CZ"/>
              </w:rPr>
              <w:t>2a</w:t>
            </w:r>
            <w:proofErr w:type="gramEnd"/>
            <w:r w:rsidRPr="008F58C0">
              <w:rPr>
                <w:rFonts w:ascii="Calibri" w:hAnsi="Calibri" w:cs="Calibri"/>
                <w:color w:val="000000"/>
                <w:sz w:val="20"/>
                <w:lang w:val="cs-CZ" w:eastAsia="cs-CZ"/>
              </w:rPr>
              <w:t>.2)</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 xml:space="preserve">Obvodové steny zaisťujúce stabilitu stavby alebo jej časti v nadzemných podlažiach </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30</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proofErr w:type="gramStart"/>
            <w:r w:rsidRPr="008F58C0">
              <w:rPr>
                <w:rFonts w:ascii="Calibri" w:hAnsi="Calibri" w:cs="Calibri"/>
                <w:color w:val="000000"/>
                <w:sz w:val="20"/>
                <w:lang w:val="cs-CZ" w:eastAsia="cs-CZ"/>
              </w:rPr>
              <w:t>2a</w:t>
            </w:r>
            <w:proofErr w:type="gramEnd"/>
            <w:r w:rsidRPr="008F58C0">
              <w:rPr>
                <w:rFonts w:ascii="Calibri" w:hAnsi="Calibri" w:cs="Calibri"/>
                <w:color w:val="000000"/>
                <w:sz w:val="20"/>
                <w:lang w:val="cs-CZ" w:eastAsia="cs-CZ"/>
              </w:rPr>
              <w:t>.3)</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 xml:space="preserve">Obvodové steny zaisťujúce stabilitu stavby alebo jej časti v poslednom nadzemnom podlaží </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15</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3)</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Strešný plášť</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15</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proofErr w:type="gramStart"/>
            <w:r w:rsidRPr="008F58C0">
              <w:rPr>
                <w:rFonts w:ascii="Calibri" w:hAnsi="Calibri" w:cs="Calibri"/>
                <w:color w:val="000000"/>
                <w:sz w:val="20"/>
                <w:lang w:val="cs-CZ" w:eastAsia="cs-CZ"/>
              </w:rPr>
              <w:t>4a</w:t>
            </w:r>
            <w:proofErr w:type="gramEnd"/>
            <w:r w:rsidRPr="008F58C0">
              <w:rPr>
                <w:rFonts w:ascii="Calibri" w:hAnsi="Calibri" w:cs="Calibri"/>
                <w:color w:val="000000"/>
                <w:sz w:val="20"/>
                <w:lang w:val="cs-CZ" w:eastAsia="cs-CZ"/>
              </w:rPr>
              <w:t>)</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 xml:space="preserve">Požiarne uzávery </w:t>
            </w:r>
            <w:proofErr w:type="gramStart"/>
            <w:r w:rsidRPr="008F58C0">
              <w:rPr>
                <w:rFonts w:ascii="Calibri" w:hAnsi="Calibri" w:cs="Calibri"/>
                <w:color w:val="000000"/>
                <w:sz w:val="20"/>
                <w:lang w:val="cs-CZ" w:eastAsia="cs-CZ"/>
              </w:rPr>
              <w:t>otvorov - v</w:t>
            </w:r>
            <w:proofErr w:type="gramEnd"/>
            <w:r w:rsidRPr="008F58C0">
              <w:rPr>
                <w:rFonts w:ascii="Calibri" w:hAnsi="Calibri" w:cs="Calibri"/>
                <w:color w:val="000000"/>
                <w:sz w:val="20"/>
                <w:lang w:val="cs-CZ" w:eastAsia="cs-CZ"/>
              </w:rPr>
              <w:t xml:space="preserve"> podzemných podlažiach a na všetkých podlažiach medzi stavbami</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30/D1</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proofErr w:type="gramStart"/>
            <w:r w:rsidRPr="008F58C0">
              <w:rPr>
                <w:rFonts w:ascii="Calibri" w:hAnsi="Calibri" w:cs="Calibri"/>
                <w:color w:val="000000"/>
                <w:sz w:val="20"/>
                <w:lang w:val="cs-CZ" w:eastAsia="cs-CZ"/>
              </w:rPr>
              <w:t>4b</w:t>
            </w:r>
            <w:proofErr w:type="gramEnd"/>
            <w:r w:rsidRPr="008F58C0">
              <w:rPr>
                <w:rFonts w:ascii="Calibri" w:hAnsi="Calibri" w:cs="Calibri"/>
                <w:color w:val="000000"/>
                <w:sz w:val="20"/>
                <w:lang w:val="cs-CZ" w:eastAsia="cs-CZ"/>
              </w:rPr>
              <w:t>)</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 xml:space="preserve">Požiarne uzávery </w:t>
            </w:r>
            <w:proofErr w:type="gramStart"/>
            <w:r w:rsidRPr="008F58C0">
              <w:rPr>
                <w:rFonts w:ascii="Calibri" w:hAnsi="Calibri" w:cs="Calibri"/>
                <w:color w:val="000000"/>
                <w:sz w:val="20"/>
                <w:lang w:val="cs-CZ" w:eastAsia="cs-CZ"/>
              </w:rPr>
              <w:t>otvorov - v</w:t>
            </w:r>
            <w:proofErr w:type="gramEnd"/>
            <w:r w:rsidRPr="008F58C0">
              <w:rPr>
                <w:rFonts w:ascii="Calibri" w:hAnsi="Calibri" w:cs="Calibri"/>
                <w:color w:val="000000"/>
                <w:sz w:val="20"/>
                <w:lang w:val="cs-CZ" w:eastAsia="cs-CZ"/>
              </w:rPr>
              <w:t xml:space="preserve"> nadzemných podlažiach</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30/D3</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4c)</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 xml:space="preserve">Požiarne uzávery </w:t>
            </w:r>
            <w:proofErr w:type="gramStart"/>
            <w:r w:rsidRPr="008F58C0">
              <w:rPr>
                <w:rFonts w:ascii="Calibri" w:hAnsi="Calibri" w:cs="Calibri"/>
                <w:color w:val="000000"/>
                <w:sz w:val="20"/>
                <w:lang w:val="cs-CZ" w:eastAsia="cs-CZ"/>
              </w:rPr>
              <w:t>otvorov - v</w:t>
            </w:r>
            <w:proofErr w:type="gramEnd"/>
            <w:r w:rsidRPr="008F58C0">
              <w:rPr>
                <w:rFonts w:ascii="Calibri" w:hAnsi="Calibri" w:cs="Calibri"/>
                <w:color w:val="000000"/>
                <w:sz w:val="20"/>
                <w:lang w:val="cs-CZ" w:eastAsia="cs-CZ"/>
              </w:rPr>
              <w:t> poslednom nadzemnom podlaží</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15/D3</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5)</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Nosné konštrukcie schodísk vo vnútri požiarneho úseku, ktoré nie sú súčasťou chúc</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7)</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Nosné konštrukcie striech bez požiarne deliacej funkcie</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15</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en-US" w:eastAsia="cs-CZ"/>
              </w:rPr>
              <w:t>8a)</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Nosné konštrukcie vnútri stavby, ktoré zabezpečujú stabilitu stavby-v podzemných podlažiach</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45/D1</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en-US" w:eastAsia="cs-CZ"/>
              </w:rPr>
              <w:t>8b)</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Nosné konštrukcie vnútri stavby, ktoré zabezpečujú stabilitu stavby-v nadzemných podlažiach</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30</w:t>
            </w:r>
          </w:p>
        </w:tc>
      </w:tr>
      <w:tr w:rsidR="00B473D2" w:rsidRPr="008F58C0" w:rsidTr="00FF2B38">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en-US" w:eastAsia="cs-CZ"/>
              </w:rPr>
              <w:t>8c)</w:t>
            </w:r>
          </w:p>
        </w:tc>
        <w:tc>
          <w:tcPr>
            <w:tcW w:w="0" w:type="auto"/>
            <w:tcBorders>
              <w:top w:val="single" w:sz="4" w:space="0" w:color="auto"/>
              <w:left w:val="nil"/>
              <w:bottom w:val="single" w:sz="4" w:space="0" w:color="auto"/>
              <w:right w:val="single" w:sz="4" w:space="0" w:color="auto"/>
            </w:tcBorders>
            <w:shd w:val="clear" w:color="auto" w:fill="auto"/>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 xml:space="preserve">Nosné konštrukcie vnútri stavby, ktoré zabezpečujú stabilitu </w:t>
            </w:r>
            <w:proofErr w:type="gramStart"/>
            <w:r w:rsidRPr="008F58C0">
              <w:rPr>
                <w:rFonts w:ascii="Calibri" w:hAnsi="Calibri" w:cs="Calibri"/>
                <w:color w:val="000000"/>
                <w:sz w:val="20"/>
                <w:lang w:val="cs-CZ" w:eastAsia="cs-CZ"/>
              </w:rPr>
              <w:t>stavby- v</w:t>
            </w:r>
            <w:proofErr w:type="gramEnd"/>
            <w:r w:rsidRPr="008F58C0">
              <w:rPr>
                <w:rFonts w:ascii="Calibri" w:hAnsi="Calibri" w:cs="Calibri"/>
                <w:color w:val="000000"/>
                <w:sz w:val="20"/>
                <w:lang w:val="cs-CZ" w:eastAsia="cs-CZ"/>
              </w:rPr>
              <w:t> poslednom nadzemnom podlaží</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B473D2" w:rsidRPr="008F58C0" w:rsidRDefault="00B473D2" w:rsidP="00B473D2">
            <w:pPr>
              <w:jc w:val="both"/>
              <w:rPr>
                <w:rFonts w:ascii="Calibri" w:hAnsi="Calibri" w:cs="Calibri"/>
                <w:color w:val="000000"/>
                <w:sz w:val="20"/>
                <w:lang w:val="cs-CZ" w:eastAsia="cs-CZ"/>
              </w:rPr>
            </w:pPr>
            <w:r w:rsidRPr="008F58C0">
              <w:rPr>
                <w:rFonts w:ascii="Calibri" w:hAnsi="Calibri" w:cs="Calibri"/>
                <w:color w:val="000000"/>
                <w:sz w:val="20"/>
                <w:lang w:val="cs-CZ" w:eastAsia="cs-CZ"/>
              </w:rPr>
              <w:t>15</w:t>
            </w:r>
          </w:p>
        </w:tc>
      </w:tr>
    </w:tbl>
    <w:p w:rsidR="00B473D2" w:rsidRPr="008F58C0" w:rsidRDefault="00B473D2" w:rsidP="00B473D2">
      <w:pPr>
        <w:ind w:firstLine="708"/>
        <w:contextualSpacing/>
        <w:jc w:val="both"/>
        <w:rPr>
          <w:rFonts w:ascii="Calibri" w:hAnsi="Calibri" w:cs="Calibri"/>
          <w:sz w:val="20"/>
          <w:shd w:val="clear" w:color="auto" w:fill="FFFFFF"/>
        </w:rPr>
      </w:pPr>
    </w:p>
    <w:p w:rsidR="00717E02" w:rsidRDefault="00717E02" w:rsidP="00B473D2">
      <w:pPr>
        <w:jc w:val="both"/>
        <w:rPr>
          <w:rFonts w:ascii="Calibri" w:hAnsi="Calibri" w:cs="Calibri"/>
          <w:sz w:val="20"/>
          <w:bdr w:val="none" w:sz="0" w:space="0" w:color="auto" w:frame="1"/>
        </w:rPr>
      </w:pPr>
    </w:p>
    <w:p w:rsidR="00B473D2" w:rsidRPr="008F58C0" w:rsidRDefault="00B473D2" w:rsidP="00B473D2">
      <w:pPr>
        <w:jc w:val="both"/>
        <w:rPr>
          <w:rFonts w:ascii="Calibri" w:hAnsi="Calibri" w:cs="Calibri"/>
          <w:sz w:val="20"/>
          <w:bdr w:val="none" w:sz="0" w:space="0" w:color="auto" w:frame="1"/>
        </w:rPr>
      </w:pPr>
      <w:r w:rsidRPr="008F58C0">
        <w:rPr>
          <w:rFonts w:ascii="Calibri" w:hAnsi="Calibri" w:cs="Calibri"/>
          <w:sz w:val="20"/>
          <w:bdr w:val="none" w:sz="0" w:space="0" w:color="auto" w:frame="1"/>
        </w:rPr>
        <w:t xml:space="preserve">Požadované kritériá medzných stavov podľa STN 92 0201-2 a Vyhl. MV SR č. 94/2004 Z.z. sú </w:t>
      </w:r>
    </w:p>
    <w:p w:rsidR="00B473D2" w:rsidRPr="008F58C0" w:rsidRDefault="00B473D2" w:rsidP="00B473D2">
      <w:pPr>
        <w:jc w:val="both"/>
        <w:rPr>
          <w:rFonts w:ascii="Calibri" w:hAnsi="Calibri" w:cs="Calibri"/>
          <w:sz w:val="20"/>
          <w:bdr w:val="none" w:sz="0" w:space="0" w:color="auto" w:frame="1"/>
        </w:rPr>
      </w:pPr>
      <w:r w:rsidRPr="008F58C0">
        <w:rPr>
          <w:rFonts w:ascii="Calibri" w:hAnsi="Calibri" w:cs="Calibri"/>
          <w:sz w:val="20"/>
          <w:bdr w:val="none" w:sz="0" w:space="0" w:color="auto" w:frame="1"/>
        </w:rPr>
        <w:t>nasledujúce:</w:t>
      </w:r>
    </w:p>
    <w:p w:rsidR="00B473D2" w:rsidRPr="008F58C0" w:rsidRDefault="00B473D2" w:rsidP="00B473D2">
      <w:pPr>
        <w:contextualSpacing/>
        <w:jc w:val="both"/>
        <w:rPr>
          <w:rFonts w:ascii="Calibri" w:hAnsi="Calibri" w:cs="Calibri"/>
          <w:sz w:val="20"/>
          <w:u w:val="single"/>
          <w:bdr w:val="none" w:sz="0" w:space="0" w:color="auto" w:frame="1"/>
        </w:rPr>
      </w:pPr>
      <w:r w:rsidRPr="008F58C0">
        <w:rPr>
          <w:rFonts w:ascii="Calibri" w:hAnsi="Calibri" w:cs="Calibri"/>
          <w:sz w:val="20"/>
          <w:u w:val="single"/>
          <w:bdr w:val="none" w:sz="0" w:space="0" w:color="auto" w:frame="1"/>
        </w:rPr>
        <w:t>obvodové steny musia z vnútornej strany spĺňať kritériá:</w:t>
      </w:r>
    </w:p>
    <w:p w:rsidR="00B473D2" w:rsidRPr="008F58C0" w:rsidRDefault="00B473D2" w:rsidP="009371A4">
      <w:pPr>
        <w:numPr>
          <w:ilvl w:val="0"/>
          <w:numId w:val="5"/>
        </w:numPr>
        <w:suppressAutoHyphens/>
        <w:contextualSpacing/>
        <w:jc w:val="both"/>
        <w:rPr>
          <w:rFonts w:ascii="Calibri" w:hAnsi="Calibri" w:cs="Calibri"/>
          <w:sz w:val="20"/>
          <w:bdr w:val="none" w:sz="0" w:space="0" w:color="auto" w:frame="1"/>
        </w:rPr>
      </w:pPr>
      <w:r w:rsidRPr="008F58C0">
        <w:rPr>
          <w:rFonts w:ascii="Calibri" w:hAnsi="Calibri" w:cs="Calibri"/>
          <w:sz w:val="20"/>
          <w:bdr w:val="none" w:sz="0" w:space="0" w:color="auto" w:frame="1"/>
        </w:rPr>
        <w:t>REW – obvodové steny zabezpečujúce stabilitu stavby</w:t>
      </w:r>
    </w:p>
    <w:p w:rsidR="00B473D2" w:rsidRPr="008F58C0" w:rsidRDefault="00B473D2" w:rsidP="009371A4">
      <w:pPr>
        <w:numPr>
          <w:ilvl w:val="0"/>
          <w:numId w:val="5"/>
        </w:numPr>
        <w:suppressAutoHyphens/>
        <w:contextualSpacing/>
        <w:jc w:val="both"/>
        <w:rPr>
          <w:rFonts w:ascii="Calibri" w:hAnsi="Calibri" w:cs="Calibri"/>
          <w:sz w:val="20"/>
          <w:bdr w:val="none" w:sz="0" w:space="0" w:color="auto" w:frame="1"/>
        </w:rPr>
      </w:pPr>
      <w:r w:rsidRPr="008F58C0">
        <w:rPr>
          <w:rFonts w:ascii="Calibri" w:hAnsi="Calibri" w:cs="Calibri"/>
          <w:sz w:val="20"/>
          <w:bdr w:val="none" w:sz="0" w:space="0" w:color="auto" w:frame="1"/>
        </w:rPr>
        <w:t>R- obvodové steny v styku so zeminou</w:t>
      </w:r>
    </w:p>
    <w:p w:rsidR="00B473D2" w:rsidRPr="008F58C0" w:rsidRDefault="00B473D2" w:rsidP="00B473D2">
      <w:pPr>
        <w:contextualSpacing/>
        <w:jc w:val="both"/>
        <w:rPr>
          <w:rFonts w:ascii="Calibri" w:hAnsi="Calibri" w:cs="Calibri"/>
          <w:sz w:val="20"/>
          <w:u w:val="single"/>
          <w:bdr w:val="none" w:sz="0" w:space="0" w:color="auto" w:frame="1"/>
        </w:rPr>
      </w:pPr>
      <w:r w:rsidRPr="008F58C0">
        <w:rPr>
          <w:rFonts w:ascii="Calibri" w:hAnsi="Calibri" w:cs="Calibri"/>
          <w:sz w:val="20"/>
          <w:u w:val="single"/>
          <w:bdr w:val="none" w:sz="0" w:space="0" w:color="auto" w:frame="1"/>
        </w:rPr>
        <w:t>obvodové steny musia z vonkajšej strany spĺňať kritériá:</w:t>
      </w:r>
    </w:p>
    <w:p w:rsidR="00B473D2" w:rsidRPr="008F58C0" w:rsidRDefault="00B473D2" w:rsidP="009371A4">
      <w:pPr>
        <w:numPr>
          <w:ilvl w:val="0"/>
          <w:numId w:val="6"/>
        </w:numPr>
        <w:suppressAutoHyphens/>
        <w:contextualSpacing/>
        <w:jc w:val="both"/>
        <w:rPr>
          <w:rFonts w:ascii="Calibri" w:hAnsi="Calibri" w:cs="Calibri"/>
          <w:sz w:val="20"/>
          <w:bdr w:val="none" w:sz="0" w:space="0" w:color="auto" w:frame="1"/>
        </w:rPr>
      </w:pPr>
      <w:r w:rsidRPr="008F58C0">
        <w:rPr>
          <w:rFonts w:ascii="Calibri" w:hAnsi="Calibri" w:cs="Calibri"/>
          <w:sz w:val="20"/>
          <w:bdr w:val="none" w:sz="0" w:space="0" w:color="auto" w:frame="1"/>
        </w:rPr>
        <w:t>REI – obvodové steny zabezpečujúce stabilitu stavby</w:t>
      </w:r>
    </w:p>
    <w:p w:rsidR="00B473D2" w:rsidRPr="008F58C0" w:rsidRDefault="00B473D2" w:rsidP="00B473D2">
      <w:pPr>
        <w:contextualSpacing/>
        <w:jc w:val="both"/>
        <w:rPr>
          <w:rFonts w:ascii="Calibri" w:hAnsi="Calibri" w:cs="Calibri"/>
          <w:sz w:val="20"/>
          <w:u w:val="single"/>
          <w:bdr w:val="none" w:sz="0" w:space="0" w:color="auto" w:frame="1"/>
        </w:rPr>
      </w:pPr>
      <w:r w:rsidRPr="008F58C0">
        <w:rPr>
          <w:rFonts w:ascii="Calibri" w:hAnsi="Calibri" w:cs="Calibri"/>
          <w:sz w:val="20"/>
          <w:u w:val="single"/>
          <w:bdr w:val="none" w:sz="0" w:space="0" w:color="auto" w:frame="1"/>
        </w:rPr>
        <w:t>požiarne steny musia spĺňať kritériá:</w:t>
      </w:r>
    </w:p>
    <w:p w:rsidR="00B473D2" w:rsidRPr="008F58C0" w:rsidRDefault="00B473D2" w:rsidP="009371A4">
      <w:pPr>
        <w:numPr>
          <w:ilvl w:val="0"/>
          <w:numId w:val="7"/>
        </w:numPr>
        <w:suppressAutoHyphens/>
        <w:contextualSpacing/>
        <w:jc w:val="both"/>
        <w:rPr>
          <w:rFonts w:ascii="Calibri" w:hAnsi="Calibri" w:cs="Calibri"/>
          <w:sz w:val="20"/>
          <w:bdr w:val="none" w:sz="0" w:space="0" w:color="auto" w:frame="1"/>
        </w:rPr>
      </w:pPr>
      <w:r w:rsidRPr="008F58C0">
        <w:rPr>
          <w:rFonts w:ascii="Calibri" w:hAnsi="Calibri" w:cs="Calibri"/>
          <w:sz w:val="20"/>
          <w:bdr w:val="none" w:sz="0" w:space="0" w:color="auto" w:frame="1"/>
        </w:rPr>
        <w:t>REI – nosné požiarne steny</w:t>
      </w:r>
    </w:p>
    <w:p w:rsidR="00B473D2" w:rsidRPr="008F58C0" w:rsidRDefault="00B473D2" w:rsidP="009371A4">
      <w:pPr>
        <w:numPr>
          <w:ilvl w:val="0"/>
          <w:numId w:val="7"/>
        </w:numPr>
        <w:suppressAutoHyphens/>
        <w:contextualSpacing/>
        <w:jc w:val="both"/>
        <w:rPr>
          <w:rFonts w:ascii="Calibri" w:hAnsi="Calibri" w:cs="Calibri"/>
          <w:sz w:val="20"/>
          <w:bdr w:val="none" w:sz="0" w:space="0" w:color="auto" w:frame="1"/>
        </w:rPr>
      </w:pPr>
      <w:r w:rsidRPr="008F58C0">
        <w:rPr>
          <w:rFonts w:ascii="Calibri" w:hAnsi="Calibri" w:cs="Calibri"/>
          <w:sz w:val="20"/>
          <w:bdr w:val="none" w:sz="0" w:space="0" w:color="auto" w:frame="1"/>
        </w:rPr>
        <w:t>EI – nenosné požiarne steny</w:t>
      </w:r>
    </w:p>
    <w:p w:rsidR="00B473D2" w:rsidRPr="008F58C0" w:rsidRDefault="00B473D2" w:rsidP="00B473D2">
      <w:pPr>
        <w:contextualSpacing/>
        <w:jc w:val="both"/>
        <w:rPr>
          <w:rFonts w:ascii="Calibri" w:hAnsi="Calibri" w:cs="Calibri"/>
          <w:sz w:val="20"/>
          <w:u w:val="single"/>
          <w:bdr w:val="none" w:sz="0" w:space="0" w:color="auto" w:frame="1"/>
        </w:rPr>
      </w:pPr>
      <w:r w:rsidRPr="008F58C0">
        <w:rPr>
          <w:rFonts w:ascii="Calibri" w:hAnsi="Calibri" w:cs="Calibri"/>
          <w:sz w:val="20"/>
          <w:u w:val="single"/>
          <w:bdr w:val="none" w:sz="0" w:space="0" w:color="auto" w:frame="1"/>
        </w:rPr>
        <w:t>požiarne stropy musia spĺňať kritériá:</w:t>
      </w:r>
    </w:p>
    <w:p w:rsidR="00B473D2" w:rsidRPr="008F58C0" w:rsidRDefault="00B473D2" w:rsidP="009371A4">
      <w:pPr>
        <w:numPr>
          <w:ilvl w:val="0"/>
          <w:numId w:val="8"/>
        </w:numPr>
        <w:suppressAutoHyphens/>
        <w:contextualSpacing/>
        <w:jc w:val="both"/>
        <w:rPr>
          <w:rFonts w:ascii="Calibri" w:hAnsi="Calibri" w:cs="Calibri"/>
          <w:sz w:val="20"/>
          <w:bdr w:val="none" w:sz="0" w:space="0" w:color="auto" w:frame="1"/>
        </w:rPr>
      </w:pPr>
      <w:r w:rsidRPr="008F58C0">
        <w:rPr>
          <w:rFonts w:ascii="Calibri" w:hAnsi="Calibri" w:cs="Calibri"/>
          <w:sz w:val="20"/>
          <w:bdr w:val="none" w:sz="0" w:space="0" w:color="auto" w:frame="1"/>
        </w:rPr>
        <w:t>REI – nosné požiarne stropy</w:t>
      </w:r>
    </w:p>
    <w:p w:rsidR="00B473D2" w:rsidRPr="00717E02" w:rsidRDefault="00B473D2" w:rsidP="00B473D2">
      <w:pPr>
        <w:contextualSpacing/>
        <w:jc w:val="both"/>
        <w:rPr>
          <w:rFonts w:ascii="Calibri" w:hAnsi="Calibri" w:cs="Calibri"/>
          <w:sz w:val="20"/>
          <w:u w:val="single"/>
          <w:bdr w:val="none" w:sz="0" w:space="0" w:color="auto" w:frame="1"/>
        </w:rPr>
      </w:pPr>
      <w:r w:rsidRPr="00717E02">
        <w:rPr>
          <w:rFonts w:ascii="Calibri" w:hAnsi="Calibri" w:cs="Calibri"/>
          <w:sz w:val="20"/>
          <w:u w:val="single"/>
          <w:bdr w:val="none" w:sz="0" w:space="0" w:color="auto" w:frame="1"/>
        </w:rPr>
        <w:t>nosné konštrukcie vo vnútri požiarneho úseku:</w:t>
      </w:r>
    </w:p>
    <w:p w:rsidR="00B473D2" w:rsidRPr="00717E02" w:rsidRDefault="00B473D2" w:rsidP="009371A4">
      <w:pPr>
        <w:numPr>
          <w:ilvl w:val="0"/>
          <w:numId w:val="8"/>
        </w:numPr>
        <w:suppressAutoHyphens/>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R- zabezpečujúce stabilitu stavby alebo jej časti</w:t>
      </w:r>
    </w:p>
    <w:p w:rsidR="00B473D2" w:rsidRPr="00717E02" w:rsidRDefault="00B473D2" w:rsidP="00B473D2">
      <w:pPr>
        <w:contextualSpacing/>
        <w:jc w:val="both"/>
        <w:rPr>
          <w:rFonts w:ascii="Calibri" w:hAnsi="Calibri" w:cs="Calibri"/>
          <w:sz w:val="20"/>
          <w:u w:val="single"/>
          <w:bdr w:val="none" w:sz="0" w:space="0" w:color="auto" w:frame="1"/>
        </w:rPr>
      </w:pPr>
      <w:r w:rsidRPr="00717E02">
        <w:rPr>
          <w:rFonts w:ascii="Calibri" w:hAnsi="Calibri" w:cs="Calibri"/>
          <w:sz w:val="20"/>
          <w:u w:val="single"/>
          <w:bdr w:val="none" w:sz="0" w:space="0" w:color="auto" w:frame="1"/>
        </w:rPr>
        <w:t>konštrukcie strechy musia spĺňať kritériá:</w:t>
      </w:r>
    </w:p>
    <w:p w:rsidR="00B473D2" w:rsidRPr="00717E02" w:rsidRDefault="00B473D2" w:rsidP="009371A4">
      <w:pPr>
        <w:numPr>
          <w:ilvl w:val="0"/>
          <w:numId w:val="8"/>
        </w:numPr>
        <w:spacing w:after="200" w:line="276" w:lineRule="auto"/>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 xml:space="preserve">R – nosné konštrukcie strechy </w:t>
      </w:r>
    </w:p>
    <w:p w:rsidR="00B473D2" w:rsidRPr="00717E02" w:rsidRDefault="00B473D2" w:rsidP="009371A4">
      <w:pPr>
        <w:numPr>
          <w:ilvl w:val="0"/>
          <w:numId w:val="8"/>
        </w:numPr>
        <w:spacing w:after="200" w:line="276" w:lineRule="auto"/>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E – strešný plášť</w:t>
      </w:r>
    </w:p>
    <w:p w:rsidR="00B473D2" w:rsidRPr="00717E02" w:rsidRDefault="00B473D2" w:rsidP="00B473D2">
      <w:pPr>
        <w:contextualSpacing/>
        <w:jc w:val="both"/>
        <w:rPr>
          <w:rFonts w:ascii="Calibri" w:hAnsi="Calibri" w:cs="Calibri"/>
          <w:sz w:val="20"/>
          <w:u w:val="single"/>
          <w:bdr w:val="none" w:sz="0" w:space="0" w:color="auto" w:frame="1"/>
        </w:rPr>
      </w:pPr>
      <w:r w:rsidRPr="00717E02">
        <w:rPr>
          <w:rFonts w:ascii="Calibri" w:hAnsi="Calibri" w:cs="Calibri"/>
          <w:sz w:val="20"/>
          <w:u w:val="single"/>
          <w:bdr w:val="none" w:sz="0" w:space="0" w:color="auto" w:frame="1"/>
        </w:rPr>
        <w:lastRenderedPageBreak/>
        <w:t>požiarne uzávery musia spĺňať kritériá:</w:t>
      </w:r>
    </w:p>
    <w:p w:rsidR="00B473D2" w:rsidRPr="00717E02" w:rsidRDefault="00B473D2" w:rsidP="00964D77">
      <w:pPr>
        <w:pStyle w:val="Odsekzoznamu"/>
        <w:numPr>
          <w:ilvl w:val="0"/>
          <w:numId w:val="13"/>
        </w:numPr>
        <w:spacing w:after="200" w:line="276" w:lineRule="auto"/>
        <w:jc w:val="both"/>
        <w:rPr>
          <w:rFonts w:ascii="Calibri" w:hAnsi="Calibri" w:cs="Calibri"/>
          <w:sz w:val="20"/>
          <w:szCs w:val="20"/>
          <w:bdr w:val="none" w:sz="0" w:space="0" w:color="auto" w:frame="1"/>
        </w:rPr>
      </w:pPr>
      <w:r w:rsidRPr="00717E02">
        <w:rPr>
          <w:rFonts w:ascii="Calibri" w:hAnsi="Calibri" w:cs="Calibri"/>
          <w:sz w:val="20"/>
          <w:szCs w:val="20"/>
          <w:bdr w:val="none" w:sz="0" w:space="0" w:color="auto" w:frame="1"/>
        </w:rPr>
        <w:t xml:space="preserve">EW –C3 požiarne uzávery medzi dvomi požiarnymi úsekmi </w:t>
      </w:r>
    </w:p>
    <w:p w:rsidR="00B473D2" w:rsidRPr="00717E02" w:rsidRDefault="00B473D2" w:rsidP="00B473D2">
      <w:pPr>
        <w:pStyle w:val="Odsekzoznamu"/>
        <w:ind w:left="0"/>
        <w:jc w:val="both"/>
        <w:rPr>
          <w:rFonts w:ascii="Calibri" w:hAnsi="Calibri" w:cs="Calibri"/>
          <w:sz w:val="20"/>
          <w:szCs w:val="20"/>
          <w:u w:val="single"/>
          <w:bdr w:val="none" w:sz="0" w:space="0" w:color="auto" w:frame="1"/>
        </w:rPr>
      </w:pPr>
      <w:r w:rsidRPr="00717E02">
        <w:rPr>
          <w:rFonts w:ascii="Calibri" w:hAnsi="Calibri" w:cs="Calibri"/>
          <w:sz w:val="20"/>
          <w:szCs w:val="20"/>
          <w:u w:val="single"/>
          <w:bdr w:val="none" w:sz="0" w:space="0" w:color="auto" w:frame="1"/>
        </w:rPr>
        <w:t>Vysvetlivky:</w:t>
      </w:r>
    </w:p>
    <w:p w:rsidR="00B473D2" w:rsidRPr="00717E02" w:rsidRDefault="00B473D2" w:rsidP="00B473D2">
      <w:pPr>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nosnosť a stabilita – R</w:t>
      </w:r>
    </w:p>
    <w:p w:rsidR="00B473D2" w:rsidRPr="00717E02" w:rsidRDefault="00B473D2" w:rsidP="00B473D2">
      <w:pPr>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celistvosť – E</w:t>
      </w:r>
    </w:p>
    <w:p w:rsidR="00B473D2" w:rsidRPr="00717E02" w:rsidRDefault="00B473D2" w:rsidP="00B473D2">
      <w:pPr>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tepelná izolácia – I</w:t>
      </w:r>
    </w:p>
    <w:p w:rsidR="00B473D2" w:rsidRPr="00717E02" w:rsidRDefault="00B473D2" w:rsidP="00B473D2">
      <w:pPr>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izolácia riadená radiáciou – W</w:t>
      </w:r>
    </w:p>
    <w:p w:rsidR="00B473D2" w:rsidRPr="00717E02" w:rsidRDefault="00B473D2" w:rsidP="00B473D2">
      <w:pPr>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uzáver vybavený automatickým zatváracím zariadením – C</w:t>
      </w:r>
    </w:p>
    <w:p w:rsidR="00B473D2" w:rsidRPr="00717E02" w:rsidRDefault="00B473D2" w:rsidP="00B473D2">
      <w:pPr>
        <w:contextualSpacing/>
        <w:jc w:val="both"/>
        <w:rPr>
          <w:rFonts w:ascii="Calibri" w:hAnsi="Calibri" w:cs="Calibri"/>
          <w:sz w:val="20"/>
          <w:u w:val="single"/>
          <w:bdr w:val="none" w:sz="0" w:space="0" w:color="auto" w:frame="1"/>
        </w:rPr>
      </w:pPr>
    </w:p>
    <w:p w:rsidR="00B473D2" w:rsidRPr="00717E02" w:rsidRDefault="00B473D2" w:rsidP="00B473D2">
      <w:pPr>
        <w:contextualSpacing/>
        <w:jc w:val="both"/>
        <w:rPr>
          <w:rFonts w:ascii="Calibri" w:hAnsi="Calibri" w:cs="Calibri"/>
          <w:sz w:val="20"/>
          <w:bdr w:val="none" w:sz="0" w:space="0" w:color="auto" w:frame="1"/>
        </w:rPr>
      </w:pPr>
      <w:r w:rsidRPr="00717E02">
        <w:rPr>
          <w:rFonts w:ascii="Calibri" w:hAnsi="Calibri" w:cs="Calibri"/>
          <w:sz w:val="20"/>
          <w:u w:val="single"/>
          <w:bdr w:val="none" w:sz="0" w:space="0" w:color="auto" w:frame="1"/>
        </w:rPr>
        <w:t>Požiadavky na prestupy</w:t>
      </w:r>
    </w:p>
    <w:p w:rsidR="00B473D2" w:rsidRPr="00717E02" w:rsidRDefault="00B473D2" w:rsidP="007A5218">
      <w:pPr>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 xml:space="preserve">Prestupy rozvodov a prestupy inštalácií cez požiarne deliace konštrukcie musia byť utesnené konštrukčnými prvkami takého druhu, ako sú požiarne deliace konštrukcie cez ktoré prestupujú. </w:t>
      </w:r>
      <w:r w:rsidRPr="00717E02">
        <w:rPr>
          <w:rFonts w:ascii="Calibri" w:hAnsi="Calibri" w:cs="Calibri"/>
          <w:b/>
          <w:sz w:val="20"/>
          <w:bdr w:val="none" w:sz="0" w:space="0" w:color="auto" w:frame="1"/>
        </w:rPr>
        <w:t>Utesnený prestup musí spĺňať požiadavky na požiarnu odolnosť požiarne deliacej konštrukcie, ktorou prestupuje, najviac však EI 90</w:t>
      </w:r>
      <w:r w:rsidRPr="00717E02">
        <w:rPr>
          <w:rFonts w:ascii="Calibri" w:hAnsi="Calibri" w:cs="Calibri"/>
          <w:sz w:val="20"/>
          <w:bdr w:val="none" w:sz="0" w:space="0" w:color="auto" w:frame="1"/>
        </w:rPr>
        <w:t xml:space="preserve"> ( v zmysle § 40, ods. 3 Vyhl. MV SR č. 94/2004 Z.z.). </w:t>
      </w:r>
    </w:p>
    <w:p w:rsidR="00B473D2" w:rsidRPr="00717E02" w:rsidRDefault="00B473D2" w:rsidP="00B473D2">
      <w:pPr>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 xml:space="preserve">Tesnenie prestupov cez požiarne deliace konštrukcie s plochou otvoru viac ako 0,04 m2 sa označujú štítkom umiestneným priamo na utesnenom stavebnom prvku alebo v jeho tesnej blízkosti, ktorý sa umiestňuje aspoň na jednej strane požiarnej deliacej konštrukcie tak, aby bol vždy viditeľný, čitateľný, prístupný a ťažko odstrániteľný v zmysle § 40, ods. 4, 5 Vyhl. MV SR č. 94/2004 Z.z.. </w:t>
      </w:r>
    </w:p>
    <w:p w:rsidR="00B473D2" w:rsidRPr="00717E02" w:rsidRDefault="00B473D2" w:rsidP="00B473D2">
      <w:pPr>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Na štítku musia byť uvedené najmä údaje: nápis PRESTUP, symboly kritérií a číselnú hodnotu požiarnej odolnosti, názov systému tesnenia prestupu, mesiac a rok zhotovenia, názov a adresu zhotoviteľa požiarnej konštrukcie v zmysle § 40, ods. 5 Vyhl. MV SR č. 94/2004 Z.z..</w:t>
      </w:r>
    </w:p>
    <w:p w:rsidR="00B473D2" w:rsidRPr="00717E02" w:rsidRDefault="00B473D2" w:rsidP="00B473D2">
      <w:pPr>
        <w:contextualSpacing/>
        <w:jc w:val="both"/>
        <w:rPr>
          <w:rFonts w:ascii="Calibri" w:hAnsi="Calibri" w:cs="Calibri"/>
          <w:sz w:val="20"/>
        </w:rPr>
      </w:pPr>
    </w:p>
    <w:p w:rsidR="00B473D2" w:rsidRPr="00717E02" w:rsidRDefault="00B473D2" w:rsidP="00B473D2">
      <w:pPr>
        <w:contextualSpacing/>
        <w:jc w:val="both"/>
        <w:rPr>
          <w:rFonts w:ascii="Calibri" w:hAnsi="Calibri" w:cs="Calibri"/>
          <w:sz w:val="20"/>
          <w:u w:val="single"/>
          <w:bdr w:val="none" w:sz="0" w:space="0" w:color="auto" w:frame="1"/>
        </w:rPr>
      </w:pPr>
      <w:r w:rsidRPr="00717E02">
        <w:rPr>
          <w:rFonts w:ascii="Calibri" w:hAnsi="Calibri" w:cs="Calibri"/>
          <w:sz w:val="20"/>
          <w:u w:val="single"/>
          <w:bdr w:val="none" w:sz="0" w:space="0" w:color="auto" w:frame="1"/>
        </w:rPr>
        <w:t>Požiadavky na lineárne styky</w:t>
      </w:r>
    </w:p>
    <w:p w:rsidR="00B473D2" w:rsidRPr="00717E02" w:rsidRDefault="00B473D2" w:rsidP="007A5218">
      <w:pPr>
        <w:contextualSpacing/>
        <w:jc w:val="both"/>
        <w:rPr>
          <w:rFonts w:ascii="Calibri" w:hAnsi="Calibri" w:cs="Calibri"/>
          <w:sz w:val="20"/>
        </w:rPr>
      </w:pPr>
      <w:r w:rsidRPr="00717E02">
        <w:rPr>
          <w:rFonts w:ascii="Calibri" w:hAnsi="Calibri" w:cs="Calibri"/>
          <w:sz w:val="20"/>
        </w:rPr>
        <w:t>Lineárne styky stavebných prvkov požiarnych deliacich konštrukcií musia byť utesnené tak, aby zabránili rozšíreniu požiaru do iného požiarneho úseku, utesnený lineárny styk musí spĺňať požiadavky na požiarnu odolnosť požiarne deliacej konštrukcie ( v zmysle § 40, ods. 2 Vyhl. MV SR č. 94/2004 Z.z.).</w:t>
      </w:r>
      <w:bookmarkStart w:id="7" w:name="_Hlk508704202"/>
      <w:r w:rsidRPr="00717E02">
        <w:rPr>
          <w:rFonts w:ascii="Calibri" w:hAnsi="Calibri" w:cs="Calibri"/>
          <w:sz w:val="20"/>
        </w:rPr>
        <w:t xml:space="preserve"> Na utesnenie je možné použiť protipožiarne nástreky na škáry alebo protipožiarny tmel v súlade s predpisom výrobcu napr. Intumex, Hilty, Promat. Splnenie požadovanej vlastnosti je nutné dokladovať technickým listom pri kolaudácii objektu. </w:t>
      </w:r>
    </w:p>
    <w:bookmarkEnd w:id="7"/>
    <w:p w:rsidR="00717E02" w:rsidRDefault="00717E02" w:rsidP="00B473D2">
      <w:pPr>
        <w:contextualSpacing/>
        <w:jc w:val="both"/>
        <w:rPr>
          <w:rFonts w:ascii="Calibri" w:hAnsi="Calibri" w:cs="Calibri"/>
          <w:sz w:val="20"/>
          <w:u w:val="single"/>
          <w:bdr w:val="none" w:sz="0" w:space="0" w:color="auto" w:frame="1"/>
        </w:rPr>
      </w:pPr>
    </w:p>
    <w:p w:rsidR="00B473D2" w:rsidRPr="00717E02" w:rsidRDefault="00B473D2" w:rsidP="00B473D2">
      <w:pPr>
        <w:contextualSpacing/>
        <w:jc w:val="both"/>
        <w:rPr>
          <w:rFonts w:ascii="Calibri" w:hAnsi="Calibri" w:cs="Calibri"/>
          <w:sz w:val="20"/>
          <w:u w:val="single"/>
          <w:bdr w:val="none" w:sz="0" w:space="0" w:color="auto" w:frame="1"/>
        </w:rPr>
      </w:pPr>
      <w:r w:rsidRPr="00717E02">
        <w:rPr>
          <w:rFonts w:ascii="Calibri" w:hAnsi="Calibri" w:cs="Calibri"/>
          <w:sz w:val="20"/>
          <w:u w:val="single"/>
          <w:bdr w:val="none" w:sz="0" w:space="0" w:color="auto" w:frame="1"/>
        </w:rPr>
        <w:t>Požiadavky na požiarne uzávery</w:t>
      </w:r>
    </w:p>
    <w:p w:rsidR="00B473D2" w:rsidRPr="00717E02" w:rsidRDefault="00B473D2" w:rsidP="00B473D2">
      <w:pPr>
        <w:contextualSpacing/>
        <w:jc w:val="both"/>
        <w:rPr>
          <w:rFonts w:ascii="Calibri" w:hAnsi="Calibri" w:cs="Calibri"/>
          <w:sz w:val="20"/>
          <w:bdr w:val="none" w:sz="0" w:space="0" w:color="auto" w:frame="1"/>
        </w:rPr>
      </w:pPr>
      <w:r w:rsidRPr="00717E02">
        <w:rPr>
          <w:rFonts w:ascii="Calibri" w:hAnsi="Calibri" w:cs="Calibri"/>
          <w:sz w:val="20"/>
          <w:bdr w:val="none" w:sz="0" w:space="0" w:color="auto" w:frame="1"/>
        </w:rPr>
        <w:t xml:space="preserve">Medzi požiarnymi úsekmi (aj medzi susednými stavbami) musia byť osadené požiarne uzávery v súlade s výkresovou časťou. Požiarny uzáver sa musí automaticky uzatvárať po každom otvorení alebo pri vzniku požiaru. (v zmysle § 45, ods. 4 Vyhl. MV SR č. 94/2004 Z.z.). </w:t>
      </w:r>
    </w:p>
    <w:p w:rsidR="00B473D2" w:rsidRPr="00717E02" w:rsidRDefault="00B473D2" w:rsidP="00B473D2">
      <w:pPr>
        <w:contextualSpacing/>
        <w:jc w:val="both"/>
        <w:rPr>
          <w:rFonts w:ascii="Calibri" w:hAnsi="Calibri" w:cs="Calibri"/>
          <w:sz w:val="20"/>
          <w:u w:val="single"/>
        </w:rPr>
      </w:pPr>
      <w:r w:rsidRPr="00717E02">
        <w:rPr>
          <w:rFonts w:ascii="Calibri" w:hAnsi="Calibri" w:cs="Calibri"/>
          <w:sz w:val="20"/>
          <w:u w:val="single"/>
        </w:rPr>
        <w:t>Požiadavky na nosné konštrukcie</w:t>
      </w:r>
    </w:p>
    <w:p w:rsidR="00B473D2" w:rsidRPr="00717E02" w:rsidRDefault="00B473D2" w:rsidP="007A5218">
      <w:pPr>
        <w:spacing w:line="0" w:lineRule="atLeast"/>
        <w:contextualSpacing/>
        <w:jc w:val="both"/>
        <w:rPr>
          <w:rFonts w:ascii="Calibri" w:hAnsi="Calibri" w:cs="Calibri"/>
          <w:sz w:val="20"/>
        </w:rPr>
      </w:pPr>
      <w:r w:rsidRPr="00717E02">
        <w:rPr>
          <w:rFonts w:ascii="Calibri" w:hAnsi="Calibri" w:cs="Calibri"/>
          <w:sz w:val="20"/>
        </w:rPr>
        <w:t xml:space="preserve">Všetky nosné konštrukcie v riešenej stavbe musia spĺňať kritérium a požiadavku na požiarnu odolnosť na 1.ppp- </w:t>
      </w:r>
      <w:r w:rsidRPr="00717E02">
        <w:rPr>
          <w:rFonts w:ascii="Calibri" w:hAnsi="Calibri" w:cs="Calibri"/>
          <w:b/>
          <w:sz w:val="20"/>
        </w:rPr>
        <w:t>R45/D1</w:t>
      </w:r>
      <w:r w:rsidRPr="00717E02">
        <w:rPr>
          <w:rFonts w:ascii="Calibri" w:hAnsi="Calibri" w:cs="Calibri"/>
          <w:sz w:val="20"/>
        </w:rPr>
        <w:t xml:space="preserve">, na 1.npp- </w:t>
      </w:r>
      <w:r w:rsidRPr="00717E02">
        <w:rPr>
          <w:rFonts w:ascii="Calibri" w:hAnsi="Calibri" w:cs="Calibri"/>
          <w:b/>
          <w:sz w:val="20"/>
        </w:rPr>
        <w:t>R30,</w:t>
      </w:r>
      <w:r w:rsidRPr="00717E02">
        <w:rPr>
          <w:rFonts w:ascii="Calibri" w:hAnsi="Calibri" w:cs="Calibri"/>
          <w:sz w:val="20"/>
        </w:rPr>
        <w:t xml:space="preserve"> 2.npp -</w:t>
      </w:r>
      <w:r w:rsidRPr="00717E02">
        <w:rPr>
          <w:rFonts w:ascii="Calibri" w:hAnsi="Calibri" w:cs="Calibri"/>
          <w:b/>
          <w:sz w:val="20"/>
        </w:rPr>
        <w:t>R15.</w:t>
      </w:r>
    </w:p>
    <w:p w:rsidR="00B473D2" w:rsidRPr="00717E02" w:rsidRDefault="00B473D2" w:rsidP="007A5218">
      <w:pPr>
        <w:spacing w:line="0" w:lineRule="atLeast"/>
        <w:contextualSpacing/>
        <w:jc w:val="both"/>
        <w:rPr>
          <w:rFonts w:ascii="Calibri" w:hAnsi="Calibri" w:cs="Calibri"/>
          <w:sz w:val="20"/>
        </w:rPr>
      </w:pPr>
      <w:r w:rsidRPr="00717E02">
        <w:rPr>
          <w:rFonts w:ascii="Calibri" w:hAnsi="Calibri" w:cs="Calibri"/>
          <w:sz w:val="20"/>
          <w:u w:val="single"/>
        </w:rPr>
        <w:t>Požiarnu odolnosť nosného prvku možno dosiahnuť použitím protipožiarneho náteru na zvýšenie požiarnej odolnosti (napr. pyrostop steel, plamostop), protipožiarneho nástreku (napr. vermiplaster f. knauf) alebo protipožiarneho obkladu (napr. sadroakrtón, cetris a pod).</w:t>
      </w:r>
      <w:r w:rsidRPr="00717E02">
        <w:rPr>
          <w:rFonts w:ascii="Calibri" w:hAnsi="Calibri" w:cs="Calibri"/>
          <w:sz w:val="20"/>
        </w:rPr>
        <w:t xml:space="preserve">  </w:t>
      </w:r>
    </w:p>
    <w:p w:rsidR="00B473D2" w:rsidRPr="00717E02" w:rsidRDefault="00B473D2" w:rsidP="007A5218">
      <w:pPr>
        <w:spacing w:line="0" w:lineRule="atLeast"/>
        <w:contextualSpacing/>
        <w:jc w:val="both"/>
        <w:rPr>
          <w:rFonts w:ascii="Calibri" w:hAnsi="Calibri" w:cs="Calibri"/>
          <w:sz w:val="20"/>
        </w:rPr>
      </w:pPr>
      <w:r w:rsidRPr="00717E02">
        <w:rPr>
          <w:rFonts w:ascii="Calibri" w:hAnsi="Calibri" w:cs="Calibri"/>
          <w:sz w:val="20"/>
        </w:rPr>
        <w:t xml:space="preserve">Protipožiarny náter nie je možné použiť na konštrukcie, ktoré budú trvalo zabudované –uzavreté napr. pohľadom alebo obkladom bez preukázanej požiarnej odolnosti, čo by znemožnilo obnoviť náter v lehote predpísanej jeho výrobcom. Pokiaľ je však životnosť protipožiarneho náteru neobmedzená ( napr.vermiplaster), resp. rovnajúca sa životnosti stavby (čo musí byť zdokladované platným certifikátom), nie je nutné prihliadať na potrebu obnovovania protipožiarneho náteru. </w:t>
      </w:r>
    </w:p>
    <w:p w:rsidR="00B473D2" w:rsidRPr="00717E02" w:rsidRDefault="00B473D2" w:rsidP="00B473D2">
      <w:pPr>
        <w:contextualSpacing/>
        <w:jc w:val="both"/>
        <w:rPr>
          <w:rFonts w:ascii="Calibri" w:hAnsi="Calibri" w:cs="Calibri"/>
          <w:b/>
          <w:sz w:val="20"/>
        </w:rPr>
      </w:pPr>
      <w:r w:rsidRPr="00717E02">
        <w:rPr>
          <w:rFonts w:ascii="Calibri" w:hAnsi="Calibri" w:cs="Calibri"/>
          <w:b/>
          <w:sz w:val="20"/>
        </w:rPr>
        <w:t>Upozorňujem, že po uplynutí deklarovanej životnosti alebo v prípade poškodenia náteru je nutné náter obnoviť v súlade s technickými pokynmi výrobcu náteru.</w:t>
      </w:r>
    </w:p>
    <w:p w:rsidR="00B473D2" w:rsidRPr="00717E02" w:rsidRDefault="00B473D2" w:rsidP="00B473D2">
      <w:pPr>
        <w:contextualSpacing/>
        <w:jc w:val="both"/>
        <w:rPr>
          <w:rFonts w:ascii="Calibri" w:hAnsi="Calibri" w:cs="Calibri"/>
          <w:sz w:val="20"/>
          <w:u w:val="single"/>
        </w:rPr>
      </w:pPr>
    </w:p>
    <w:p w:rsidR="00B473D2" w:rsidRPr="00717E02" w:rsidRDefault="00B473D2" w:rsidP="00B473D2">
      <w:pPr>
        <w:contextualSpacing/>
        <w:jc w:val="both"/>
        <w:rPr>
          <w:rFonts w:ascii="Calibri" w:hAnsi="Calibri" w:cs="Calibri"/>
          <w:sz w:val="20"/>
          <w:u w:val="single"/>
        </w:rPr>
      </w:pPr>
      <w:r w:rsidRPr="00717E02">
        <w:rPr>
          <w:rFonts w:ascii="Calibri" w:hAnsi="Calibri" w:cs="Calibri"/>
          <w:sz w:val="20"/>
          <w:u w:val="single"/>
        </w:rPr>
        <w:t>Požiadavky na požiarne steny, požiarne stropy</w:t>
      </w:r>
    </w:p>
    <w:p w:rsidR="00B473D2" w:rsidRPr="00717E02" w:rsidRDefault="00B473D2" w:rsidP="00B473D2">
      <w:pPr>
        <w:autoSpaceDE w:val="0"/>
        <w:autoSpaceDN w:val="0"/>
        <w:adjustRightInd w:val="0"/>
        <w:jc w:val="both"/>
        <w:rPr>
          <w:rFonts w:ascii="Calibri" w:hAnsi="Calibri" w:cs="Calibri"/>
          <w:sz w:val="20"/>
        </w:rPr>
      </w:pPr>
      <w:r w:rsidRPr="00717E02">
        <w:rPr>
          <w:rFonts w:ascii="Calibri" w:hAnsi="Calibri" w:cs="Calibri"/>
          <w:sz w:val="20"/>
        </w:rPr>
        <w:t xml:space="preserve">Požiarne deliace konštrukcie musia v celej ploche spĺňať kritéria požiarnej odolnosti (stanovených vo výkresovej časti) vrátane lineárnych stykov stavebných prvkov a zároveň  požiarna odolnosť požiarnych deliacich konštrukcií nesmie byť ich zoslabená prestupmi rozvodov, prestupmi inštalácií, prestupmi technických zariadení ani prestupmi technologických zariadení nižšia ako určená požiarna odolnosť ( v zmysle § 40, ods. 1 Vyhl. MV SR č. 94/2004 Z.z.).. </w:t>
      </w:r>
    </w:p>
    <w:p w:rsidR="00B473D2" w:rsidRPr="00717E02" w:rsidRDefault="00B473D2" w:rsidP="007A5218">
      <w:pPr>
        <w:contextualSpacing/>
        <w:jc w:val="both"/>
        <w:rPr>
          <w:rFonts w:ascii="Calibri" w:hAnsi="Calibri" w:cs="Calibri"/>
          <w:b/>
          <w:sz w:val="20"/>
          <w:bdr w:val="none" w:sz="0" w:space="0" w:color="auto" w:frame="1"/>
        </w:rPr>
      </w:pPr>
      <w:r w:rsidRPr="00717E02">
        <w:rPr>
          <w:rFonts w:ascii="Calibri" w:hAnsi="Calibri" w:cs="Calibri"/>
          <w:sz w:val="20"/>
        </w:rPr>
        <w:t xml:space="preserve">Požiarne steny sa musia stýkať s konštrukciou požiarneho stropu alebo s konštrukciou strechy a strešného plášťa vyhotovených z konštrukčných prvkov druhu D1 s požadovanou požiarnou odolnosťou v </w:t>
      </w:r>
      <w:r w:rsidRPr="00717E02">
        <w:rPr>
          <w:rFonts w:ascii="Calibri" w:hAnsi="Calibri" w:cs="Calibri"/>
          <w:sz w:val="20"/>
          <w:lang w:eastAsia="cs-CZ"/>
        </w:rPr>
        <w:t xml:space="preserve">zmysle </w:t>
      </w:r>
      <w:r w:rsidRPr="00717E02">
        <w:rPr>
          <w:rFonts w:ascii="Calibri" w:hAnsi="Calibri" w:cs="Calibri"/>
          <w:bCs/>
          <w:sz w:val="20"/>
        </w:rPr>
        <w:t>§ 41, ods. 7a) Vyhl. MV SR č. 94/2004 Z.z</w:t>
      </w:r>
      <w:r w:rsidRPr="00717E02">
        <w:rPr>
          <w:rFonts w:ascii="Calibri" w:hAnsi="Calibri" w:cs="Calibri"/>
          <w:sz w:val="20"/>
        </w:rPr>
        <w:t>.. -  v posudzovanej stavbe sa stýkajú so železobetónovým stropom.</w:t>
      </w:r>
      <w:r w:rsidRPr="00717E02">
        <w:rPr>
          <w:rFonts w:ascii="Calibri" w:hAnsi="Calibri" w:cs="Calibri"/>
          <w:b/>
          <w:sz w:val="20"/>
          <w:bdr w:val="none" w:sz="0" w:space="0" w:color="auto" w:frame="1"/>
        </w:rPr>
        <w:tab/>
      </w:r>
    </w:p>
    <w:p w:rsidR="00B473D2" w:rsidRPr="00717E02" w:rsidRDefault="00B473D2" w:rsidP="007A5218">
      <w:pPr>
        <w:contextualSpacing/>
        <w:jc w:val="both"/>
        <w:rPr>
          <w:rFonts w:ascii="Calibri" w:hAnsi="Calibri" w:cs="Calibri"/>
          <w:sz w:val="20"/>
        </w:rPr>
      </w:pPr>
      <w:r w:rsidRPr="00717E02">
        <w:rPr>
          <w:rFonts w:ascii="Calibri" w:hAnsi="Calibri" w:cs="Calibri"/>
          <w:sz w:val="20"/>
        </w:rPr>
        <w:lastRenderedPageBreak/>
        <w:t>Požiarna stena medzi stavbami sa musí stýkať s požiarnym stropom v súlade s § 41, ods. 7a) Vyhl. MV SR č. 94/2004 Z.z..</w:t>
      </w:r>
    </w:p>
    <w:p w:rsidR="00B473D2" w:rsidRPr="00717E02" w:rsidRDefault="00B473D2" w:rsidP="007A5218">
      <w:pPr>
        <w:contextualSpacing/>
        <w:jc w:val="both"/>
        <w:rPr>
          <w:rFonts w:ascii="Calibri" w:hAnsi="Calibri" w:cs="Calibri"/>
          <w:sz w:val="20"/>
        </w:rPr>
      </w:pPr>
      <w:r w:rsidRPr="00717E02">
        <w:rPr>
          <w:rFonts w:ascii="Calibri" w:hAnsi="Calibri" w:cs="Calibri"/>
          <w:sz w:val="20"/>
        </w:rPr>
        <w:t xml:space="preserve">Požiarnu odolnosť požiarneho stropu možno dosiahnuť aj použitím podhľadovej konštrukcie </w:t>
      </w:r>
      <w:r w:rsidRPr="00717E02">
        <w:rPr>
          <w:rFonts w:ascii="Calibri" w:hAnsi="Calibri" w:cs="Calibri"/>
          <w:sz w:val="20"/>
          <w:lang w:eastAsia="cs-CZ"/>
        </w:rPr>
        <w:t xml:space="preserve">(v zmysle </w:t>
      </w:r>
      <w:r w:rsidRPr="00717E02">
        <w:rPr>
          <w:rFonts w:ascii="Calibri" w:hAnsi="Calibri" w:cs="Calibri"/>
          <w:bCs/>
          <w:sz w:val="20"/>
        </w:rPr>
        <w:t>§ 42 ods.6 Vyhl. MV SR č. 94/2004 Z.z</w:t>
      </w:r>
      <w:r w:rsidRPr="00717E02">
        <w:rPr>
          <w:rFonts w:ascii="Calibri" w:hAnsi="Calibri" w:cs="Calibri"/>
          <w:sz w:val="20"/>
        </w:rPr>
        <w:t xml:space="preserve">.). – </w:t>
      </w:r>
      <w:r w:rsidRPr="00717E02">
        <w:rPr>
          <w:rFonts w:ascii="Calibri" w:hAnsi="Calibri" w:cs="Calibri"/>
          <w:b/>
          <w:sz w:val="20"/>
        </w:rPr>
        <w:t xml:space="preserve">zo spodnej strany celej strešnej konštrukcie (nad 2.npp) musí byť vytvorený protipožiarny podhľad na zabezpečenie požadovanej požiarnej odolnosti REI15 </w:t>
      </w:r>
      <w:r w:rsidRPr="00717E02">
        <w:rPr>
          <w:rFonts w:ascii="Calibri" w:hAnsi="Calibri" w:cs="Calibri"/>
          <w:sz w:val="20"/>
        </w:rPr>
        <w:t xml:space="preserve">(v súlade s technickým listom a predpisom výrobcu). </w:t>
      </w:r>
    </w:p>
    <w:p w:rsidR="00B473D2" w:rsidRPr="00717E02" w:rsidRDefault="00B473D2" w:rsidP="00B473D2">
      <w:pPr>
        <w:contextualSpacing/>
        <w:jc w:val="both"/>
        <w:rPr>
          <w:rFonts w:ascii="Calibri" w:hAnsi="Calibri" w:cs="Calibri"/>
          <w:sz w:val="20"/>
          <w:u w:val="single"/>
        </w:rPr>
      </w:pPr>
    </w:p>
    <w:p w:rsidR="00B473D2" w:rsidRPr="00717E02" w:rsidRDefault="00B473D2" w:rsidP="00B473D2">
      <w:pPr>
        <w:contextualSpacing/>
        <w:jc w:val="both"/>
        <w:rPr>
          <w:rFonts w:ascii="Calibri" w:hAnsi="Calibri" w:cs="Calibri"/>
          <w:sz w:val="20"/>
          <w:u w:val="single"/>
        </w:rPr>
      </w:pPr>
      <w:r w:rsidRPr="00717E02">
        <w:rPr>
          <w:rFonts w:ascii="Calibri" w:hAnsi="Calibri" w:cs="Calibri"/>
          <w:sz w:val="20"/>
          <w:u w:val="single"/>
        </w:rPr>
        <w:t>Požiadavky na požiarne pásy</w:t>
      </w:r>
      <w:r w:rsidRPr="00717E02">
        <w:rPr>
          <w:rFonts w:ascii="Calibri" w:hAnsi="Calibri" w:cs="Calibri"/>
          <w:b/>
          <w:sz w:val="20"/>
          <w:bdr w:val="none" w:sz="0" w:space="0" w:color="auto" w:frame="1"/>
        </w:rPr>
        <w:tab/>
      </w:r>
    </w:p>
    <w:p w:rsidR="00B473D2" w:rsidRPr="00717E02" w:rsidRDefault="00B473D2" w:rsidP="007A5218">
      <w:pPr>
        <w:spacing w:line="0" w:lineRule="atLeast"/>
        <w:contextualSpacing/>
        <w:jc w:val="both"/>
        <w:rPr>
          <w:rFonts w:ascii="Calibri" w:hAnsi="Calibri" w:cs="Calibri"/>
          <w:bCs/>
          <w:sz w:val="20"/>
        </w:rPr>
      </w:pPr>
      <w:r w:rsidRPr="00717E02">
        <w:rPr>
          <w:rFonts w:ascii="Calibri" w:hAnsi="Calibri" w:cs="Calibri"/>
          <w:sz w:val="20"/>
        </w:rPr>
        <w:t xml:space="preserve">Požiarne pásy medzi požiarnymi úsekmi v posudzovanej stavbe nie sú navrhnuté, nakoľko požiarna výška objektu je menej ako 12m v súlade s </w:t>
      </w:r>
      <w:r w:rsidRPr="00717E02">
        <w:rPr>
          <w:rFonts w:ascii="Calibri" w:hAnsi="Calibri" w:cs="Calibri"/>
          <w:bCs/>
          <w:sz w:val="20"/>
        </w:rPr>
        <w:t>§ 44 ods.7c)  Vyhl. MV SR č.94/2004 Z.z.</w:t>
      </w:r>
    </w:p>
    <w:p w:rsidR="00B473D2" w:rsidRPr="00717E02" w:rsidRDefault="00B473D2" w:rsidP="007A5218">
      <w:pPr>
        <w:spacing w:line="0" w:lineRule="atLeast"/>
        <w:contextualSpacing/>
        <w:jc w:val="both"/>
        <w:rPr>
          <w:rFonts w:ascii="Calibri" w:hAnsi="Calibri" w:cs="Calibri"/>
          <w:bCs/>
          <w:sz w:val="20"/>
        </w:rPr>
      </w:pPr>
      <w:r w:rsidRPr="00717E02">
        <w:rPr>
          <w:rFonts w:ascii="Calibri" w:hAnsi="Calibri" w:cs="Calibri"/>
          <w:bCs/>
          <w:sz w:val="20"/>
        </w:rPr>
        <w:t>Medzi existujúcou pivnicou a stavebným objektom SO.02 musia byť vytvorené požiarne pásy min širky 1,2m  v súlade s § 44 ods.1, 2), ods.4b)  Vyhl. MV SR č.94/2004 Z.z.</w:t>
      </w:r>
    </w:p>
    <w:p w:rsidR="00B473D2" w:rsidRPr="00717E02" w:rsidRDefault="00B473D2" w:rsidP="00B473D2">
      <w:pPr>
        <w:contextualSpacing/>
        <w:jc w:val="both"/>
        <w:rPr>
          <w:rFonts w:ascii="Calibri" w:hAnsi="Calibri" w:cs="Calibri"/>
          <w:sz w:val="20"/>
          <w:u w:val="single"/>
        </w:rPr>
      </w:pPr>
    </w:p>
    <w:p w:rsidR="00B473D2" w:rsidRPr="00717E02" w:rsidRDefault="00B473D2" w:rsidP="00B473D2">
      <w:pPr>
        <w:contextualSpacing/>
        <w:jc w:val="both"/>
        <w:rPr>
          <w:rFonts w:ascii="Calibri" w:hAnsi="Calibri" w:cs="Calibri"/>
          <w:sz w:val="20"/>
          <w:u w:val="single"/>
        </w:rPr>
      </w:pPr>
      <w:r w:rsidRPr="00717E02">
        <w:rPr>
          <w:rFonts w:ascii="Calibri" w:hAnsi="Calibri" w:cs="Calibri"/>
          <w:sz w:val="20"/>
          <w:u w:val="single"/>
        </w:rPr>
        <w:t>Požiadavky na konštrukcie schodiska</w:t>
      </w:r>
    </w:p>
    <w:p w:rsidR="00B473D2" w:rsidRPr="00717E02" w:rsidRDefault="00B473D2" w:rsidP="007A5218">
      <w:pPr>
        <w:spacing w:line="0" w:lineRule="atLeast"/>
        <w:contextualSpacing/>
        <w:jc w:val="both"/>
        <w:rPr>
          <w:rFonts w:ascii="Calibri" w:hAnsi="Calibri" w:cs="Calibri"/>
          <w:bCs/>
          <w:sz w:val="20"/>
        </w:rPr>
      </w:pPr>
      <w:r w:rsidRPr="00717E02">
        <w:rPr>
          <w:rFonts w:ascii="Calibri" w:hAnsi="Calibri" w:cs="Calibri"/>
          <w:sz w:val="20"/>
        </w:rPr>
        <w:t xml:space="preserve">Nosná konštrukcia schodiska z 1.npp na 2.npp musí spĺňať aspoň kritérium </w:t>
      </w:r>
      <w:r w:rsidRPr="00717E02">
        <w:rPr>
          <w:rFonts w:ascii="Calibri" w:hAnsi="Calibri" w:cs="Calibri"/>
          <w:b/>
          <w:sz w:val="20"/>
        </w:rPr>
        <w:t xml:space="preserve">R </w:t>
      </w:r>
      <w:r w:rsidRPr="00717E02">
        <w:rPr>
          <w:rFonts w:ascii="Calibri" w:hAnsi="Calibri" w:cs="Calibri"/>
          <w:sz w:val="20"/>
        </w:rPr>
        <w:t xml:space="preserve"> (v požiarnom úseku je viac ako 10normových osôb) v súlade s </w:t>
      </w:r>
      <w:r w:rsidRPr="00717E02">
        <w:rPr>
          <w:rFonts w:ascii="Calibri" w:hAnsi="Calibri" w:cs="Calibri"/>
          <w:bCs/>
          <w:sz w:val="20"/>
        </w:rPr>
        <w:t>§ 46 ods.1, ods. 2 Vyhl. MV SR č.94/2004 Z.z.</w:t>
      </w:r>
    </w:p>
    <w:p w:rsidR="00B473D2" w:rsidRPr="00717E02" w:rsidRDefault="00B473D2" w:rsidP="00B473D2">
      <w:pPr>
        <w:spacing w:line="0" w:lineRule="atLeast"/>
        <w:ind w:firstLine="708"/>
        <w:contextualSpacing/>
        <w:jc w:val="both"/>
        <w:rPr>
          <w:rFonts w:ascii="Calibri" w:hAnsi="Calibri" w:cs="Calibri"/>
          <w:bCs/>
          <w:sz w:val="20"/>
        </w:rPr>
      </w:pPr>
    </w:p>
    <w:p w:rsidR="00B473D2" w:rsidRPr="00717E02" w:rsidRDefault="00B473D2" w:rsidP="007A5218">
      <w:pPr>
        <w:contextualSpacing/>
        <w:jc w:val="both"/>
        <w:rPr>
          <w:rFonts w:ascii="Calibri" w:hAnsi="Calibri" w:cs="Calibri"/>
          <w:sz w:val="20"/>
        </w:rPr>
      </w:pPr>
      <w:r w:rsidRPr="00717E02">
        <w:rPr>
          <w:rFonts w:ascii="Calibri" w:hAnsi="Calibri" w:cs="Calibri"/>
          <w:sz w:val="20"/>
        </w:rPr>
        <w:t>Riešenie ukončenia strešného plášťa pri okape musí byť navrhnuté tak, aby sa zabránilo preneseniu požiaru do strešného plášťa -napr. zabezpečením protipožiarnymi doskami s triedou reakcie na oheň  A1, A2  napr. cetris hr. min. 2 x 12mm.</w:t>
      </w:r>
    </w:p>
    <w:p w:rsidR="00B473D2" w:rsidRPr="00717E02" w:rsidRDefault="00B473D2" w:rsidP="007A5218">
      <w:pPr>
        <w:contextualSpacing/>
        <w:jc w:val="both"/>
        <w:rPr>
          <w:rFonts w:ascii="Calibri" w:hAnsi="Calibri" w:cs="Calibri"/>
          <w:sz w:val="20"/>
        </w:rPr>
      </w:pPr>
      <w:r w:rsidRPr="00717E02">
        <w:rPr>
          <w:rFonts w:ascii="Calibri" w:hAnsi="Calibri" w:cs="Calibri"/>
          <w:sz w:val="20"/>
        </w:rPr>
        <w:t xml:space="preserve">Skutočné požiarnotechnické charakteristiky stavebných výrobkov a konštrukcií v posudzovanej stavbe </w:t>
      </w:r>
      <w:r w:rsidRPr="00717E02">
        <w:rPr>
          <w:rFonts w:ascii="Calibri" w:hAnsi="Calibri" w:cs="Calibri"/>
          <w:bCs/>
          <w:sz w:val="20"/>
        </w:rPr>
        <w:t xml:space="preserve">( t.z. murovaných ako aj ostatných stavebných konštrukcií, výrobkov a materiálov), </w:t>
      </w:r>
      <w:r w:rsidRPr="00717E02">
        <w:rPr>
          <w:rFonts w:ascii="Calibri" w:hAnsi="Calibri" w:cs="Calibri"/>
          <w:sz w:val="20"/>
        </w:rPr>
        <w:t xml:space="preserve">musia byť pri kolaudácii doložené </w:t>
      </w:r>
      <w:r w:rsidRPr="00717E02">
        <w:rPr>
          <w:rFonts w:ascii="Calibri" w:hAnsi="Calibri" w:cs="Calibri"/>
          <w:bCs/>
          <w:sz w:val="20"/>
        </w:rPr>
        <w:t>certifikátmi preukázania zhody</w:t>
      </w:r>
      <w:r w:rsidRPr="00717E02">
        <w:rPr>
          <w:rFonts w:ascii="Calibri" w:hAnsi="Calibri" w:cs="Calibri"/>
          <w:sz w:val="20"/>
        </w:rPr>
        <w:t xml:space="preserve"> doplneným ďaľšími dokladmi v zmysle zákona č. 133/2013 Z.z. v znení neskorších predpisov. Stavebné materiály použité na finálnu povrchovú úpravu stien a stropov (obklady a podhľady) musia byť pri kolaudačnom konaní dokladované atestami a certifikátmi, ktoré  preukážu požadovanú triedu reakcie na oheň.</w:t>
      </w:r>
    </w:p>
    <w:bookmarkEnd w:id="6"/>
    <w:p w:rsidR="00B473D2" w:rsidRPr="00717E02" w:rsidRDefault="00B473D2" w:rsidP="00165ED7">
      <w:pPr>
        <w:pStyle w:val="Nadpis1"/>
      </w:pPr>
    </w:p>
    <w:p w:rsidR="00B473D2" w:rsidRPr="00717E02" w:rsidRDefault="00B473D2" w:rsidP="00165ED7">
      <w:pPr>
        <w:pStyle w:val="Nadpis1"/>
        <w:numPr>
          <w:ilvl w:val="0"/>
          <w:numId w:val="3"/>
        </w:numPr>
      </w:pPr>
      <w:r w:rsidRPr="00717E02">
        <w:t>Zabezpečenie evakuácie osôb</w:t>
      </w:r>
    </w:p>
    <w:p w:rsidR="00B473D2" w:rsidRPr="000D00F5" w:rsidRDefault="00B473D2" w:rsidP="00B473D2">
      <w:pPr>
        <w:ind w:firstLine="708"/>
        <w:jc w:val="both"/>
        <w:rPr>
          <w:rFonts w:ascii="Calibri" w:hAnsi="Calibri" w:cs="Calibri"/>
          <w:sz w:val="20"/>
          <w:highlight w:val="lightGray"/>
        </w:rPr>
      </w:pPr>
    </w:p>
    <w:p w:rsidR="00B473D2" w:rsidRPr="00717E02" w:rsidRDefault="00B473D2" w:rsidP="007A5218">
      <w:pPr>
        <w:jc w:val="both"/>
        <w:rPr>
          <w:rFonts w:ascii="Calibri" w:hAnsi="Calibri" w:cs="Calibri"/>
          <w:sz w:val="20"/>
        </w:rPr>
      </w:pPr>
      <w:r w:rsidRPr="00717E02">
        <w:rPr>
          <w:rFonts w:ascii="Calibri" w:hAnsi="Calibri" w:cs="Calibri"/>
          <w:sz w:val="20"/>
        </w:rPr>
        <w:t xml:space="preserve">Z požiarneho úseku  N1.01/N2 je uvažovaná nechránená úniková cesta na voľné priestranstvo. Dovolené použitie jedinej únikovej cesty je v súlade s tab. 3  pol. 2  STN 92 0201-3. </w:t>
      </w:r>
    </w:p>
    <w:p w:rsidR="00B473D2" w:rsidRPr="00717E02" w:rsidRDefault="00B473D2" w:rsidP="007A5218">
      <w:pPr>
        <w:contextualSpacing/>
        <w:jc w:val="both"/>
        <w:rPr>
          <w:rFonts w:ascii="Calibri" w:hAnsi="Calibri" w:cs="Calibri"/>
          <w:sz w:val="20"/>
        </w:rPr>
      </w:pPr>
      <w:r w:rsidRPr="00717E02">
        <w:rPr>
          <w:rFonts w:ascii="Calibri" w:hAnsi="Calibri" w:cs="Calibri"/>
          <w:sz w:val="20"/>
        </w:rPr>
        <w:t xml:space="preserve">V súlade s </w:t>
      </w:r>
      <w:r w:rsidRPr="00717E02">
        <w:rPr>
          <w:rFonts w:ascii="Calibri" w:hAnsi="Calibri" w:cs="Calibri"/>
          <w:bCs/>
          <w:sz w:val="20"/>
        </w:rPr>
        <w:t>§ 65 ods.5  Vyhl. MV SR č. 94/2004 Z.z</w:t>
      </w:r>
      <w:r w:rsidRPr="00717E02">
        <w:rPr>
          <w:rFonts w:ascii="Calibri" w:hAnsi="Calibri" w:cs="Calibri"/>
          <w:sz w:val="20"/>
        </w:rPr>
        <w:t xml:space="preserve">. je začiatok nechránenej únikovej cesty uvažovaný na osi dverí z izby m.č. 2.02 (najvzdialenejšia izba ku schodisku) na 2.npp. Koniec únikovej cesty je na osi exteriérových otváravých dverí zo showroomu do exteriéru.  </w:t>
      </w:r>
    </w:p>
    <w:p w:rsidR="00B473D2" w:rsidRPr="00717E02" w:rsidRDefault="00B473D2" w:rsidP="007A5218">
      <w:pPr>
        <w:jc w:val="both"/>
        <w:rPr>
          <w:rFonts w:ascii="Calibri" w:hAnsi="Calibri" w:cs="Calibri"/>
          <w:sz w:val="20"/>
        </w:rPr>
      </w:pPr>
      <w:r w:rsidRPr="00717E02">
        <w:rPr>
          <w:rFonts w:ascii="Calibri" w:hAnsi="Calibri" w:cs="Calibri"/>
          <w:sz w:val="20"/>
        </w:rPr>
        <w:t xml:space="preserve">V súlade s  </w:t>
      </w:r>
      <w:r w:rsidRPr="00717E02">
        <w:rPr>
          <w:rFonts w:ascii="Calibri" w:hAnsi="Calibri" w:cs="Calibri"/>
          <w:bCs/>
          <w:sz w:val="20"/>
        </w:rPr>
        <w:t>§ 65 ods.5 Vyhl. MV SR č. 94/2004 Z.z</w:t>
      </w:r>
      <w:r w:rsidRPr="00717E02">
        <w:rPr>
          <w:rFonts w:ascii="Calibri" w:hAnsi="Calibri" w:cs="Calibri"/>
          <w:sz w:val="20"/>
        </w:rPr>
        <w:t>. je začiatok nechránenej únikovej cesty z P1.02  v najvzdialenejšom mieste požiarneho úseku a jej  koniec je na osi požiarneho uzáveru do požiarneho úseku P1.01/N2 v stavebnom objekte SO02. Ďalej pokračuje susedným požiarnym úsekom na voľné priestranstvo. Ďalšia možnosť úniku je cez susedný požiarny úsek N1.01/N2 na voľné priestranstvo (pre osoby z ubytovacej časti).</w:t>
      </w:r>
    </w:p>
    <w:p w:rsidR="00B473D2" w:rsidRPr="00717E02" w:rsidRDefault="00B473D2" w:rsidP="00B473D2">
      <w:pPr>
        <w:jc w:val="both"/>
        <w:rPr>
          <w:rFonts w:ascii="Calibri" w:hAnsi="Calibri" w:cs="Calibri"/>
          <w:sz w:val="20"/>
        </w:rPr>
      </w:pPr>
      <w:r w:rsidRPr="00717E02">
        <w:rPr>
          <w:rFonts w:ascii="Calibri" w:hAnsi="Calibri" w:cs="Calibri"/>
          <w:sz w:val="20"/>
        </w:rPr>
        <w:t>Počet normových osôb v stavbe bol stanovený v súlade s STN920241 nasledovne:</w:t>
      </w:r>
    </w:p>
    <w:p w:rsidR="00B473D2" w:rsidRPr="00717E02" w:rsidRDefault="00B473D2" w:rsidP="00B473D2">
      <w:pPr>
        <w:ind w:firstLine="709"/>
        <w:jc w:val="both"/>
        <w:rPr>
          <w:rFonts w:ascii="Calibri" w:hAnsi="Calibri" w:cs="Calibri"/>
          <w:sz w:val="20"/>
        </w:rPr>
      </w:pPr>
      <w:r w:rsidRPr="00717E02">
        <w:rPr>
          <w:rFonts w:ascii="Calibri" w:hAnsi="Calibri" w:cs="Calibri"/>
          <w:sz w:val="20"/>
        </w:rPr>
        <w:t>-N1.01/N2: 2x 1,3+ (3x1,3) x2= 3n.o.+4n.o.x2=11 n.o. (pol.7.2.1)</w:t>
      </w:r>
    </w:p>
    <w:p w:rsidR="00B473D2" w:rsidRPr="00717E02" w:rsidRDefault="00B473D2" w:rsidP="00B473D2">
      <w:pPr>
        <w:ind w:firstLine="709"/>
        <w:jc w:val="both"/>
        <w:rPr>
          <w:rFonts w:ascii="Calibri" w:hAnsi="Calibri" w:cs="Calibri"/>
          <w:sz w:val="20"/>
        </w:rPr>
      </w:pPr>
      <w:r w:rsidRPr="00717E02">
        <w:rPr>
          <w:rFonts w:ascii="Calibri" w:hAnsi="Calibri" w:cs="Calibri"/>
          <w:sz w:val="20"/>
        </w:rPr>
        <w:t>-P1.02: 2*0,5=1..min.3 n.o. (pol.11.5)- v požiarnom úseku sa môžu nachádzať aj osoby zo stavebného objektu SO 02 aj zo susedného požiarneho úseku N1.01/N2</w:t>
      </w:r>
    </w:p>
    <w:p w:rsidR="00B473D2" w:rsidRPr="00717E02" w:rsidRDefault="00B473D2" w:rsidP="00165ED7">
      <w:pPr>
        <w:pStyle w:val="Nadpis1"/>
      </w:pPr>
      <w:r w:rsidRPr="00717E02">
        <w:t xml:space="preserve">V posudzovanej stavbe je uvažovaná súčasná evakuácia. V stavbe je stanovený počet  14 normových osôb.  </w:t>
      </w:r>
    </w:p>
    <w:p w:rsidR="00B473D2" w:rsidRPr="00717E02" w:rsidRDefault="00B473D2" w:rsidP="00B473D2">
      <w:pPr>
        <w:jc w:val="both"/>
        <w:rPr>
          <w:rFonts w:ascii="Calibri" w:hAnsi="Calibri" w:cs="Calibri"/>
          <w:sz w:val="20"/>
        </w:rPr>
      </w:pPr>
    </w:p>
    <w:p w:rsidR="00B473D2" w:rsidRPr="00717E02" w:rsidRDefault="00B473D2" w:rsidP="00165ED7">
      <w:pPr>
        <w:pStyle w:val="Nadpis1"/>
      </w:pPr>
      <w:r w:rsidRPr="00717E02">
        <w:t xml:space="preserve">Určenie požiadaviek na únikové cesty </w:t>
      </w:r>
    </w:p>
    <w:p w:rsidR="00B473D2" w:rsidRDefault="00B473D2" w:rsidP="00717E02">
      <w:pPr>
        <w:jc w:val="both"/>
        <w:rPr>
          <w:rFonts w:ascii="Calibri" w:hAnsi="Calibri" w:cs="Calibri"/>
          <w:sz w:val="20"/>
        </w:rPr>
      </w:pP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Dĺžka a šírka únikových ciest vyhovuje vyhláške Vyhl. MV SR č. 94/2004 Z.z. a STN 92 0201-3. Posúdenie únikových ciest je uvedené vo výpočtovej prílohe.</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 xml:space="preserve">Dvere na únikovej ceste z riešeného objektu sa  musia otvárať v súlade s §71 ods.2 Vyhl. MV SR č. 94/2004 Z.z. v smere úniku, s výnimkou dvier z miestnosti alebo funkčne ucelenej skupiny miestností, u ktorých úniková cesta začína a dvier, ktoré vedú na voľné priestranstvo, cez ktoré sa vykonáva evakuácia max. 100 osôb.  </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 xml:space="preserve">Dvere na únikovej ceste musia umožňovať bezpečný a rýchly prechod pri evakuácii osôb a nesmú brániť zásahu hasičskej jednotky v zmysle  §71 ods.1 Vyhl. MV SR č. 94/2004 Z.z.. </w:t>
      </w:r>
    </w:p>
    <w:p w:rsidR="00717E02" w:rsidRPr="00717E02" w:rsidRDefault="00717E02" w:rsidP="00717E02">
      <w:pPr>
        <w:ind w:firstLine="708"/>
        <w:rPr>
          <w:rFonts w:asciiTheme="majorHAnsi" w:hAnsiTheme="majorHAnsi" w:cstheme="majorHAnsi"/>
          <w:b/>
          <w:sz w:val="20"/>
        </w:rPr>
      </w:pPr>
      <w:r w:rsidRPr="00717E02">
        <w:rPr>
          <w:rFonts w:asciiTheme="majorHAnsi" w:hAnsiTheme="majorHAnsi" w:cstheme="majorHAnsi"/>
          <w:sz w:val="20"/>
        </w:rPr>
        <w:lastRenderedPageBreak/>
        <w:t xml:space="preserve">Započítateľná šírka únikovej cesty sa nesmie zužovať v smere úniku v zmysle § 69 ods. 1 Vyhl. MV SR č. 94/2004 Z.z.  </w:t>
      </w:r>
      <w:r w:rsidRPr="00717E02">
        <w:rPr>
          <w:rFonts w:asciiTheme="majorHAnsi" w:hAnsiTheme="majorHAnsi" w:cstheme="majorHAnsi"/>
          <w:b/>
          <w:sz w:val="20"/>
        </w:rPr>
        <w:t xml:space="preserve">Dverové krídlo, ktoré sa započítava do šírky únikovej cesty a je pri prevádzke zabezpečené, musí byť na strane v smere úniku opatrené stavebným kovaním podľa technickej normy STN EN 179 – núdzovým východovým uzáverom ( v zmysle § 71, ods. 4 Vyhl. MV SR č. 94/2004 Z.z.). </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b/>
          <w:sz w:val="20"/>
        </w:rPr>
        <w:t>Upozorňujem okenice pri dverách, ktorými sa uniká do exteriéru z posudzovanej stavby nesmú brániť úniku a nesmú byť uzamykateľné.</w:t>
      </w:r>
    </w:p>
    <w:p w:rsidR="00717E02" w:rsidRPr="00717E02" w:rsidRDefault="00717E02" w:rsidP="00717E02">
      <w:pPr>
        <w:ind w:firstLine="708"/>
        <w:rPr>
          <w:rFonts w:asciiTheme="majorHAnsi" w:hAnsiTheme="majorHAnsi" w:cstheme="majorHAnsi"/>
          <w:b/>
          <w:sz w:val="20"/>
        </w:rPr>
      </w:pPr>
      <w:r w:rsidRPr="00717E02">
        <w:rPr>
          <w:rFonts w:asciiTheme="majorHAnsi" w:hAnsiTheme="majorHAnsi" w:cstheme="majorHAnsi"/>
          <w:sz w:val="20"/>
        </w:rPr>
        <w:t>Ak má dverné krídlo plochu väčšiu ako 4m2 a cez tieto dvere vedie len jediná úniková cesta prechod osôb musí byť zabezpečený ďalším krídlom dverovým krídlom s menším rozmerom, najmenej však s rozmerom šírky únikovej cesty (min.800m pre posudzovanú stavbu), dverové krídlo s menším rozmerom môže byť súčasťou väčšieho dverového krídla v zmysle  §71 ods.6 Vyhl. MV SR č. 94/2004 Z.z.</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 xml:space="preserve">Osvetlenie únikovej cesty je navrhované ako prirodzené a umelé. Nechránené únikové cesty slúžia na únik menej ako 50 osôb a preto nemusia byť vybavené núdzovým osvetlením v zmysle  §73 ods.2 Vyhl. MV SR č. 94/2004 Z.z. </w:t>
      </w:r>
      <w:r w:rsidRPr="00717E02">
        <w:rPr>
          <w:rFonts w:asciiTheme="majorHAnsi" w:hAnsiTheme="majorHAnsi" w:cstheme="majorHAnsi"/>
          <w:sz w:val="20"/>
          <w:u w:val="single"/>
        </w:rPr>
        <w:t>– z hľadiska bezpečnosti úniku však odporúčam v pivničnom priestore  inštalovať núdzové osvetlenie s vlastným batériovým zdrojom (aspoň nad únikové dvere z neho).</w:t>
      </w:r>
      <w:r w:rsidRPr="00717E02">
        <w:rPr>
          <w:rFonts w:asciiTheme="majorHAnsi" w:hAnsiTheme="majorHAnsi" w:cstheme="majorHAnsi"/>
          <w:sz w:val="20"/>
        </w:rPr>
        <w:t xml:space="preserve">  </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Smer úniku musí byť vyznačený požiarnymi bezpečnostnými značkami (čl. 19.1 STN 92 0201-03). Podlaha po oboch stranách dverí, ktorými prechádza úniková cesta musí byť vo vzdialenosti rovnajúcej sa aspoň šírke únikovej cesty v rovnakej výškovej úrovni, to neplatí na podlahu pri dverách na voľné priestranstvo, na terasu v zmysle § 70 ods. 1 Vyhl. MV SR č. 94/2004 Z.z..</w:t>
      </w:r>
    </w:p>
    <w:p w:rsidR="00717E02" w:rsidRDefault="00717E02" w:rsidP="00B473D2">
      <w:pPr>
        <w:jc w:val="both"/>
        <w:rPr>
          <w:rFonts w:asciiTheme="majorHAnsi" w:hAnsiTheme="majorHAnsi" w:cstheme="majorHAnsi"/>
          <w:sz w:val="20"/>
        </w:rPr>
      </w:pPr>
    </w:p>
    <w:p w:rsidR="00B473D2" w:rsidRPr="00717E02" w:rsidRDefault="00B473D2" w:rsidP="00165ED7">
      <w:pPr>
        <w:pStyle w:val="Nadpis1"/>
        <w:rPr>
          <w:shd w:val="clear" w:color="auto" w:fill="FFFFFF"/>
        </w:rPr>
      </w:pPr>
      <w:r w:rsidRPr="00717E02">
        <w:rPr>
          <w:shd w:val="clear" w:color="auto" w:fill="FFFFFF"/>
        </w:rPr>
        <w:t xml:space="preserve">Odstupové vzdialenosti </w:t>
      </w:r>
    </w:p>
    <w:p w:rsidR="00B473D2" w:rsidRPr="00717E02" w:rsidRDefault="00B473D2" w:rsidP="00B473D2">
      <w:pPr>
        <w:jc w:val="both"/>
        <w:rPr>
          <w:rFonts w:ascii="Calibri" w:hAnsi="Calibri" w:cs="Calibri"/>
          <w:sz w:val="20"/>
        </w:rPr>
      </w:pPr>
    </w:p>
    <w:p w:rsidR="00B473D2" w:rsidRPr="00717E02" w:rsidRDefault="00B473D2" w:rsidP="007A5218">
      <w:pPr>
        <w:jc w:val="both"/>
        <w:rPr>
          <w:rFonts w:ascii="Calibri" w:hAnsi="Calibri" w:cs="Calibri"/>
          <w:sz w:val="20"/>
        </w:rPr>
      </w:pPr>
      <w:r w:rsidRPr="00717E02">
        <w:rPr>
          <w:rFonts w:ascii="Calibri" w:hAnsi="Calibri" w:cs="Calibri"/>
          <w:sz w:val="20"/>
        </w:rPr>
        <w:t xml:space="preserve">Odstupové vzdialenosti sú pre každú obvodovú stenu požiarneho úseku počítané samostatne - sú uvedené vo výpočtovej prílohe na konci správy a sú znázornené v situácii.  Požiarne nebezpečný priestor je okolo stavby vymedzený odstupovou vzdialenosťou v súlade s STN 92 0201-4 tab.7 (pre požiarny úsek N1.01/N2).  </w:t>
      </w:r>
    </w:p>
    <w:p w:rsidR="00B473D2" w:rsidRPr="00717E02" w:rsidRDefault="00B473D2" w:rsidP="007A5218">
      <w:pPr>
        <w:jc w:val="both"/>
        <w:rPr>
          <w:rFonts w:ascii="Calibri" w:hAnsi="Calibri" w:cs="Calibri"/>
          <w:sz w:val="20"/>
        </w:rPr>
      </w:pPr>
      <w:r w:rsidRPr="00717E02">
        <w:rPr>
          <w:rFonts w:ascii="Calibri" w:hAnsi="Calibri" w:cs="Calibri"/>
          <w:sz w:val="20"/>
        </w:rPr>
        <w:t>V požiarne nebezpečnom priestore posudzovanej stavby sa nenachádzajú žiadne susedné objekty ani plánované objekty vyznačené v situácii.</w:t>
      </w:r>
      <w:r w:rsidRPr="00717E02">
        <w:rPr>
          <w:rFonts w:ascii="Calibri" w:hAnsi="Calibri" w:cs="Calibri"/>
          <w:sz w:val="20"/>
        </w:rPr>
        <w:tab/>
      </w:r>
    </w:p>
    <w:p w:rsidR="00B473D2" w:rsidRPr="00717E02" w:rsidRDefault="00B473D2" w:rsidP="007A5218">
      <w:pPr>
        <w:jc w:val="both"/>
        <w:rPr>
          <w:rFonts w:ascii="Calibri" w:hAnsi="Calibri" w:cs="Calibri"/>
          <w:sz w:val="20"/>
        </w:rPr>
      </w:pPr>
      <w:r w:rsidRPr="00717E02">
        <w:rPr>
          <w:rFonts w:ascii="Calibri" w:hAnsi="Calibri" w:cs="Calibri"/>
          <w:sz w:val="20"/>
        </w:rPr>
        <w:t>Požiarne nebezpečné priestory susedných objektov a ani navrhovaných objektov v rámci vinárstva S Strekov (požiarne nebezpečný priestor od iných navrhovaných objektov  je znázornený v situácii a posúdený v samostatnej časti pre príslušný objekt)  nezasahujú k posudzovanej stavbe.</w:t>
      </w:r>
      <w:r w:rsidRPr="00717E02">
        <w:rPr>
          <w:rFonts w:ascii="Calibri" w:hAnsi="Calibri" w:cs="Calibri"/>
          <w:b/>
          <w:sz w:val="20"/>
        </w:rPr>
        <w:tab/>
        <w:t xml:space="preserve"> </w:t>
      </w:r>
    </w:p>
    <w:p w:rsidR="00B473D2" w:rsidRPr="00717E02" w:rsidRDefault="00B473D2" w:rsidP="00B473D2">
      <w:pPr>
        <w:autoSpaceDE w:val="0"/>
        <w:autoSpaceDN w:val="0"/>
        <w:adjustRightInd w:val="0"/>
        <w:jc w:val="both"/>
        <w:rPr>
          <w:rFonts w:ascii="Calibri" w:hAnsi="Calibri" w:cs="Calibri"/>
          <w:sz w:val="20"/>
        </w:rPr>
      </w:pPr>
      <w:r w:rsidRPr="00717E02">
        <w:rPr>
          <w:rFonts w:ascii="Calibri" w:hAnsi="Calibri" w:cs="Calibri"/>
          <w:sz w:val="20"/>
        </w:rPr>
        <w:t xml:space="preserve">Odstupová vzdialenosť od odpadávania horľavých materiálov sa neurčuje nakoľko obvodové steny sú iba druhu D1 a ich povrchová úprava je navrhovaná zo stavebných materiálov triedy reakcie na oheň A1, alt. A2-s1, d0. </w:t>
      </w:r>
    </w:p>
    <w:p w:rsidR="00B473D2" w:rsidRPr="00717E02" w:rsidRDefault="00B473D2" w:rsidP="00B473D2">
      <w:pPr>
        <w:autoSpaceDE w:val="0"/>
        <w:autoSpaceDN w:val="0"/>
        <w:adjustRightInd w:val="0"/>
        <w:jc w:val="both"/>
        <w:rPr>
          <w:rFonts w:ascii="Calibri" w:hAnsi="Calibri" w:cs="Calibri"/>
          <w:sz w:val="20"/>
        </w:rPr>
      </w:pPr>
      <w:r w:rsidRPr="00717E02">
        <w:rPr>
          <w:rFonts w:ascii="Calibri" w:hAnsi="Calibri" w:cs="Calibri"/>
          <w:sz w:val="20"/>
        </w:rPr>
        <w:t xml:space="preserve">Posudzovaná stavba svojim umiestnením vyhovujú STN 920201-4. Podrobný výpočet odstupových vzdialeností je uvedený vo výpočtovej  prílohe. </w:t>
      </w:r>
    </w:p>
    <w:p w:rsidR="00B473D2" w:rsidRPr="00717E02" w:rsidRDefault="00B473D2" w:rsidP="00B473D2">
      <w:pPr>
        <w:jc w:val="both"/>
        <w:rPr>
          <w:rFonts w:ascii="Calibri" w:hAnsi="Calibri" w:cs="Calibri"/>
          <w:sz w:val="20"/>
          <w:shd w:val="clear" w:color="auto" w:fill="FFFFFF"/>
        </w:rPr>
      </w:pPr>
    </w:p>
    <w:p w:rsidR="00165ED7" w:rsidRDefault="00165ED7" w:rsidP="00165ED7">
      <w:pPr>
        <w:pStyle w:val="Nadpis1"/>
        <w:numPr>
          <w:ilvl w:val="0"/>
          <w:numId w:val="3"/>
        </w:numPr>
      </w:pPr>
    </w:p>
    <w:p w:rsidR="00B473D2" w:rsidRPr="00717E02" w:rsidRDefault="00B473D2" w:rsidP="00165ED7">
      <w:pPr>
        <w:pStyle w:val="Nadpis1"/>
        <w:numPr>
          <w:ilvl w:val="0"/>
          <w:numId w:val="3"/>
        </w:numPr>
      </w:pPr>
      <w:r w:rsidRPr="00717E02">
        <w:t xml:space="preserve">Zariadenia na zásah </w:t>
      </w:r>
    </w:p>
    <w:p w:rsidR="00B473D2" w:rsidRPr="00717E02" w:rsidRDefault="00B473D2" w:rsidP="00B473D2">
      <w:pPr>
        <w:ind w:firstLine="709"/>
        <w:jc w:val="both"/>
        <w:rPr>
          <w:rFonts w:ascii="Calibri" w:hAnsi="Calibri" w:cs="Calibri"/>
          <w:sz w:val="20"/>
        </w:rPr>
      </w:pPr>
    </w:p>
    <w:p w:rsidR="00B473D2" w:rsidRPr="00717E02" w:rsidRDefault="00B473D2" w:rsidP="007A5218">
      <w:pPr>
        <w:jc w:val="both"/>
        <w:rPr>
          <w:rFonts w:ascii="Calibri" w:hAnsi="Calibri" w:cs="Calibri"/>
          <w:sz w:val="20"/>
        </w:rPr>
      </w:pPr>
      <w:r w:rsidRPr="00717E02">
        <w:rPr>
          <w:rFonts w:ascii="Calibri" w:hAnsi="Calibri" w:cs="Calibri"/>
          <w:sz w:val="20"/>
        </w:rPr>
        <w:t>Prístupová komunikácia na zásah hasičských jednotiek musí spĺňať požiadavky § 82 Vyhl. MV SR č.94/2004 Z.z. t.z. musí mať voľnú šírku 3,0 m (do trvale voľnej šírky sa nezapočítava parkovací pruh), prejazd na nej musí mať min. šírku 3,5m a jej únosnosť na zaťaženie jednou nápravou vozidla  musí byť najmenej 80 kN  a zároveň prístupová komunikácia musí viesť aspoň do vzdialenosti 30m od vchodu do posudzovanej stavby, cez ktorý sa predpokladá zásah.</w:t>
      </w:r>
    </w:p>
    <w:p w:rsidR="00B473D2" w:rsidRPr="00717E02" w:rsidRDefault="00B473D2" w:rsidP="007A5218">
      <w:pPr>
        <w:jc w:val="both"/>
        <w:rPr>
          <w:rFonts w:ascii="Calibri" w:hAnsi="Calibri" w:cs="Calibri"/>
          <w:sz w:val="20"/>
        </w:rPr>
      </w:pPr>
      <w:r w:rsidRPr="00717E02">
        <w:rPr>
          <w:rFonts w:ascii="Calibri" w:hAnsi="Calibri" w:cs="Calibri"/>
          <w:sz w:val="20"/>
        </w:rPr>
        <w:t xml:space="preserve"> Existujúca prístupová komunikácia, ktorá sa nachádza do 30m od vstupu do posudzovanej stavby a je prejazdná jednopruhová. Prístupová komunikácia pri navrhovanej stavbe spĺňa požiadavky § 82 Vyhl. MV SR č.94/2004 Z.z.. Nástupná plocha nemusí byť  zriadená v nadväznosti na ods. 1a) § 83 Vyhl. MV SR č. 94/2004 Z.z., nakoľko požiarna výška stavby je menej ako 9,0m. </w:t>
      </w:r>
    </w:p>
    <w:p w:rsidR="00B473D2" w:rsidRPr="00717E02" w:rsidRDefault="00B473D2" w:rsidP="007A5218">
      <w:pPr>
        <w:jc w:val="both"/>
        <w:rPr>
          <w:rFonts w:ascii="Calibri" w:hAnsi="Calibri" w:cs="Calibri"/>
          <w:sz w:val="20"/>
        </w:rPr>
      </w:pPr>
      <w:r w:rsidRPr="00717E02">
        <w:rPr>
          <w:rFonts w:ascii="Calibri" w:hAnsi="Calibri" w:cs="Calibri"/>
          <w:sz w:val="20"/>
        </w:rPr>
        <w:t>Vnútorná zásahová cesta nemusí byť  vybudovaná v súlade  s ods. 1) § 84 Vyhl. MV SR č.94/2004 Z.z.. V zmysle ods.3 § 86 Vyhl. MV SR č.94/2004 Z.z. nemusí byť posudzovaná stavba vybavená požiarnym rebríkom a požiarnym schodiskom, nakoľko pôdorysná plocha je menšia ako 200m².</w:t>
      </w:r>
    </w:p>
    <w:p w:rsidR="00B473D2" w:rsidRPr="00717E02" w:rsidRDefault="00B473D2" w:rsidP="00B473D2">
      <w:pPr>
        <w:ind w:firstLine="709"/>
        <w:jc w:val="both"/>
        <w:rPr>
          <w:rFonts w:ascii="Calibri" w:hAnsi="Calibri" w:cs="Calibri"/>
          <w:sz w:val="20"/>
        </w:rPr>
      </w:pPr>
    </w:p>
    <w:p w:rsidR="00B473D2" w:rsidRPr="00717E02" w:rsidRDefault="00B473D2" w:rsidP="00165ED7">
      <w:pPr>
        <w:pStyle w:val="Nadpis1"/>
        <w:rPr>
          <w:shd w:val="clear" w:color="auto" w:fill="FFFFFF"/>
        </w:rPr>
      </w:pPr>
      <w:r w:rsidRPr="00717E02">
        <w:rPr>
          <w:shd w:val="clear" w:color="auto" w:fill="FFFFFF"/>
        </w:rPr>
        <w:t>Požiarnotechnické zariadenia</w:t>
      </w:r>
    </w:p>
    <w:p w:rsidR="00B473D2" w:rsidRPr="00717E02" w:rsidRDefault="00B473D2" w:rsidP="00B473D2">
      <w:pPr>
        <w:autoSpaceDE w:val="0"/>
        <w:autoSpaceDN w:val="0"/>
        <w:adjustRightInd w:val="0"/>
        <w:ind w:firstLine="709"/>
        <w:jc w:val="both"/>
        <w:rPr>
          <w:rFonts w:ascii="Calibri" w:hAnsi="Calibri" w:cs="Calibri"/>
          <w:sz w:val="20"/>
        </w:rPr>
      </w:pPr>
    </w:p>
    <w:p w:rsidR="00B473D2" w:rsidRPr="00717E02" w:rsidRDefault="00B473D2" w:rsidP="007A5218">
      <w:pPr>
        <w:autoSpaceDE w:val="0"/>
        <w:autoSpaceDN w:val="0"/>
        <w:adjustRightInd w:val="0"/>
        <w:jc w:val="both"/>
        <w:rPr>
          <w:rFonts w:ascii="Calibri" w:hAnsi="Calibri" w:cs="Calibri"/>
          <w:sz w:val="20"/>
        </w:rPr>
      </w:pPr>
      <w:r w:rsidRPr="00717E02">
        <w:rPr>
          <w:rFonts w:ascii="Calibri" w:hAnsi="Calibri" w:cs="Calibri"/>
          <w:sz w:val="20"/>
        </w:rPr>
        <w:t>Stavba nemusí byť vybavená stabilným hasiacim zariadením, elektrickou požiarnou signalizáciou a zariadením na odvod tepla a splodín horenia, h</w:t>
      </w:r>
      <w:r w:rsidR="00717E02">
        <w:rPr>
          <w:rFonts w:ascii="Calibri" w:hAnsi="Calibri" w:cs="Calibri"/>
          <w:sz w:val="20"/>
        </w:rPr>
        <w:t>lasovou signalizáciou požiaru (podľa § 88, § 87, §</w:t>
      </w:r>
      <w:r w:rsidRPr="00717E02">
        <w:rPr>
          <w:rFonts w:ascii="Calibri" w:hAnsi="Calibri" w:cs="Calibri"/>
          <w:sz w:val="20"/>
        </w:rPr>
        <w:t>90 vyhl. MV SR č. 94/2004 Z.z ).</w:t>
      </w:r>
    </w:p>
    <w:p w:rsidR="00B473D2" w:rsidRPr="00717E02" w:rsidRDefault="00B473D2" w:rsidP="00B473D2">
      <w:pPr>
        <w:pStyle w:val="Nadpis3"/>
        <w:numPr>
          <w:ilvl w:val="0"/>
          <w:numId w:val="0"/>
        </w:numPr>
        <w:spacing w:before="0"/>
        <w:jc w:val="both"/>
        <w:rPr>
          <w:rFonts w:ascii="Calibri" w:hAnsi="Calibri" w:cs="Calibri"/>
          <w:shd w:val="clear" w:color="auto" w:fill="FFFFFF"/>
        </w:rPr>
      </w:pPr>
    </w:p>
    <w:p w:rsidR="00B473D2" w:rsidRPr="00717E02" w:rsidRDefault="00B473D2" w:rsidP="00B473D2">
      <w:pPr>
        <w:pStyle w:val="Nadpis3"/>
        <w:numPr>
          <w:ilvl w:val="0"/>
          <w:numId w:val="0"/>
        </w:numPr>
        <w:spacing w:before="0"/>
        <w:jc w:val="both"/>
        <w:rPr>
          <w:rFonts w:ascii="Calibri" w:hAnsi="Calibri" w:cs="Calibri"/>
          <w:b/>
          <w:shd w:val="clear" w:color="auto" w:fill="FFFFFF"/>
        </w:rPr>
      </w:pPr>
      <w:r w:rsidRPr="00717E02">
        <w:rPr>
          <w:rFonts w:ascii="Calibri" w:hAnsi="Calibri" w:cs="Calibri"/>
          <w:b/>
          <w:shd w:val="clear" w:color="auto" w:fill="FFFFFF"/>
        </w:rPr>
        <w:t>Zabezpečenie stavby vodou na hasenie požiarov</w:t>
      </w:r>
      <w:r w:rsidRPr="00717E02">
        <w:rPr>
          <w:rFonts w:ascii="Calibri" w:eastAsia="Calibri" w:hAnsi="Calibri" w:cs="Calibri"/>
          <w:b/>
          <w:bCs/>
          <w:lang w:eastAsia="en-US"/>
        </w:rPr>
        <w:tab/>
      </w:r>
    </w:p>
    <w:p w:rsidR="00B473D2" w:rsidRPr="00717E02" w:rsidRDefault="00B473D2" w:rsidP="00B473D2">
      <w:pPr>
        <w:pStyle w:val="Zkladntext22"/>
        <w:ind w:firstLine="708"/>
        <w:rPr>
          <w:rFonts w:ascii="Calibri" w:eastAsia="Calibri" w:hAnsi="Calibri" w:cs="Calibri"/>
          <w:bCs/>
          <w:sz w:val="20"/>
          <w:lang w:eastAsia="en-US"/>
        </w:rPr>
      </w:pPr>
    </w:p>
    <w:p w:rsidR="00B473D2" w:rsidRPr="00717E02" w:rsidRDefault="00B473D2" w:rsidP="007A5218">
      <w:pPr>
        <w:pStyle w:val="Zkladntext22"/>
        <w:ind w:firstLine="0"/>
        <w:rPr>
          <w:rFonts w:ascii="Calibri" w:eastAsia="Calibri" w:hAnsi="Calibri" w:cs="Calibri"/>
          <w:bCs/>
          <w:sz w:val="20"/>
          <w:lang w:eastAsia="en-US"/>
        </w:rPr>
      </w:pPr>
      <w:r w:rsidRPr="00717E02">
        <w:rPr>
          <w:rFonts w:ascii="Calibri" w:eastAsia="Calibri" w:hAnsi="Calibri" w:cs="Calibri"/>
          <w:bCs/>
          <w:sz w:val="20"/>
          <w:lang w:eastAsia="en-US"/>
        </w:rPr>
        <w:t xml:space="preserve">Podľa § 6 ods. 1 Vyhl. MV SR č. 699/2004 Z.z. a STN 92 0400 čl. 4.1 sa potreba vody na hasenie rovná maximálne Q = 12 l.s-1 pre v= 1,5 m.s-1 alt. 22m3 ( viď výpočtová príloha). </w:t>
      </w:r>
      <w:r w:rsidRPr="00717E02">
        <w:rPr>
          <w:rFonts w:ascii="Calibri" w:eastAsia="Calibri" w:hAnsi="Calibri" w:cs="Calibri"/>
          <w:bCs/>
          <w:sz w:val="20"/>
          <w:u w:val="single"/>
          <w:lang w:eastAsia="en-US"/>
        </w:rPr>
        <w:t xml:space="preserve">V zmysle </w:t>
      </w:r>
      <w:r w:rsidRPr="00717E02">
        <w:rPr>
          <w:rFonts w:ascii="Calibri" w:hAnsi="Calibri" w:cs="Calibri"/>
          <w:sz w:val="20"/>
          <w:u w:val="single"/>
        </w:rPr>
        <w:t xml:space="preserve">§3  vyhl. </w:t>
      </w:r>
      <w:r w:rsidRPr="00717E02">
        <w:rPr>
          <w:rFonts w:ascii="Calibri" w:eastAsia="Calibri" w:hAnsi="Calibri" w:cs="Calibri"/>
          <w:bCs/>
          <w:sz w:val="20"/>
          <w:u w:val="single"/>
          <w:lang w:eastAsia="en-US"/>
        </w:rPr>
        <w:t>MV 699/2004 Z.z musí byť stavba pre prípad vzniku požiaru zabezpečená vodou na hasenie požiarov.</w:t>
      </w:r>
      <w:r w:rsidRPr="00717E02">
        <w:rPr>
          <w:rFonts w:ascii="Calibri" w:eastAsia="Calibri" w:hAnsi="Calibri" w:cs="Calibri"/>
          <w:bCs/>
          <w:sz w:val="20"/>
          <w:lang w:eastAsia="en-US"/>
        </w:rPr>
        <w:t xml:space="preserve"> </w:t>
      </w:r>
    </w:p>
    <w:p w:rsidR="00B473D2" w:rsidRPr="00717E02" w:rsidRDefault="00B473D2" w:rsidP="007A5218">
      <w:pPr>
        <w:pStyle w:val="Zkladntext22"/>
        <w:ind w:firstLine="0"/>
        <w:rPr>
          <w:rFonts w:ascii="Calibri" w:eastAsia="Calibri" w:hAnsi="Calibri" w:cs="Calibri"/>
          <w:b/>
          <w:bCs/>
          <w:sz w:val="20"/>
          <w:lang w:eastAsia="en-US"/>
        </w:rPr>
      </w:pPr>
      <w:r w:rsidRPr="00717E02">
        <w:rPr>
          <w:rFonts w:ascii="Calibri" w:eastAsia="Calibri" w:hAnsi="Calibri" w:cs="Calibri"/>
          <w:b/>
          <w:bCs/>
          <w:sz w:val="20"/>
          <w:lang w:eastAsia="en-US"/>
        </w:rPr>
        <w:t xml:space="preserve">Potreba vody na hasenie bude zabezpečená z navrhovanej podzemnej požiarnej nádrže s min. objemom vody 22m3, ktorá bude slúžiť ako zdroj vody na hasenie aj pre ostatné objekty v rámci areálu. </w:t>
      </w:r>
    </w:p>
    <w:p w:rsidR="00B473D2" w:rsidRPr="00717E02" w:rsidRDefault="00B473D2" w:rsidP="007A5218">
      <w:pPr>
        <w:pStyle w:val="Zkladntext22"/>
        <w:ind w:firstLine="0"/>
        <w:rPr>
          <w:rFonts w:ascii="Calibri" w:hAnsi="Calibri" w:cs="Calibri"/>
          <w:bCs/>
          <w:color w:val="000000"/>
          <w:kern w:val="1"/>
          <w:sz w:val="20"/>
          <w:shd w:val="clear" w:color="auto" w:fill="FFFFFF"/>
        </w:rPr>
      </w:pPr>
      <w:r w:rsidRPr="00717E02">
        <w:rPr>
          <w:rFonts w:ascii="Calibri" w:eastAsia="Calibri" w:hAnsi="Calibri" w:cs="Calibri"/>
          <w:bCs/>
          <w:sz w:val="20"/>
          <w:lang w:eastAsia="en-US"/>
        </w:rPr>
        <w:t xml:space="preserve">Požiarna nádrž aj odberné miesto z nej bude umiestnené mimo požiarne nebezpečného priestoru stavby, do vzdialenosti 200m od riešenej stavby a však mimo jej požiarne nebezpečného priestoru a pri prístupovej komunikácii (poloha nádrže aj odberného miesta je znázornená v situácii). </w:t>
      </w:r>
    </w:p>
    <w:p w:rsidR="00B473D2" w:rsidRPr="00717E02" w:rsidRDefault="00B473D2" w:rsidP="00B473D2">
      <w:pPr>
        <w:jc w:val="both"/>
        <w:rPr>
          <w:rFonts w:ascii="Calibri" w:eastAsia="Calibri" w:hAnsi="Calibri" w:cs="Calibri"/>
          <w:bCs/>
          <w:sz w:val="20"/>
          <w:u w:val="single"/>
          <w:lang w:eastAsia="en-US"/>
        </w:rPr>
      </w:pPr>
      <w:r w:rsidRPr="00717E02">
        <w:rPr>
          <w:rFonts w:ascii="Calibri" w:eastAsia="Calibri" w:hAnsi="Calibri" w:cs="Calibri"/>
          <w:bCs/>
          <w:sz w:val="20"/>
          <w:u w:val="single"/>
          <w:lang w:eastAsia="en-US"/>
        </w:rPr>
        <w:t>Požiadavky na požiarnu nádrž:</w:t>
      </w:r>
    </w:p>
    <w:p w:rsidR="00B473D2" w:rsidRPr="00717E02" w:rsidRDefault="00B473D2" w:rsidP="009371A4">
      <w:pPr>
        <w:pStyle w:val="Zkladntext22"/>
        <w:numPr>
          <w:ilvl w:val="0"/>
          <w:numId w:val="4"/>
        </w:numPr>
        <w:rPr>
          <w:rFonts w:ascii="Calibri" w:eastAsia="Calibri" w:hAnsi="Calibri" w:cs="Calibri"/>
          <w:bCs/>
          <w:sz w:val="20"/>
          <w:lang w:eastAsia="en-US"/>
        </w:rPr>
      </w:pPr>
      <w:r w:rsidRPr="00717E02">
        <w:rPr>
          <w:rFonts w:ascii="Calibri" w:eastAsia="Calibri" w:hAnsi="Calibri" w:cs="Calibri"/>
          <w:bCs/>
          <w:sz w:val="20"/>
          <w:lang w:eastAsia="en-US"/>
        </w:rPr>
        <w:t>stály objem  vody v nádrži musí byť 22m3</w:t>
      </w:r>
    </w:p>
    <w:p w:rsidR="00B473D2" w:rsidRPr="00717E02" w:rsidRDefault="00B473D2" w:rsidP="009371A4">
      <w:pPr>
        <w:pStyle w:val="Zkladntext22"/>
        <w:numPr>
          <w:ilvl w:val="0"/>
          <w:numId w:val="4"/>
        </w:numPr>
        <w:rPr>
          <w:rFonts w:ascii="Calibri" w:eastAsia="Calibri" w:hAnsi="Calibri" w:cs="Calibri"/>
          <w:bCs/>
          <w:sz w:val="20"/>
          <w:lang w:eastAsia="en-US"/>
        </w:rPr>
      </w:pPr>
      <w:r w:rsidRPr="00717E02">
        <w:rPr>
          <w:rFonts w:ascii="Calibri" w:eastAsia="Calibri" w:hAnsi="Calibri" w:cs="Calibri"/>
          <w:bCs/>
          <w:sz w:val="20"/>
          <w:lang w:eastAsia="en-US"/>
        </w:rPr>
        <w:t>voda v nádrži musí byť dostatočne čistá, ktorá nepôsobí chemicky na steny nádrže a je bez piesku a iných splavenín alebo plávajúcich látok</w:t>
      </w:r>
    </w:p>
    <w:p w:rsidR="00B473D2" w:rsidRPr="00717E02" w:rsidRDefault="00B473D2" w:rsidP="009371A4">
      <w:pPr>
        <w:pStyle w:val="Zkladntext22"/>
        <w:numPr>
          <w:ilvl w:val="0"/>
          <w:numId w:val="4"/>
        </w:numPr>
        <w:rPr>
          <w:rFonts w:ascii="Calibri" w:eastAsia="Calibri" w:hAnsi="Calibri" w:cs="Calibri"/>
          <w:bCs/>
          <w:sz w:val="20"/>
          <w:lang w:eastAsia="en-US"/>
        </w:rPr>
      </w:pPr>
      <w:r w:rsidRPr="00717E02">
        <w:rPr>
          <w:rFonts w:ascii="Calibri" w:eastAsia="Calibri" w:hAnsi="Calibri" w:cs="Calibri"/>
          <w:bCs/>
          <w:sz w:val="20"/>
          <w:lang w:eastAsia="en-US"/>
        </w:rPr>
        <w:t xml:space="preserve">musí byť zabezpečená proti nekontrolovateľnému prítoku nečistých povrchových vôd z okolia </w:t>
      </w:r>
    </w:p>
    <w:p w:rsidR="00B473D2" w:rsidRPr="00717E02" w:rsidRDefault="00B473D2" w:rsidP="009371A4">
      <w:pPr>
        <w:pStyle w:val="Zkladntext22"/>
        <w:numPr>
          <w:ilvl w:val="0"/>
          <w:numId w:val="4"/>
        </w:numPr>
        <w:rPr>
          <w:rFonts w:ascii="Calibri" w:eastAsia="Calibri" w:hAnsi="Calibri" w:cs="Calibri"/>
          <w:bCs/>
          <w:sz w:val="20"/>
          <w:lang w:eastAsia="en-US"/>
        </w:rPr>
      </w:pPr>
      <w:r w:rsidRPr="00717E02">
        <w:rPr>
          <w:rFonts w:ascii="Calibri" w:eastAsia="Calibri" w:hAnsi="Calibri" w:cs="Calibri"/>
          <w:bCs/>
          <w:sz w:val="20"/>
          <w:lang w:eastAsia="en-US"/>
        </w:rPr>
        <w:t xml:space="preserve">požiarna nádrž bude plnená aj dažďovou vodou a vodou z areálového vodovodného potrubia (aby bol zabezpečený požadovaný objem vody) </w:t>
      </w:r>
    </w:p>
    <w:p w:rsidR="00B473D2" w:rsidRPr="00717E02" w:rsidRDefault="00B473D2" w:rsidP="009371A4">
      <w:pPr>
        <w:pStyle w:val="Zkladntext22"/>
        <w:numPr>
          <w:ilvl w:val="0"/>
          <w:numId w:val="4"/>
        </w:numPr>
        <w:rPr>
          <w:rFonts w:ascii="Calibri" w:eastAsia="Calibri" w:hAnsi="Calibri" w:cs="Calibri"/>
          <w:bCs/>
          <w:sz w:val="20"/>
          <w:lang w:eastAsia="en-US"/>
        </w:rPr>
      </w:pPr>
      <w:r w:rsidRPr="00717E02">
        <w:rPr>
          <w:rFonts w:ascii="Calibri" w:eastAsia="Calibri" w:hAnsi="Calibri" w:cs="Calibri"/>
          <w:bCs/>
          <w:sz w:val="20"/>
          <w:lang w:eastAsia="en-US"/>
        </w:rPr>
        <w:t>najmenšia hĺbka dna nádrže pod terénom je 170cm.</w:t>
      </w:r>
    </w:p>
    <w:p w:rsidR="00B473D2" w:rsidRPr="00717E02" w:rsidRDefault="00B473D2" w:rsidP="009371A4">
      <w:pPr>
        <w:pStyle w:val="Zkladntext22"/>
        <w:numPr>
          <w:ilvl w:val="0"/>
          <w:numId w:val="4"/>
        </w:numPr>
        <w:rPr>
          <w:rFonts w:ascii="Calibri" w:eastAsia="Calibri" w:hAnsi="Calibri" w:cs="Calibri"/>
          <w:bCs/>
          <w:sz w:val="20"/>
          <w:lang w:eastAsia="en-US"/>
        </w:rPr>
      </w:pPr>
      <w:r w:rsidRPr="00717E02">
        <w:rPr>
          <w:rFonts w:ascii="Calibri" w:eastAsia="Calibri" w:hAnsi="Calibri" w:cs="Calibri"/>
          <w:bCs/>
          <w:sz w:val="20"/>
          <w:lang w:eastAsia="en-US"/>
        </w:rPr>
        <w:t>dno nádrže musí mať spád zo všetkých strán ku kalovej jímke, tak upravená, aby bolo možné vypustiť a vyčerpať celý obsah nádrže</w:t>
      </w:r>
    </w:p>
    <w:p w:rsidR="00B473D2" w:rsidRPr="00717E02" w:rsidRDefault="00B473D2" w:rsidP="009371A4">
      <w:pPr>
        <w:pStyle w:val="Zkladntext22"/>
        <w:numPr>
          <w:ilvl w:val="0"/>
          <w:numId w:val="4"/>
        </w:numPr>
        <w:rPr>
          <w:rFonts w:ascii="Calibri" w:eastAsia="Calibri" w:hAnsi="Calibri" w:cs="Calibri"/>
          <w:bCs/>
          <w:sz w:val="20"/>
          <w:lang w:eastAsia="en-US"/>
        </w:rPr>
      </w:pPr>
      <w:r w:rsidRPr="00717E02">
        <w:rPr>
          <w:rFonts w:ascii="Calibri" w:eastAsia="Calibri" w:hAnsi="Calibri" w:cs="Calibri"/>
          <w:bCs/>
          <w:sz w:val="20"/>
          <w:lang w:eastAsia="en-US"/>
        </w:rPr>
        <w:t>podľa STN 92400 nádrž bude opatrená trvalo zabudovaným zariadením na dodávku vody v súlade s STN 73 6639</w:t>
      </w:r>
    </w:p>
    <w:p w:rsidR="00B473D2" w:rsidRPr="00717E02" w:rsidRDefault="00B473D2" w:rsidP="009371A4">
      <w:pPr>
        <w:pStyle w:val="Zkladntext22"/>
        <w:numPr>
          <w:ilvl w:val="0"/>
          <w:numId w:val="4"/>
        </w:numPr>
        <w:rPr>
          <w:rFonts w:ascii="Calibri" w:eastAsia="Calibri" w:hAnsi="Calibri" w:cs="Calibri"/>
          <w:bCs/>
          <w:sz w:val="20"/>
          <w:lang w:eastAsia="en-US"/>
        </w:rPr>
      </w:pPr>
      <w:r w:rsidRPr="00717E02">
        <w:rPr>
          <w:rFonts w:ascii="Calibri" w:eastAsia="Calibri" w:hAnsi="Calibri" w:cs="Calibri"/>
          <w:bCs/>
          <w:sz w:val="20"/>
          <w:lang w:eastAsia="en-US"/>
        </w:rPr>
        <w:t xml:space="preserve">dimenzia  hadicovej spojky na napojenie čerpadla hasičského vozidla je DN 110 podľa STN 92 400, čas dopĺňania zdroja vody na požadované množstvo po jeho vyčerpaní nemá byť dlhší ako 36 hodín </w:t>
      </w:r>
    </w:p>
    <w:p w:rsidR="00B473D2" w:rsidRPr="00717E02" w:rsidRDefault="00B473D2" w:rsidP="009371A4">
      <w:pPr>
        <w:pStyle w:val="Zkladntext22"/>
        <w:numPr>
          <w:ilvl w:val="0"/>
          <w:numId w:val="4"/>
        </w:numPr>
        <w:rPr>
          <w:rFonts w:ascii="Calibri" w:eastAsia="Calibri" w:hAnsi="Calibri" w:cs="Calibri"/>
          <w:bCs/>
          <w:sz w:val="20"/>
          <w:lang w:eastAsia="en-US"/>
        </w:rPr>
      </w:pPr>
      <w:r w:rsidRPr="00717E02">
        <w:rPr>
          <w:rFonts w:ascii="Calibri" w:eastAsia="Calibri" w:hAnsi="Calibri" w:cs="Calibri"/>
          <w:bCs/>
          <w:sz w:val="20"/>
          <w:lang w:eastAsia="en-US"/>
        </w:rPr>
        <w:t>do nádrže musí byť zriadený vstup s rebríkom</w:t>
      </w:r>
    </w:p>
    <w:p w:rsidR="00717E02" w:rsidRDefault="00717E02" w:rsidP="00B473D2">
      <w:pPr>
        <w:ind w:left="1080" w:hanging="1080"/>
        <w:jc w:val="both"/>
        <w:rPr>
          <w:rFonts w:ascii="Calibri" w:eastAsia="Calibri" w:hAnsi="Calibri" w:cs="Calibri"/>
          <w:bCs/>
          <w:sz w:val="20"/>
          <w:lang w:eastAsia="en-US"/>
        </w:rPr>
      </w:pPr>
    </w:p>
    <w:p w:rsidR="00B473D2" w:rsidRPr="00717E02" w:rsidRDefault="00B473D2" w:rsidP="00B473D2">
      <w:pPr>
        <w:ind w:left="1080" w:hanging="1080"/>
        <w:jc w:val="both"/>
        <w:rPr>
          <w:rFonts w:ascii="Calibri" w:hAnsi="Calibri" w:cs="Calibri"/>
          <w:sz w:val="20"/>
        </w:rPr>
      </w:pPr>
      <w:r w:rsidRPr="00717E02">
        <w:rPr>
          <w:rFonts w:ascii="Calibri" w:eastAsia="Calibri" w:hAnsi="Calibri" w:cs="Calibri"/>
          <w:bCs/>
          <w:sz w:val="20"/>
          <w:lang w:eastAsia="en-US"/>
        </w:rPr>
        <w:t xml:space="preserve">Zdroj vody </w:t>
      </w:r>
      <w:r w:rsidRPr="00717E02">
        <w:rPr>
          <w:rFonts w:ascii="Calibri" w:hAnsi="Calibri" w:cs="Calibri"/>
          <w:sz w:val="20"/>
        </w:rPr>
        <w:t>na hasenie požiarov</w:t>
      </w:r>
      <w:r w:rsidRPr="00717E02">
        <w:rPr>
          <w:rFonts w:ascii="Calibri" w:eastAsia="Calibri" w:hAnsi="Calibri" w:cs="Calibri"/>
          <w:bCs/>
          <w:sz w:val="20"/>
          <w:lang w:eastAsia="en-US"/>
        </w:rPr>
        <w:t xml:space="preserve"> (požiarna nádrž) musí spĺňať nasledovné požiadavky ( v zmysle </w:t>
      </w:r>
      <w:r w:rsidRPr="00717E02">
        <w:rPr>
          <w:rFonts w:ascii="Calibri" w:hAnsi="Calibri" w:cs="Calibri"/>
          <w:sz w:val="20"/>
        </w:rPr>
        <w:t xml:space="preserve">§ 4 ods.1 , ods. 3  vyhl. </w:t>
      </w:r>
      <w:r w:rsidRPr="00717E02">
        <w:rPr>
          <w:rFonts w:ascii="Calibri" w:eastAsia="Calibri" w:hAnsi="Calibri" w:cs="Calibri"/>
          <w:bCs/>
          <w:sz w:val="20"/>
          <w:lang w:eastAsia="en-US"/>
        </w:rPr>
        <w:t>MV 699/2004 Z.z. a STN 73 6639, STN92 0400)</w:t>
      </w:r>
      <w:r w:rsidRPr="00717E02">
        <w:rPr>
          <w:rFonts w:ascii="Calibri" w:hAnsi="Calibri" w:cs="Calibri"/>
          <w:sz w:val="20"/>
        </w:rPr>
        <w:t xml:space="preserve"> :</w:t>
      </w:r>
    </w:p>
    <w:p w:rsidR="00B473D2" w:rsidRPr="00717E02" w:rsidRDefault="00B473D2" w:rsidP="009371A4">
      <w:pPr>
        <w:numPr>
          <w:ilvl w:val="0"/>
          <w:numId w:val="4"/>
        </w:numPr>
        <w:suppressAutoHyphens/>
        <w:jc w:val="both"/>
        <w:rPr>
          <w:rFonts w:ascii="Calibri" w:eastAsia="Calibri" w:hAnsi="Calibri" w:cs="Calibri"/>
          <w:bCs/>
          <w:sz w:val="20"/>
          <w:lang w:eastAsia="en-US"/>
        </w:rPr>
      </w:pPr>
      <w:r w:rsidRPr="00717E02">
        <w:rPr>
          <w:rFonts w:ascii="Calibri" w:eastAsia="Calibri" w:hAnsi="Calibri" w:cs="Calibri"/>
          <w:bCs/>
          <w:sz w:val="20"/>
          <w:lang w:eastAsia="en-US"/>
        </w:rPr>
        <w:t xml:space="preserve">1. zdroj vody musí byť schopný trvalo zabezpečovať potrebu vody na hasenie požiarov najmenej po dobu 30 minút </w:t>
      </w:r>
    </w:p>
    <w:p w:rsidR="00B473D2" w:rsidRPr="00717E02" w:rsidRDefault="00B473D2" w:rsidP="009371A4">
      <w:pPr>
        <w:numPr>
          <w:ilvl w:val="0"/>
          <w:numId w:val="4"/>
        </w:numPr>
        <w:suppressAutoHyphens/>
        <w:jc w:val="both"/>
        <w:rPr>
          <w:rFonts w:ascii="Calibri" w:eastAsia="Calibri" w:hAnsi="Calibri" w:cs="Calibri"/>
          <w:bCs/>
          <w:sz w:val="20"/>
          <w:lang w:eastAsia="en-US"/>
        </w:rPr>
      </w:pPr>
      <w:r w:rsidRPr="00717E02">
        <w:rPr>
          <w:rFonts w:ascii="Calibri" w:eastAsia="Calibri" w:hAnsi="Calibri" w:cs="Calibri"/>
          <w:bCs/>
          <w:sz w:val="20"/>
          <w:lang w:eastAsia="en-US"/>
        </w:rPr>
        <w:t xml:space="preserve">2. musí mať vyhovujúce podmienky na čerpanie vody t. z.: </w:t>
      </w:r>
    </w:p>
    <w:p w:rsidR="00B473D2" w:rsidRPr="00717E02" w:rsidRDefault="00B473D2" w:rsidP="00B473D2">
      <w:pPr>
        <w:ind w:left="1080"/>
        <w:jc w:val="both"/>
        <w:rPr>
          <w:rFonts w:ascii="Calibri" w:eastAsia="Calibri" w:hAnsi="Calibri" w:cs="Calibri"/>
          <w:bCs/>
          <w:sz w:val="20"/>
          <w:lang w:eastAsia="en-US"/>
        </w:rPr>
      </w:pPr>
      <w:r w:rsidRPr="00717E02">
        <w:rPr>
          <w:rFonts w:ascii="Calibri" w:eastAsia="Calibri" w:hAnsi="Calibri" w:cs="Calibri"/>
          <w:bCs/>
          <w:sz w:val="20"/>
          <w:lang w:eastAsia="en-US"/>
        </w:rPr>
        <w:t xml:space="preserve">je k nemu vybudovaná prístupová komunikácia,(v zmysle </w:t>
      </w:r>
      <w:r w:rsidRPr="00717E02">
        <w:rPr>
          <w:rFonts w:ascii="Calibri" w:hAnsi="Calibri" w:cs="Calibri"/>
          <w:sz w:val="20"/>
        </w:rPr>
        <w:t>§</w:t>
      </w:r>
      <w:r w:rsidRPr="00717E02">
        <w:rPr>
          <w:rFonts w:ascii="Calibri" w:eastAsia="Calibri" w:hAnsi="Calibri" w:cs="Calibri"/>
          <w:bCs/>
          <w:sz w:val="20"/>
          <w:lang w:eastAsia="en-US"/>
        </w:rPr>
        <w:t xml:space="preserve">82 ods. 3 </w:t>
      </w:r>
      <w:r w:rsidRPr="00717E02">
        <w:rPr>
          <w:rFonts w:ascii="Calibri" w:hAnsi="Calibri" w:cs="Calibri"/>
          <w:sz w:val="20"/>
        </w:rPr>
        <w:t xml:space="preserve">Vyhl. </w:t>
      </w:r>
      <w:r w:rsidRPr="00717E02">
        <w:rPr>
          <w:rFonts w:ascii="Calibri" w:eastAsia="Calibri" w:hAnsi="Calibri" w:cs="Calibri"/>
          <w:bCs/>
          <w:sz w:val="20"/>
          <w:lang w:eastAsia="en-US"/>
        </w:rPr>
        <w:t>MV 94/2004 Z.z viď. časť správy zariadenia na zásah), je vytvorené čerpacie miesto vhodné pre používanú hasičskú techniku, ktoré je označené dopravnou značkou ZÁKAZ STÁTIA</w:t>
      </w:r>
      <w:r w:rsidRPr="00717E02">
        <w:rPr>
          <w:rFonts w:ascii="Calibri" w:eastAsia="Calibri" w:hAnsi="Calibri" w:cs="Calibri"/>
          <w:bCs/>
          <w:sz w:val="20"/>
          <w:lang w:eastAsia="en-US"/>
        </w:rPr>
        <w:br/>
        <w:t>a podmienky zdroja vody musia zodpovedať technickým možnostiam používanej hasičskej techniky</w:t>
      </w:r>
    </w:p>
    <w:p w:rsidR="00B473D2" w:rsidRPr="00717E02" w:rsidRDefault="00B473D2" w:rsidP="009371A4">
      <w:pPr>
        <w:numPr>
          <w:ilvl w:val="0"/>
          <w:numId w:val="4"/>
        </w:numPr>
        <w:suppressAutoHyphens/>
        <w:jc w:val="both"/>
        <w:rPr>
          <w:rFonts w:ascii="Calibri" w:eastAsia="Calibri" w:hAnsi="Calibri" w:cs="Calibri"/>
          <w:bCs/>
          <w:sz w:val="20"/>
          <w:lang w:eastAsia="en-US"/>
        </w:rPr>
      </w:pPr>
      <w:r w:rsidRPr="00717E02">
        <w:rPr>
          <w:rFonts w:ascii="Calibri" w:eastAsia="Calibri" w:hAnsi="Calibri" w:cs="Calibri"/>
          <w:bCs/>
          <w:sz w:val="20"/>
          <w:lang w:eastAsia="en-US"/>
        </w:rPr>
        <w:t>vzdialenosť od stavby je najviac 200 m; vzdialenosť môže byť väčšia, najviac však 600 m, ak potrebnú dodávku vody na hasenie požiaru pomocou kyvadlovej dopravy z tohto zdroja možno vykonať najviac dvoma cisternovými automobilovými striekačkami.</w:t>
      </w:r>
    </w:p>
    <w:p w:rsidR="00717E02" w:rsidRDefault="00717E02" w:rsidP="00717E02">
      <w:pPr>
        <w:pStyle w:val="Zkladntext22"/>
        <w:ind w:firstLine="0"/>
        <w:rPr>
          <w:rFonts w:ascii="Calibri" w:eastAsia="Calibri" w:hAnsi="Calibri" w:cs="Calibri"/>
          <w:bCs/>
          <w:sz w:val="20"/>
          <w:lang w:eastAsia="en-US"/>
        </w:rPr>
      </w:pPr>
    </w:p>
    <w:p w:rsidR="00B473D2" w:rsidRPr="00717E02" w:rsidRDefault="00B473D2" w:rsidP="00717E02">
      <w:pPr>
        <w:pStyle w:val="Zkladntext22"/>
        <w:ind w:firstLine="0"/>
        <w:rPr>
          <w:rFonts w:ascii="Calibri" w:eastAsia="Calibri" w:hAnsi="Calibri" w:cs="Calibri"/>
          <w:bCs/>
          <w:sz w:val="20"/>
          <w:lang w:eastAsia="en-US"/>
        </w:rPr>
      </w:pPr>
      <w:r w:rsidRPr="00717E02">
        <w:rPr>
          <w:rFonts w:ascii="Calibri" w:eastAsia="Calibri" w:hAnsi="Calibri" w:cs="Calibri"/>
          <w:bCs/>
          <w:sz w:val="20"/>
          <w:lang w:eastAsia="en-US"/>
        </w:rPr>
        <w:t xml:space="preserve">Odberné miesto musí byť viditeľne označené červenou farbou a umiestnené tak, aby bolo vždy prístupné pre hasičskú techniku a prevádzkyschopné, odberné miesta nesmú byť vyústené v mieste parkovacích státí pre motorové vozidlá, ktoré by mohli prípadne obmedziť prístup hasičských vozidiel k odberným miestam  (v zmysle ods. 7 </w:t>
      </w:r>
      <w:r w:rsidRPr="00717E02">
        <w:rPr>
          <w:rFonts w:ascii="Calibri" w:hAnsi="Calibri" w:cs="Calibri"/>
          <w:sz w:val="20"/>
        </w:rPr>
        <w:t xml:space="preserve">§ 8  vyhl. </w:t>
      </w:r>
      <w:r w:rsidRPr="00717E02">
        <w:rPr>
          <w:rFonts w:ascii="Calibri" w:eastAsia="Calibri" w:hAnsi="Calibri" w:cs="Calibri"/>
          <w:bCs/>
          <w:sz w:val="20"/>
          <w:lang w:eastAsia="en-US"/>
        </w:rPr>
        <w:t xml:space="preserve">MV 699/2004 Z.z..). </w:t>
      </w:r>
    </w:p>
    <w:p w:rsidR="00B473D2" w:rsidRPr="00717E02" w:rsidRDefault="00B473D2" w:rsidP="00717E02">
      <w:pPr>
        <w:pStyle w:val="Zkladntext22"/>
        <w:ind w:firstLine="0"/>
        <w:rPr>
          <w:rFonts w:ascii="Calibri" w:eastAsia="Calibri" w:hAnsi="Calibri" w:cs="Calibri"/>
          <w:bCs/>
          <w:sz w:val="20"/>
          <w:lang w:eastAsia="en-US"/>
        </w:rPr>
      </w:pPr>
      <w:r w:rsidRPr="00717E02">
        <w:rPr>
          <w:rFonts w:ascii="Calibri" w:eastAsia="Calibri" w:hAnsi="Calibri" w:cs="Calibri"/>
          <w:bCs/>
          <w:sz w:val="20"/>
          <w:lang w:eastAsia="en-US"/>
        </w:rPr>
        <w:t xml:space="preserve">Hadicové zariadenie nie je navrhované podľa čl. 3.4.2 c), a)  STN 92 0400 a v zmysle vyhl. MV 699/2004 Z.z. </w:t>
      </w:r>
    </w:p>
    <w:p w:rsidR="00B473D2" w:rsidRPr="00717E02" w:rsidRDefault="00B473D2" w:rsidP="00B473D2">
      <w:pPr>
        <w:jc w:val="both"/>
        <w:rPr>
          <w:rFonts w:ascii="Calibri" w:eastAsia="Calibri" w:hAnsi="Calibri" w:cs="Calibri"/>
          <w:bCs/>
          <w:sz w:val="20"/>
          <w:lang w:eastAsia="en-US"/>
        </w:rPr>
      </w:pPr>
    </w:p>
    <w:p w:rsidR="00B473D2" w:rsidRPr="00717E02" w:rsidRDefault="00B473D2" w:rsidP="00B473D2">
      <w:pPr>
        <w:jc w:val="both"/>
        <w:rPr>
          <w:rFonts w:ascii="Calibri" w:hAnsi="Calibri" w:cs="Calibri"/>
          <w:b/>
          <w:sz w:val="20"/>
        </w:rPr>
      </w:pPr>
      <w:r w:rsidRPr="00717E02">
        <w:rPr>
          <w:rFonts w:ascii="Calibri" w:hAnsi="Calibri" w:cs="Calibri"/>
          <w:b/>
          <w:sz w:val="20"/>
        </w:rPr>
        <w:t>Prenosné hasiace prístroje</w:t>
      </w:r>
    </w:p>
    <w:p w:rsidR="00B473D2" w:rsidRPr="00717E02" w:rsidRDefault="00B473D2" w:rsidP="00B473D2">
      <w:pPr>
        <w:ind w:firstLine="708"/>
        <w:jc w:val="both"/>
        <w:rPr>
          <w:rFonts w:ascii="Calibri" w:hAnsi="Calibri" w:cs="Calibri"/>
          <w:bCs/>
          <w:sz w:val="20"/>
        </w:rPr>
      </w:pPr>
    </w:p>
    <w:p w:rsidR="00B473D2" w:rsidRPr="00717E02" w:rsidRDefault="00B473D2" w:rsidP="007A5218">
      <w:pPr>
        <w:jc w:val="both"/>
        <w:rPr>
          <w:rFonts w:ascii="Calibri" w:hAnsi="Calibri" w:cs="Calibri"/>
          <w:bCs/>
          <w:sz w:val="20"/>
        </w:rPr>
      </w:pPr>
      <w:r w:rsidRPr="00717E02">
        <w:rPr>
          <w:rFonts w:ascii="Calibri" w:hAnsi="Calibri" w:cs="Calibri"/>
          <w:bCs/>
          <w:sz w:val="20"/>
        </w:rPr>
        <w:t xml:space="preserve">Pre rýchly zásah proti požiaru musia byť požiarne úseky v objekte vybavené prenosnými hasiacimi prístrojmi. Navrhované sú práškové hasiace prístroje s náplňou 6 kg prášku ABC.  </w:t>
      </w:r>
    </w:p>
    <w:p w:rsidR="00B473D2" w:rsidRPr="00717E02" w:rsidRDefault="00B473D2" w:rsidP="007A5218">
      <w:pPr>
        <w:pStyle w:val="Zkladntext22"/>
        <w:ind w:firstLine="0"/>
        <w:rPr>
          <w:rFonts w:ascii="Calibri" w:eastAsia="Calibri" w:hAnsi="Calibri" w:cs="Calibri"/>
          <w:bCs/>
          <w:sz w:val="20"/>
          <w:lang w:eastAsia="en-US"/>
        </w:rPr>
      </w:pPr>
      <w:r w:rsidRPr="00717E02">
        <w:rPr>
          <w:rFonts w:ascii="Calibri" w:eastAsia="Calibri" w:hAnsi="Calibri" w:cs="Calibri"/>
          <w:bCs/>
          <w:sz w:val="20"/>
          <w:lang w:eastAsia="en-US"/>
        </w:rPr>
        <w:t xml:space="preserve">Práškové hasiace prístroje môžu byť pre hasenie prípadného požiaru citlivej elektroniky v plnom rozsahu nahradené CO2 hasiacimi prístrojmi s hmotnosťou hasiacej látky min. 5 kg. </w:t>
      </w:r>
    </w:p>
    <w:p w:rsidR="00B473D2" w:rsidRPr="00717E02" w:rsidRDefault="00B473D2" w:rsidP="007A5218">
      <w:pPr>
        <w:pStyle w:val="Zkladntext22"/>
        <w:ind w:firstLine="0"/>
        <w:rPr>
          <w:rFonts w:ascii="Calibri" w:eastAsia="Calibri" w:hAnsi="Calibri" w:cs="Calibri"/>
          <w:bCs/>
          <w:sz w:val="20"/>
          <w:lang w:eastAsia="en-US"/>
        </w:rPr>
      </w:pPr>
      <w:r w:rsidRPr="00717E02">
        <w:rPr>
          <w:rFonts w:ascii="Calibri" w:eastAsia="Calibri" w:hAnsi="Calibri" w:cs="Calibri"/>
          <w:bCs/>
          <w:sz w:val="20"/>
          <w:lang w:eastAsia="en-US"/>
        </w:rPr>
        <w:t>Pre zámenu každého prenosného hasiaceho prístroja práškového ABC 6 kg za CO2 hasiace prístroje 5 kg platí, že 1 kus hasiaci prístroj ABC 6 kg musí byť nahradený vždy 2 kusmi hasiacich prístrojov CO2 5 kg.</w:t>
      </w:r>
    </w:p>
    <w:p w:rsidR="00B473D2" w:rsidRPr="00717E02" w:rsidRDefault="00B473D2" w:rsidP="007A5218">
      <w:pPr>
        <w:pStyle w:val="Zkladntext22"/>
        <w:ind w:firstLine="0"/>
        <w:rPr>
          <w:rFonts w:ascii="Calibri" w:eastAsia="Calibri" w:hAnsi="Calibri" w:cs="Calibri"/>
          <w:bCs/>
          <w:sz w:val="20"/>
          <w:lang w:eastAsia="en-US"/>
        </w:rPr>
      </w:pPr>
      <w:r w:rsidRPr="00717E02">
        <w:rPr>
          <w:rFonts w:ascii="Calibri" w:eastAsia="Calibri" w:hAnsi="Calibri" w:cs="Calibri"/>
          <w:bCs/>
          <w:sz w:val="20"/>
          <w:lang w:eastAsia="en-US"/>
        </w:rPr>
        <w:t xml:space="preserve">Hasiace prístroje je potrebné umiestniť tak, aby rukoväť prístroja bola najviac 1,5 m nad podlahou a vo vzájomných vzdialenostiach max. 30m. K prenosným hasiacim prístrojom musí byť zabezpečený trvale voľný </w:t>
      </w:r>
      <w:r w:rsidRPr="00717E02">
        <w:rPr>
          <w:rFonts w:ascii="Calibri" w:eastAsia="Calibri" w:hAnsi="Calibri" w:cs="Calibri"/>
          <w:bCs/>
          <w:sz w:val="20"/>
          <w:lang w:eastAsia="en-US"/>
        </w:rPr>
        <w:lastRenderedPageBreak/>
        <w:t>prístup. Hasiace prístroje nesmú byť vystavené sálavému teplu ani priamemu slnečnému žiareniu, ktoré by mohlo spôsobiť zvýšenie ich teploty nad povolenú teplotu uvedenú výrobcom v súlade s STN 920202-1. Miesta osadenia musia byť  označené piktogramami podľa nariadenia vlády SR č.387/2006 Z.z.</w:t>
      </w:r>
    </w:p>
    <w:p w:rsidR="00B473D2" w:rsidRPr="00717E02" w:rsidRDefault="00B473D2" w:rsidP="007A5218">
      <w:pPr>
        <w:jc w:val="both"/>
        <w:rPr>
          <w:rFonts w:ascii="Calibri" w:hAnsi="Calibri" w:cs="Calibri"/>
          <w:sz w:val="20"/>
          <w:u w:val="single"/>
        </w:rPr>
      </w:pPr>
      <w:r w:rsidRPr="00717E02">
        <w:rPr>
          <w:rFonts w:ascii="Calibri" w:hAnsi="Calibri" w:cs="Calibri"/>
          <w:sz w:val="20"/>
          <w:u w:val="single"/>
        </w:rPr>
        <w:t xml:space="preserve">Rozmiestnenie hasiacich prístrojov je znázornené vo výkresovej časti a stanovenie počtu je uvedené vo výpočtovej prílohe. </w:t>
      </w:r>
    </w:p>
    <w:p w:rsidR="00B473D2" w:rsidRPr="00717E02" w:rsidRDefault="00B473D2" w:rsidP="00B473D2">
      <w:pPr>
        <w:ind w:firstLine="709"/>
        <w:jc w:val="both"/>
        <w:rPr>
          <w:rFonts w:ascii="Calibri" w:hAnsi="Calibri" w:cs="Calibri"/>
          <w:sz w:val="20"/>
          <w:u w:val="single"/>
        </w:rPr>
      </w:pPr>
    </w:p>
    <w:p w:rsidR="00B473D2" w:rsidRPr="00717E02" w:rsidRDefault="00B473D2" w:rsidP="00165ED7">
      <w:pPr>
        <w:pStyle w:val="Nadpis1"/>
      </w:pPr>
      <w:r w:rsidRPr="00717E02">
        <w:t>Elektroinštalácie ( Silnoprúd, slaboprúd)</w:t>
      </w:r>
    </w:p>
    <w:p w:rsidR="00B473D2" w:rsidRPr="00717E02" w:rsidRDefault="00B473D2" w:rsidP="007A5218">
      <w:pPr>
        <w:jc w:val="both"/>
        <w:rPr>
          <w:rFonts w:ascii="Calibri" w:eastAsia="Calibri" w:hAnsi="Calibri" w:cs="Calibri"/>
          <w:sz w:val="20"/>
          <w:lang w:eastAsia="en-US"/>
        </w:rPr>
      </w:pPr>
    </w:p>
    <w:p w:rsidR="00B473D2" w:rsidRPr="00717E02" w:rsidRDefault="00B473D2" w:rsidP="007A5218">
      <w:pPr>
        <w:jc w:val="both"/>
        <w:rPr>
          <w:rFonts w:ascii="Calibri" w:hAnsi="Calibri" w:cs="Calibri"/>
          <w:sz w:val="20"/>
        </w:rPr>
      </w:pPr>
      <w:r w:rsidRPr="00717E02">
        <w:rPr>
          <w:rFonts w:ascii="Calibri" w:hAnsi="Calibri" w:cs="Calibri"/>
          <w:sz w:val="20"/>
        </w:rPr>
        <w:t xml:space="preserve">Pre budovu bude spracovaný Protokol o určení prostredia a o určení vonkajších vplyvov. Rozvody a zariadenia sa navrhujú v súlade s príslušnými predpismi a normami. </w:t>
      </w:r>
    </w:p>
    <w:p w:rsidR="00B473D2" w:rsidRPr="00717E02" w:rsidRDefault="00B473D2" w:rsidP="007A5218">
      <w:pPr>
        <w:jc w:val="both"/>
        <w:rPr>
          <w:rFonts w:ascii="Calibri" w:hAnsi="Calibri" w:cs="Calibri"/>
          <w:sz w:val="20"/>
        </w:rPr>
      </w:pPr>
      <w:r w:rsidRPr="00717E02">
        <w:rPr>
          <w:rFonts w:ascii="Calibri" w:hAnsi="Calibri" w:cs="Calibri"/>
          <w:sz w:val="20"/>
        </w:rPr>
        <w:t xml:space="preserve">Ochrana proti atmosférickým výbojom je navrhnutá v súlade s príslušnými STN EN 62305-1 až 4. </w:t>
      </w:r>
      <w:r w:rsidRPr="00717E02">
        <w:rPr>
          <w:rFonts w:ascii="Calibri" w:eastAsia="Calibri" w:hAnsi="Calibri" w:cs="Calibri"/>
          <w:bCs/>
          <w:sz w:val="20"/>
          <w:lang w:eastAsia="en-US"/>
        </w:rPr>
        <w:t>Bleskozvod (zariadenie na ochranu pred účinkami atmosférickej elektriny) bude mať vedenia a zvody upevnené tak, aby boli dodržané požiadavky STN EN 62305-1 až 4.</w:t>
      </w:r>
      <w:r w:rsidRPr="00717E02">
        <w:rPr>
          <w:rFonts w:ascii="Calibri" w:hAnsi="Calibri" w:cs="Calibri"/>
          <w:sz w:val="20"/>
        </w:rPr>
        <w:t xml:space="preserve"> </w:t>
      </w:r>
    </w:p>
    <w:p w:rsidR="00B473D2" w:rsidRPr="00717E02" w:rsidRDefault="00B473D2" w:rsidP="007A5218">
      <w:pPr>
        <w:jc w:val="both"/>
        <w:rPr>
          <w:rFonts w:ascii="Calibri" w:hAnsi="Calibri" w:cs="Calibri"/>
          <w:sz w:val="20"/>
        </w:rPr>
      </w:pPr>
      <w:r w:rsidRPr="00717E02">
        <w:rPr>
          <w:rFonts w:ascii="Calibri" w:hAnsi="Calibri" w:cs="Calibri"/>
          <w:sz w:val="20"/>
        </w:rPr>
        <w:t>V pivničnom priestore odporúčam inštalovať svietidlá núdzového osvetlenia s vlastným batériovým zdrojom, kvôli zaisteniu bezpečnosti úniku (aspoň nad únikové dvere). Funkčná odolnosť trasy káblov na trvalú dodávku elektrickej energie pre núdzové osvetlenie je min. 60minút. Vzhľadom nato, že núdzové osvetlenie nie je napojené na náhradný zdroj ale má vlastné akumulátory, nie je potrebné naň použiť káble B2ca-s1, d1, a1.</w:t>
      </w:r>
    </w:p>
    <w:p w:rsidR="00B473D2" w:rsidRPr="00717E02" w:rsidRDefault="00B473D2" w:rsidP="007A5218">
      <w:pPr>
        <w:jc w:val="both"/>
        <w:rPr>
          <w:rFonts w:ascii="Calibri" w:hAnsi="Calibri" w:cs="Calibri"/>
          <w:sz w:val="20"/>
        </w:rPr>
      </w:pPr>
      <w:r w:rsidRPr="00717E02">
        <w:rPr>
          <w:rFonts w:ascii="Calibri" w:hAnsi="Calibri" w:cs="Calibri"/>
          <w:sz w:val="20"/>
        </w:rPr>
        <w:t xml:space="preserve">Stavba musí byť vybavená ovládacím prvkom CENTRAL STOP, ktorý slúži na zabezpečenie vypnutia dodávky elektrickej energie pre elektrické zariadenia v stavbe alebo jej časti (zóne), ktoré nie sú elektrickými zariadeniami v prevádzke počas požiaru v zmysle ods. 4.3.2 STN920203.  </w:t>
      </w:r>
    </w:p>
    <w:p w:rsidR="00B473D2" w:rsidRPr="00717E02" w:rsidRDefault="00B473D2" w:rsidP="007A5218">
      <w:pPr>
        <w:jc w:val="both"/>
        <w:rPr>
          <w:rFonts w:ascii="Calibri" w:hAnsi="Calibri" w:cs="Calibri"/>
          <w:sz w:val="20"/>
        </w:rPr>
      </w:pPr>
      <w:r w:rsidRPr="00717E02">
        <w:rPr>
          <w:rFonts w:ascii="Calibri" w:hAnsi="Calibri" w:cs="Calibri"/>
          <w:sz w:val="20"/>
        </w:rPr>
        <w:t>Vypínací prvok CENTRAL STOP musí byť chránený proti neoprávnenému či náhodnému použitiu v zmysle 4.3.5 STN 920203 - bude umiestnený v exteriéri pri hlavnom vstupe do stavby. V budove bude označenie v súlade s NV č. 387/2006 Z. z..</w:t>
      </w:r>
    </w:p>
    <w:p w:rsidR="00B473D2" w:rsidRPr="00717E02" w:rsidRDefault="00B473D2" w:rsidP="00165ED7">
      <w:pPr>
        <w:pStyle w:val="Nadpis1"/>
      </w:pPr>
    </w:p>
    <w:p w:rsidR="00B473D2" w:rsidRPr="00717E02" w:rsidRDefault="00B473D2" w:rsidP="00165ED7">
      <w:pPr>
        <w:pStyle w:val="Nadpis1"/>
        <w:numPr>
          <w:ilvl w:val="0"/>
          <w:numId w:val="3"/>
        </w:numPr>
      </w:pPr>
      <w:r w:rsidRPr="00717E02">
        <w:t>Vykurovanie</w:t>
      </w:r>
    </w:p>
    <w:p w:rsidR="00B473D2" w:rsidRPr="00717E02" w:rsidRDefault="00B473D2" w:rsidP="00B473D2">
      <w:pPr>
        <w:ind w:firstLine="708"/>
        <w:jc w:val="both"/>
        <w:rPr>
          <w:rFonts w:ascii="Calibri" w:hAnsi="Calibri" w:cs="Calibri"/>
          <w:sz w:val="20"/>
        </w:rPr>
      </w:pPr>
    </w:p>
    <w:p w:rsidR="00B473D2" w:rsidRPr="00717E02" w:rsidRDefault="00B473D2" w:rsidP="007A5218">
      <w:pPr>
        <w:jc w:val="both"/>
        <w:rPr>
          <w:rFonts w:ascii="Calibri" w:hAnsi="Calibri" w:cs="Calibri"/>
          <w:sz w:val="20"/>
        </w:rPr>
      </w:pPr>
      <w:r w:rsidRPr="00717E02">
        <w:rPr>
          <w:rFonts w:ascii="Calibri" w:hAnsi="Calibri" w:cs="Calibri"/>
          <w:sz w:val="20"/>
        </w:rPr>
        <w:t xml:space="preserve">Pivnica je riešená ako nevykurovaná. Na 1.np v pristavenej časti je navrhnuté elektrické podlahové vykurovanie pomocou devi rohoží.  V kúpeľniach sú navrhované aj rebríkové vykurovacie telesá, vykurovanie izieb na 2.np bude zabezpečené prostredníctvom devi rohoží alt. elektrických doskových vykurovacích telies. </w:t>
      </w:r>
    </w:p>
    <w:p w:rsidR="00B473D2" w:rsidRPr="00717E02" w:rsidRDefault="00B473D2" w:rsidP="007A5218">
      <w:pPr>
        <w:jc w:val="both"/>
        <w:rPr>
          <w:rFonts w:ascii="Calibri" w:hAnsi="Calibri" w:cs="Calibri"/>
          <w:sz w:val="20"/>
        </w:rPr>
      </w:pPr>
      <w:r w:rsidRPr="00717E02">
        <w:rPr>
          <w:rFonts w:ascii="Calibri" w:hAnsi="Calibri" w:cs="Calibri"/>
          <w:sz w:val="20"/>
        </w:rPr>
        <w:t>Stavebné konštrukcie z materiálov triedy reakcie na oheň B, C, D, E alebo F, horľavé predmety a horľavé látky možno umiestniť v bezpečnej vzdialenosti minimálne 200mm vo všetkých smeroch od  elektrotepelného spotrebiča  podľa prílohy 1 Vyhl. MV SR 401/2007 Z.z</w:t>
      </w:r>
    </w:p>
    <w:p w:rsidR="00B473D2" w:rsidRPr="00717E02" w:rsidRDefault="00B473D2" w:rsidP="007A5218">
      <w:pPr>
        <w:jc w:val="both"/>
        <w:rPr>
          <w:rFonts w:ascii="Calibri" w:hAnsi="Calibri" w:cs="Calibri"/>
          <w:sz w:val="20"/>
        </w:rPr>
      </w:pPr>
      <w:r w:rsidRPr="00717E02">
        <w:rPr>
          <w:rFonts w:ascii="Calibri" w:hAnsi="Calibri" w:cs="Calibri"/>
          <w:sz w:val="20"/>
        </w:rPr>
        <w:t xml:space="preserve">V showroome (spoločenskej miestnosti) je navrhnutý krb na teplovzdušné vykurovanie. </w:t>
      </w:r>
    </w:p>
    <w:p w:rsidR="00B473D2" w:rsidRPr="00717E02" w:rsidRDefault="00B473D2" w:rsidP="00B473D2">
      <w:pPr>
        <w:jc w:val="both"/>
        <w:rPr>
          <w:rFonts w:ascii="Calibri" w:hAnsi="Calibri" w:cs="Calibri"/>
          <w:sz w:val="20"/>
          <w:u w:val="single"/>
        </w:rPr>
      </w:pPr>
      <w:r w:rsidRPr="00717E02">
        <w:rPr>
          <w:rFonts w:ascii="Calibri" w:hAnsi="Calibri" w:cs="Calibri"/>
          <w:sz w:val="20"/>
          <w:u w:val="single"/>
        </w:rPr>
        <w:t>Pri vyhotovení kozuba musia byť dodržané požiadavky Vyhl. MV SR 401/2007 Z.z.:</w:t>
      </w:r>
    </w:p>
    <w:p w:rsidR="00B473D2" w:rsidRPr="00717E02" w:rsidRDefault="00B473D2" w:rsidP="00B473D2">
      <w:pPr>
        <w:autoSpaceDE w:val="0"/>
        <w:autoSpaceDN w:val="0"/>
        <w:adjustRightInd w:val="0"/>
        <w:jc w:val="both"/>
        <w:rPr>
          <w:rFonts w:ascii="Calibri" w:hAnsi="Calibri" w:cs="Calibri"/>
          <w:sz w:val="20"/>
        </w:rPr>
      </w:pPr>
      <w:r w:rsidRPr="00717E02">
        <w:rPr>
          <w:rFonts w:ascii="Calibri" w:hAnsi="Calibri" w:cs="Calibri"/>
          <w:sz w:val="20"/>
        </w:rPr>
        <w:t xml:space="preserve">-na podlahu z materiálov triedy reakcie na oheň Bfl, Cfl, Dfl, Efl alebo Ffl možno inštalovať spotrebič, ktorý to má uvedené v dokumentácii ku spotrebiču, alebo s použitím izolačnej podložky </w:t>
      </w:r>
    </w:p>
    <w:p w:rsidR="00B473D2" w:rsidRPr="00717E02" w:rsidRDefault="00B473D2" w:rsidP="00B473D2">
      <w:pPr>
        <w:autoSpaceDE w:val="0"/>
        <w:autoSpaceDN w:val="0"/>
        <w:adjustRightInd w:val="0"/>
        <w:jc w:val="both"/>
        <w:rPr>
          <w:rFonts w:ascii="Calibri" w:hAnsi="Calibri" w:cs="Calibri"/>
          <w:b/>
          <w:sz w:val="20"/>
        </w:rPr>
      </w:pPr>
      <w:r w:rsidRPr="00717E02">
        <w:rPr>
          <w:rFonts w:ascii="Calibri" w:hAnsi="Calibri" w:cs="Calibri"/>
          <w:sz w:val="20"/>
        </w:rPr>
        <w:t xml:space="preserve">- izolačná podložka musí byť vyhotovená z materiálu triedy reakcie na oheň A1 alebo A2 s hrúbkou najmenej 1 mm, pri bežnej prevádzke odolného proti mechanickým účinkom zaťaženia a najmenší rozmer izolačnej podložky podľa § 2 písm. c) určuje výrobca v dokumentácii k spotrebiču, ak taká dokumentácia chýba alebo výrobca neurčil rozmery izolačnej podložky, musí </w:t>
      </w:r>
      <w:r w:rsidRPr="00717E02">
        <w:rPr>
          <w:rFonts w:ascii="Calibri" w:hAnsi="Calibri" w:cs="Calibri"/>
          <w:b/>
          <w:sz w:val="20"/>
        </w:rPr>
        <w:t xml:space="preserve">izolačná podložka presahovať pôdorys spotrebiča najmenej o 150 mm na každej strane </w:t>
      </w:r>
      <w:r w:rsidRPr="00717E02">
        <w:rPr>
          <w:rFonts w:ascii="Calibri" w:hAnsi="Calibri" w:cs="Calibri"/>
          <w:sz w:val="20"/>
        </w:rPr>
        <w:t>v zmysle § 4 vyhl. MV SR 401/2007 Z.z..,</w:t>
      </w:r>
    </w:p>
    <w:p w:rsidR="00B473D2" w:rsidRPr="00717E02" w:rsidRDefault="00B473D2" w:rsidP="00B473D2">
      <w:pPr>
        <w:autoSpaceDE w:val="0"/>
        <w:autoSpaceDN w:val="0"/>
        <w:adjustRightInd w:val="0"/>
        <w:jc w:val="both"/>
        <w:rPr>
          <w:rFonts w:ascii="Calibri" w:hAnsi="Calibri" w:cs="Calibri"/>
          <w:b/>
          <w:sz w:val="20"/>
        </w:rPr>
      </w:pPr>
      <w:r w:rsidRPr="00717E02">
        <w:rPr>
          <w:rFonts w:ascii="Calibri" w:hAnsi="Calibri" w:cs="Calibri"/>
          <w:sz w:val="20"/>
        </w:rPr>
        <w:t xml:space="preserve">-pred spotrebič na tuhé palivo, pred ktorým nie je podlaha z materiálu reakcie na oheň A1fl alebo A2fl, sa musí inštalovať ochranná podložka najmenej s rozmermi pri kozube s otvoreným ohniskom </w:t>
      </w:r>
      <w:r w:rsidRPr="00717E02">
        <w:rPr>
          <w:rFonts w:ascii="Calibri" w:hAnsi="Calibri" w:cs="Calibri"/>
          <w:b/>
          <w:sz w:val="20"/>
        </w:rPr>
        <w:t xml:space="preserve">podľa prílohy č.4. – t.z. ochranná podložka musí presahovať min. 800mm pred otvor kozuba a min. 400mm od okraja otvoru po jeho obidvoch bočných stranách </w:t>
      </w:r>
    </w:p>
    <w:p w:rsidR="00B473D2" w:rsidRPr="00717E02" w:rsidRDefault="00B473D2" w:rsidP="00B473D2">
      <w:pPr>
        <w:autoSpaceDE w:val="0"/>
        <w:autoSpaceDN w:val="0"/>
        <w:adjustRightInd w:val="0"/>
        <w:jc w:val="both"/>
        <w:rPr>
          <w:rFonts w:ascii="Calibri" w:hAnsi="Calibri" w:cs="Calibri"/>
          <w:b/>
          <w:sz w:val="20"/>
        </w:rPr>
      </w:pPr>
      <w:r w:rsidRPr="00717E02">
        <w:rPr>
          <w:rFonts w:ascii="Calibri" w:hAnsi="Calibri" w:cs="Calibri"/>
          <w:b/>
          <w:sz w:val="20"/>
        </w:rPr>
        <w:t>-okolo otvoru kozuba musia byť použité na povrchovú úpravu steny nehorľavé materiály (t.z. materiály triedy reakcie na oheň A1 alt. A2-s1, d0) - do vzdialenosti min. 800mm nad otvorom a do vzdialenosti min. 400mm od bočných okrajov otvoru po obidvoch stranách (podľa prílohy č.4 )</w:t>
      </w:r>
    </w:p>
    <w:p w:rsidR="00B473D2" w:rsidRPr="00717E02" w:rsidRDefault="00B473D2" w:rsidP="00B473D2">
      <w:pPr>
        <w:autoSpaceDE w:val="0"/>
        <w:autoSpaceDN w:val="0"/>
        <w:adjustRightInd w:val="0"/>
        <w:jc w:val="both"/>
        <w:rPr>
          <w:rFonts w:ascii="Calibri" w:hAnsi="Calibri" w:cs="Calibri"/>
          <w:sz w:val="20"/>
        </w:rPr>
      </w:pPr>
      <w:r w:rsidRPr="00717E02">
        <w:rPr>
          <w:rFonts w:ascii="Calibri" w:hAnsi="Calibri" w:cs="Calibri"/>
          <w:sz w:val="20"/>
        </w:rPr>
        <w:t>-ochranná podložka musí byť vyhotovená z materiálu triedy reakcie na oheň A1 alebo A2 s hrúbkou najmenej 1 mm, pri bežnej prevádzke odolného proti mechanickým  účinkom zaťaženia v zmysle § 5 vyhl. MV SR 401/2007 Z.z..,</w:t>
      </w:r>
    </w:p>
    <w:p w:rsidR="00B473D2" w:rsidRPr="00717E02" w:rsidRDefault="00B473D2" w:rsidP="00B473D2">
      <w:pPr>
        <w:autoSpaceDE w:val="0"/>
        <w:autoSpaceDN w:val="0"/>
        <w:adjustRightInd w:val="0"/>
        <w:jc w:val="both"/>
        <w:rPr>
          <w:rFonts w:ascii="Calibri" w:hAnsi="Calibri" w:cs="Calibri"/>
          <w:sz w:val="20"/>
          <w:u w:val="single"/>
        </w:rPr>
      </w:pPr>
      <w:r w:rsidRPr="00717E02">
        <w:rPr>
          <w:rFonts w:ascii="Calibri" w:hAnsi="Calibri" w:cs="Calibri"/>
          <w:sz w:val="20"/>
          <w:u w:val="single"/>
        </w:rPr>
        <w:t xml:space="preserve">V zmysle Vyhl. MV SR 401/2007 Z.z. § 18 musí dymovod spĺňať:   </w:t>
      </w:r>
    </w:p>
    <w:p w:rsidR="00B473D2" w:rsidRPr="00717E02" w:rsidRDefault="00B473D2" w:rsidP="00964D77">
      <w:pPr>
        <w:numPr>
          <w:ilvl w:val="0"/>
          <w:numId w:val="12"/>
        </w:numPr>
        <w:autoSpaceDE w:val="0"/>
        <w:autoSpaceDN w:val="0"/>
        <w:adjustRightInd w:val="0"/>
        <w:jc w:val="both"/>
        <w:rPr>
          <w:rFonts w:ascii="Calibri" w:hAnsi="Calibri" w:cs="Calibri"/>
          <w:sz w:val="20"/>
        </w:rPr>
      </w:pPr>
      <w:r w:rsidRPr="00717E02">
        <w:rPr>
          <w:rFonts w:ascii="Calibri" w:hAnsi="Calibri" w:cs="Calibri"/>
          <w:sz w:val="20"/>
        </w:rPr>
        <w:t xml:space="preserve">dymovod musí byť zostavený a upevnený tak, aby sa náhodne a samovoľne neuvoľnil. Rúry, ktorých spoje nie sú zaistené, zasúvajú sa do seba aspoň na 0,4-násobok priemeru rúry, najmenej však na 60 mm. </w:t>
      </w:r>
    </w:p>
    <w:p w:rsidR="00B473D2" w:rsidRPr="00717E02" w:rsidRDefault="00B473D2" w:rsidP="00964D77">
      <w:pPr>
        <w:numPr>
          <w:ilvl w:val="0"/>
          <w:numId w:val="12"/>
        </w:numPr>
        <w:autoSpaceDE w:val="0"/>
        <w:autoSpaceDN w:val="0"/>
        <w:adjustRightInd w:val="0"/>
        <w:jc w:val="both"/>
        <w:rPr>
          <w:rFonts w:ascii="Calibri" w:hAnsi="Calibri" w:cs="Calibri"/>
          <w:sz w:val="20"/>
        </w:rPr>
      </w:pPr>
      <w:r w:rsidRPr="00717E02">
        <w:rPr>
          <w:rFonts w:ascii="Calibri" w:hAnsi="Calibri" w:cs="Calibri"/>
          <w:sz w:val="20"/>
        </w:rPr>
        <w:lastRenderedPageBreak/>
        <w:t xml:space="preserve">dymovod pripojený na komín s prirodzeným komínovým ťahom musí byť pripojený najbližším smerom so stúpaním najmenej 10%v smere prúdenia spalín.  </w:t>
      </w:r>
    </w:p>
    <w:p w:rsidR="00B473D2" w:rsidRPr="00717E02" w:rsidRDefault="00B473D2" w:rsidP="00964D77">
      <w:pPr>
        <w:numPr>
          <w:ilvl w:val="0"/>
          <w:numId w:val="12"/>
        </w:numPr>
        <w:autoSpaceDE w:val="0"/>
        <w:autoSpaceDN w:val="0"/>
        <w:adjustRightInd w:val="0"/>
        <w:jc w:val="both"/>
        <w:rPr>
          <w:rFonts w:ascii="Calibri" w:hAnsi="Calibri" w:cs="Calibri"/>
          <w:sz w:val="20"/>
        </w:rPr>
      </w:pPr>
      <w:r w:rsidRPr="00717E02">
        <w:rPr>
          <w:rFonts w:ascii="Calibri" w:hAnsi="Calibri" w:cs="Calibri"/>
          <w:sz w:val="20"/>
        </w:rPr>
        <w:t xml:space="preserve">dymovod z rúr, ktorý je dlhší ako 2 000 mm, musí byť pevne zakotvený. </w:t>
      </w:r>
    </w:p>
    <w:p w:rsidR="00B473D2" w:rsidRPr="00717E02" w:rsidRDefault="00B473D2" w:rsidP="00964D77">
      <w:pPr>
        <w:numPr>
          <w:ilvl w:val="0"/>
          <w:numId w:val="12"/>
        </w:numPr>
        <w:suppressAutoHyphens/>
        <w:jc w:val="both"/>
        <w:rPr>
          <w:rFonts w:ascii="Calibri" w:hAnsi="Calibri" w:cs="Calibri"/>
          <w:sz w:val="20"/>
        </w:rPr>
      </w:pPr>
      <w:r w:rsidRPr="00717E02">
        <w:rPr>
          <w:rFonts w:ascii="Calibri" w:hAnsi="Calibri" w:cs="Calibri"/>
          <w:sz w:val="20"/>
        </w:rPr>
        <w:t>prestup dymovodu prechádzajúceho stavebnou konštrukciou, ktorá obsahuje materiály triedy reakcie na oheň B, C, D, E alebo F alebo ktorá je na povrchu upravená materiálmi triedy reakcie na oheň B, C, D, E alebo F musí byť vyhotovený podľa príloh č. 9 a 10 tak, aby najvyššia povrchová teplota priľahlých materiálov triedy reakcie na oheň B, C, D, E alebo F neprekročila 85 C°.</w:t>
      </w:r>
    </w:p>
    <w:p w:rsidR="00B473D2" w:rsidRPr="00717E02" w:rsidRDefault="00B473D2" w:rsidP="00B473D2">
      <w:pPr>
        <w:autoSpaceDE w:val="0"/>
        <w:autoSpaceDN w:val="0"/>
        <w:adjustRightInd w:val="0"/>
        <w:jc w:val="both"/>
        <w:rPr>
          <w:rFonts w:ascii="Calibri" w:hAnsi="Calibri" w:cs="Calibri"/>
          <w:sz w:val="20"/>
          <w:u w:val="single"/>
        </w:rPr>
      </w:pPr>
      <w:r w:rsidRPr="00717E02">
        <w:rPr>
          <w:rFonts w:ascii="Calibri" w:hAnsi="Calibri" w:cs="Calibri"/>
          <w:sz w:val="20"/>
          <w:u w:val="single"/>
        </w:rPr>
        <w:t>Pri vyhotovení kozuba pre teplovzdušné vykurovanie musia byť dodržané požiadavky § 6 Vyhl. MV SR 401/2007 Z.z.:</w:t>
      </w:r>
    </w:p>
    <w:p w:rsidR="00B473D2" w:rsidRPr="00717E02" w:rsidRDefault="00B473D2" w:rsidP="00964D77">
      <w:pPr>
        <w:numPr>
          <w:ilvl w:val="0"/>
          <w:numId w:val="11"/>
        </w:numPr>
        <w:autoSpaceDE w:val="0"/>
        <w:autoSpaceDN w:val="0"/>
        <w:adjustRightInd w:val="0"/>
        <w:jc w:val="both"/>
        <w:rPr>
          <w:rFonts w:ascii="Calibri" w:hAnsi="Calibri" w:cs="Calibri"/>
          <w:sz w:val="20"/>
        </w:rPr>
      </w:pPr>
      <w:r w:rsidRPr="00717E02">
        <w:rPr>
          <w:rFonts w:ascii="Calibri" w:hAnsi="Calibri" w:cs="Calibri"/>
          <w:sz w:val="20"/>
        </w:rPr>
        <w:t>Pre kozub, v ktorom sa ohrieva vzduch na účel jeho vedenia do systému teplovzdušného vykurovania pozostávajúceho, napríklad z kanálov, musí byť okrem častí určených na ponechanie bez tepelnej izolácie od ostatných stavebných konštrukcií alebo od interiéru stavby súvisle tepelne oddelený materiálom triedy reakcie na oheň A1 alebo A2 tak, aby povrchová teplota na odvrátenej strane materiálu od spaľovacej komory nebola väčšia ako 85 C°</w:t>
      </w:r>
    </w:p>
    <w:p w:rsidR="00B473D2" w:rsidRPr="00717E02" w:rsidRDefault="00B473D2" w:rsidP="00964D77">
      <w:pPr>
        <w:numPr>
          <w:ilvl w:val="0"/>
          <w:numId w:val="11"/>
        </w:numPr>
        <w:autoSpaceDE w:val="0"/>
        <w:autoSpaceDN w:val="0"/>
        <w:adjustRightInd w:val="0"/>
        <w:jc w:val="both"/>
        <w:rPr>
          <w:rFonts w:ascii="Calibri" w:hAnsi="Calibri" w:cs="Calibri"/>
          <w:sz w:val="20"/>
        </w:rPr>
      </w:pPr>
      <w:r w:rsidRPr="00717E02">
        <w:rPr>
          <w:rFonts w:ascii="Calibri" w:hAnsi="Calibri" w:cs="Calibri"/>
          <w:sz w:val="20"/>
        </w:rPr>
        <w:t>Kanál systému teplovzdušného vykurovania na rozvod ohriateho vzduchu od vstavaného spotrebiča a kozuba musí byť vyhotovený z materiálov triedy reakcie na oheň A1 alebo A2 a povrchová teplota materiálu na vonkajšej strane kanála môže byť najviac 85 C°,</w:t>
      </w:r>
    </w:p>
    <w:p w:rsidR="00B473D2" w:rsidRPr="00717E02" w:rsidRDefault="00B473D2" w:rsidP="00964D77">
      <w:pPr>
        <w:numPr>
          <w:ilvl w:val="0"/>
          <w:numId w:val="11"/>
        </w:numPr>
        <w:autoSpaceDE w:val="0"/>
        <w:autoSpaceDN w:val="0"/>
        <w:adjustRightInd w:val="0"/>
        <w:jc w:val="both"/>
        <w:rPr>
          <w:rFonts w:ascii="Calibri" w:hAnsi="Calibri" w:cs="Calibri"/>
          <w:sz w:val="20"/>
        </w:rPr>
      </w:pPr>
      <w:r w:rsidRPr="00717E02">
        <w:rPr>
          <w:rFonts w:ascii="Calibri" w:hAnsi="Calibri" w:cs="Calibri"/>
          <w:sz w:val="20"/>
        </w:rPr>
        <w:t>materiál stýkajúci sa s vonkajšou stranou kanála systému teplovzdušného vykurovania musí mať teplotu vznietenia najmenej 100° C</w:t>
      </w:r>
    </w:p>
    <w:p w:rsidR="00B473D2" w:rsidRPr="00717E02" w:rsidRDefault="00B473D2" w:rsidP="00B473D2">
      <w:pPr>
        <w:autoSpaceDE w:val="0"/>
        <w:autoSpaceDN w:val="0"/>
        <w:adjustRightInd w:val="0"/>
        <w:ind w:left="720"/>
        <w:jc w:val="both"/>
        <w:rPr>
          <w:rFonts w:ascii="Calibri" w:hAnsi="Calibri" w:cs="Calibri"/>
          <w:sz w:val="20"/>
        </w:rPr>
      </w:pPr>
    </w:p>
    <w:p w:rsidR="007A5218" w:rsidRPr="00717E02" w:rsidRDefault="00B473D2" w:rsidP="00717E02">
      <w:pPr>
        <w:ind w:firstLine="360"/>
        <w:jc w:val="both"/>
        <w:rPr>
          <w:rFonts w:ascii="Calibri" w:hAnsi="Calibri" w:cs="Calibri"/>
          <w:sz w:val="20"/>
        </w:rPr>
      </w:pPr>
      <w:r w:rsidRPr="00717E02">
        <w:rPr>
          <w:rFonts w:ascii="Calibri" w:hAnsi="Calibri" w:cs="Calibri"/>
          <w:sz w:val="20"/>
        </w:rPr>
        <w:t>Rozvody teplovzdušného vykurovania sú riešené iba v rámci požiarneho úseku N1.01/N2, (nie sú navrhované prierazy medzi požiarnymi úsekmi. Vzduch pre krb bude privádzaný z exteriéru.</w:t>
      </w:r>
    </w:p>
    <w:p w:rsidR="00B473D2" w:rsidRPr="00717E02" w:rsidRDefault="00B473D2" w:rsidP="007A5218">
      <w:pPr>
        <w:jc w:val="both"/>
        <w:rPr>
          <w:rFonts w:ascii="Calibri" w:hAnsi="Calibri" w:cs="Calibri"/>
          <w:sz w:val="20"/>
        </w:rPr>
      </w:pPr>
      <w:r w:rsidRPr="00717E02">
        <w:rPr>
          <w:rFonts w:ascii="Calibri" w:hAnsi="Calibri" w:cs="Calibri"/>
          <w:sz w:val="20"/>
        </w:rPr>
        <w:t xml:space="preserve">Komín  a dymovod musí spĺňať všetky požiadavky uvedené vo vyhl. MV SR 401/2007 Z.z. a  musia byť vyhotovené podľa technickej normy alebo schválenej dokumentácie, tak aby sa mohla vykonávať ich kontrola i čistene a zároveň musí byť zabezpečená a dodržiavaná lehota jeho čistenia a vykonávania kontrol a  preskúšania podľa § 20 vyhl. MV SR 401/2007 Z.z.., o ktorých musí byť vyhotovené potvrdenie v súlade s § 23 a podľa príloh 11 a 12 vyhl. MV SR 401/2007 Z.z.. </w:t>
      </w:r>
    </w:p>
    <w:p w:rsidR="00B473D2" w:rsidRPr="00717E02" w:rsidRDefault="00B473D2" w:rsidP="007A5218">
      <w:pPr>
        <w:jc w:val="both"/>
        <w:rPr>
          <w:rFonts w:ascii="Calibri" w:hAnsi="Calibri" w:cs="Calibri"/>
          <w:sz w:val="20"/>
        </w:rPr>
      </w:pPr>
      <w:r w:rsidRPr="00717E02">
        <w:rPr>
          <w:rFonts w:ascii="Calibri" w:hAnsi="Calibri" w:cs="Calibri"/>
          <w:sz w:val="20"/>
        </w:rPr>
        <w:t>Vzdialenosť telesa komína od stavebných konštrukcií triedy reakcie na oheň B, C, D, E alebo F určí výrobca, ak túto požiadavku nemožno splniť, možno vzdialenosť zmenšiť až na 10 mm, pričom tento priestor sa vypĺňa nehorľavým a tepelnoizolačným materiálom podľa prílohy č. 7 v súlade § 14 ods.8  vyhl. MV SR 401/2007 Z.z..</w:t>
      </w:r>
    </w:p>
    <w:p w:rsidR="00B473D2" w:rsidRPr="00717E02" w:rsidRDefault="00B473D2" w:rsidP="00717E02">
      <w:pPr>
        <w:ind w:firstLine="708"/>
        <w:jc w:val="both"/>
        <w:rPr>
          <w:rFonts w:ascii="Calibri" w:hAnsi="Calibri" w:cs="Calibri"/>
          <w:sz w:val="20"/>
        </w:rPr>
      </w:pPr>
      <w:r w:rsidRPr="00717E02">
        <w:rPr>
          <w:rFonts w:ascii="Calibri" w:hAnsi="Calibri" w:cs="Calibri"/>
          <w:sz w:val="20"/>
        </w:rPr>
        <w:t>Nevychladnutý popol po vybratí zo spotrebiča na tuhé palivo možno ukladať iba do nerozbitnej plnostennej nádoby z nehorľavého materiálu v súlade s ods. 8 § 13 vyhl. MV SR 401/2007 Z.z..</w:t>
      </w:r>
    </w:p>
    <w:p w:rsidR="00B473D2" w:rsidRPr="00717E02" w:rsidRDefault="00B473D2" w:rsidP="007A5218">
      <w:pPr>
        <w:jc w:val="both"/>
        <w:rPr>
          <w:rFonts w:ascii="Calibri" w:hAnsi="Calibri" w:cs="Calibri"/>
          <w:sz w:val="20"/>
        </w:rPr>
      </w:pPr>
      <w:r w:rsidRPr="00717E02">
        <w:rPr>
          <w:rFonts w:ascii="Calibri" w:hAnsi="Calibri" w:cs="Calibri"/>
          <w:color w:val="000000"/>
          <w:sz w:val="20"/>
          <w:u w:val="single"/>
          <w:shd w:val="clear" w:color="auto" w:fill="FFFFFF"/>
        </w:rPr>
        <w:t>Spotrebič na tuhé palivo a dymovod možno inštalovať len v bezpečnej vzdialenosti od okolitých stavebných konštrukcií z materiálov triedy reakcie na oheň B, C, D, E alebo F</w:t>
      </w:r>
      <w:r w:rsidRPr="00717E02">
        <w:rPr>
          <w:rFonts w:ascii="Calibri" w:hAnsi="Calibri" w:cs="Calibri"/>
          <w:color w:val="000000"/>
          <w:sz w:val="20"/>
          <w:shd w:val="clear" w:color="auto" w:fill="FFFFFF"/>
        </w:rPr>
        <w:t xml:space="preserve">. Bezpečnú vzdialenosť určuje výrobca spotrebiča na základe skúšky a je uvedená v dokumentácii k spotrebiču. Ak nie je bezpečná vzdialenosť uvedená v dokumentácii k spotrebiču, určuje sa podľa prílohy č. 1 </w:t>
      </w:r>
      <w:r w:rsidRPr="00717E02">
        <w:rPr>
          <w:rFonts w:ascii="Calibri" w:hAnsi="Calibri" w:cs="Calibri"/>
          <w:sz w:val="20"/>
        </w:rPr>
        <w:t>Vyhl. MV SR 401/2007 Z.z..</w:t>
      </w:r>
      <w:r w:rsidRPr="00717E02">
        <w:rPr>
          <w:rFonts w:ascii="Calibri" w:hAnsi="Calibri" w:cs="Calibri"/>
          <w:color w:val="000000"/>
          <w:sz w:val="20"/>
          <w:u w:val="single"/>
          <w:shd w:val="clear" w:color="auto" w:fill="FFFFFF"/>
        </w:rPr>
        <w:t xml:space="preserve"> (bezpečná vzdialenosť podľa prílohy  je </w:t>
      </w:r>
      <w:r w:rsidRPr="00717E02">
        <w:rPr>
          <w:rFonts w:ascii="Calibri" w:hAnsi="Calibri" w:cs="Calibri"/>
          <w:b/>
          <w:color w:val="000000"/>
          <w:sz w:val="20"/>
          <w:u w:val="single"/>
          <w:shd w:val="clear" w:color="auto" w:fill="FFFFFF"/>
        </w:rPr>
        <w:t>800mm vo všetkých smeroch</w:t>
      </w:r>
      <w:r w:rsidRPr="00717E02">
        <w:rPr>
          <w:rFonts w:ascii="Calibri" w:hAnsi="Calibri" w:cs="Calibri"/>
          <w:sz w:val="20"/>
          <w:u w:val="single"/>
        </w:rPr>
        <w:t>).</w:t>
      </w:r>
      <w:r w:rsidRPr="00717E02">
        <w:rPr>
          <w:rFonts w:ascii="Calibri" w:hAnsi="Calibri" w:cs="Calibri"/>
          <w:sz w:val="20"/>
        </w:rPr>
        <w:t>.</w:t>
      </w:r>
    </w:p>
    <w:p w:rsidR="00B473D2" w:rsidRPr="00717E02" w:rsidRDefault="00B473D2" w:rsidP="00B473D2">
      <w:pPr>
        <w:autoSpaceDE w:val="0"/>
        <w:autoSpaceDN w:val="0"/>
        <w:adjustRightInd w:val="0"/>
        <w:jc w:val="both"/>
        <w:rPr>
          <w:rFonts w:ascii="Calibri" w:hAnsi="Calibri" w:cs="Calibri"/>
          <w:sz w:val="20"/>
        </w:rPr>
      </w:pPr>
      <w:r w:rsidRPr="00717E02">
        <w:rPr>
          <w:rFonts w:ascii="Calibri" w:hAnsi="Calibri" w:cs="Calibri"/>
          <w:sz w:val="20"/>
        </w:rPr>
        <w:tab/>
        <w:t xml:space="preserve"> Stavebné konštrukcie z materiálov triedy reakcie na oheň B, C, D, E alebo F, horľavé predmety a horľavé látky možno umiestniť v bezpečnej vzdialenosti minimálne 800mm vo všetkých smeroch od  spotrebiča na tuhé palivo podľa prílohy 1 Vyhl. MV SR 401/2007 Z.z</w:t>
      </w:r>
    </w:p>
    <w:p w:rsidR="00B473D2" w:rsidRPr="00717E02" w:rsidRDefault="00B473D2" w:rsidP="00B473D2">
      <w:pPr>
        <w:jc w:val="both"/>
        <w:rPr>
          <w:rFonts w:ascii="Calibri" w:hAnsi="Calibri" w:cs="Calibri"/>
          <w:sz w:val="20"/>
        </w:rPr>
      </w:pPr>
    </w:p>
    <w:p w:rsidR="00B473D2" w:rsidRPr="00717E02" w:rsidRDefault="00B473D2" w:rsidP="00165ED7">
      <w:pPr>
        <w:pStyle w:val="Nadpis1"/>
        <w:numPr>
          <w:ilvl w:val="0"/>
          <w:numId w:val="3"/>
        </w:numPr>
      </w:pPr>
      <w:r w:rsidRPr="00717E02">
        <w:t>Klimatizácia, Vetranie objektu</w:t>
      </w:r>
    </w:p>
    <w:p w:rsidR="00B473D2" w:rsidRPr="00717E02" w:rsidRDefault="00B473D2" w:rsidP="00B473D2">
      <w:pPr>
        <w:ind w:firstLine="708"/>
        <w:jc w:val="both"/>
        <w:rPr>
          <w:rFonts w:ascii="Calibri" w:hAnsi="Calibri" w:cs="Calibri"/>
          <w:sz w:val="20"/>
        </w:rPr>
      </w:pPr>
      <w:r w:rsidRPr="00717E02">
        <w:rPr>
          <w:rFonts w:ascii="Calibri" w:hAnsi="Calibri" w:cs="Calibri"/>
          <w:sz w:val="20"/>
        </w:rPr>
        <w:tab/>
      </w:r>
    </w:p>
    <w:p w:rsidR="00B473D2" w:rsidRPr="00717E02" w:rsidRDefault="00B473D2" w:rsidP="007A5218">
      <w:pPr>
        <w:jc w:val="both"/>
        <w:rPr>
          <w:rFonts w:ascii="Calibri" w:hAnsi="Calibri" w:cs="Calibri"/>
          <w:sz w:val="20"/>
        </w:rPr>
      </w:pPr>
      <w:r w:rsidRPr="00717E02">
        <w:rPr>
          <w:rFonts w:ascii="Calibri" w:hAnsi="Calibri" w:cs="Calibri"/>
          <w:sz w:val="20"/>
        </w:rPr>
        <w:t xml:space="preserve">Pivnica je odvetraná vetracími potrubiami nad jej strechu.  Vetranie časti pre ubytovanie je riešené ako prirodzené- okennými otvormi, dvernými otvormi.  V izbách a showroome je navrhnuté chladenie prostredníctvom zariadenia Multi Split. V hygienických priestoroch wc je navrhnuté odvetranie nad strechu objektu. </w:t>
      </w:r>
    </w:p>
    <w:p w:rsidR="00B473D2" w:rsidRPr="00717E02" w:rsidRDefault="00B473D2" w:rsidP="007A5218">
      <w:pPr>
        <w:jc w:val="both"/>
        <w:rPr>
          <w:rFonts w:ascii="Calibri" w:hAnsi="Calibri" w:cs="Calibri"/>
          <w:sz w:val="20"/>
        </w:rPr>
      </w:pPr>
      <w:r w:rsidRPr="00717E02">
        <w:rPr>
          <w:rFonts w:ascii="Calibri" w:hAnsi="Calibri" w:cs="Calibri"/>
          <w:sz w:val="20"/>
        </w:rPr>
        <w:t xml:space="preserve">Systém vzduchotechnických potrubí musí z hľadiska protipožiarnej bezpečnosti spĺňať STN 73 0872. Vzduchotechnické zariadenia musia byť vyhotovené tak, aby  sa nimi alebo po nich nemohol šíriť požiar alebo jeho splodiny do iných požiarnych úsekov v súlade s STN 730872. </w:t>
      </w:r>
    </w:p>
    <w:p w:rsidR="00B473D2" w:rsidRPr="00717E02" w:rsidRDefault="00B473D2" w:rsidP="007A5218">
      <w:pPr>
        <w:jc w:val="both"/>
        <w:rPr>
          <w:rFonts w:ascii="Calibri" w:hAnsi="Calibri" w:cs="Calibri"/>
          <w:sz w:val="20"/>
          <w:u w:val="single"/>
        </w:rPr>
      </w:pPr>
      <w:r w:rsidRPr="00717E02">
        <w:rPr>
          <w:rFonts w:ascii="Calibri" w:hAnsi="Calibri" w:cs="Calibri"/>
          <w:sz w:val="20"/>
        </w:rPr>
        <w:t xml:space="preserve">Medzi požiarnymi úsekmi nie sú navrhnuté žiadne žiadne  prestupy vzduchotechnických potrubí. </w:t>
      </w:r>
      <w:r w:rsidRPr="00717E02">
        <w:rPr>
          <w:rFonts w:ascii="Calibri" w:hAnsi="Calibri" w:cs="Calibri"/>
          <w:b/>
          <w:sz w:val="20"/>
          <w:u w:val="single"/>
        </w:rPr>
        <w:t>Vetracie mriežky v požiarnych stenách medzi N1.01 a N1.02  a tiež medzi N1.01 a N1.03 musia spĺňať EI15/D1</w:t>
      </w:r>
      <w:r w:rsidRPr="00717E02">
        <w:rPr>
          <w:rFonts w:ascii="Calibri" w:hAnsi="Calibri" w:cs="Calibri"/>
          <w:sz w:val="20"/>
          <w:u w:val="single"/>
        </w:rPr>
        <w:t>- musia byť certifikované na uzatvorenie v prípade požiaru (nutné dokladovať pri kolaudácii)- navrhnuté sú protipožiarne vetracie mriežky s tavnou poistkou.</w:t>
      </w:r>
    </w:p>
    <w:p w:rsidR="00B473D2" w:rsidRPr="00717E02" w:rsidRDefault="00B473D2" w:rsidP="00B473D2">
      <w:pPr>
        <w:autoSpaceDE w:val="0"/>
        <w:autoSpaceDN w:val="0"/>
        <w:adjustRightInd w:val="0"/>
        <w:ind w:firstLine="708"/>
        <w:jc w:val="both"/>
        <w:rPr>
          <w:rFonts w:ascii="Calibri" w:hAnsi="Calibri" w:cs="Calibri"/>
          <w:sz w:val="20"/>
        </w:rPr>
      </w:pPr>
      <w:r w:rsidRPr="00717E02">
        <w:rPr>
          <w:rFonts w:ascii="Calibri" w:hAnsi="Calibri" w:cs="Calibri"/>
          <w:sz w:val="20"/>
        </w:rPr>
        <w:t xml:space="preserve"> </w:t>
      </w:r>
    </w:p>
    <w:p w:rsidR="00B473D2" w:rsidRPr="00717E02" w:rsidRDefault="00B473D2" w:rsidP="00B473D2">
      <w:pPr>
        <w:autoSpaceDE w:val="0"/>
        <w:autoSpaceDN w:val="0"/>
        <w:adjustRightInd w:val="0"/>
        <w:jc w:val="both"/>
        <w:rPr>
          <w:rFonts w:ascii="Calibri" w:hAnsi="Calibri" w:cs="Calibri"/>
          <w:b/>
          <w:sz w:val="20"/>
        </w:rPr>
      </w:pPr>
      <w:r w:rsidRPr="00717E02">
        <w:rPr>
          <w:rFonts w:ascii="Calibri" w:hAnsi="Calibri" w:cs="Calibri"/>
          <w:b/>
          <w:sz w:val="20"/>
        </w:rPr>
        <w:t>Zdravotechnika</w:t>
      </w:r>
    </w:p>
    <w:p w:rsidR="00B473D2" w:rsidRPr="00717E02" w:rsidRDefault="00B473D2" w:rsidP="00B473D2">
      <w:pPr>
        <w:ind w:firstLine="709"/>
        <w:jc w:val="both"/>
        <w:rPr>
          <w:rFonts w:ascii="Calibri" w:hAnsi="Calibri" w:cs="Calibri"/>
          <w:sz w:val="20"/>
        </w:rPr>
      </w:pPr>
    </w:p>
    <w:p w:rsidR="00B473D2" w:rsidRPr="00717E02" w:rsidRDefault="00B473D2" w:rsidP="007A5218">
      <w:pPr>
        <w:jc w:val="both"/>
        <w:rPr>
          <w:rFonts w:ascii="Calibri" w:hAnsi="Calibri" w:cs="Calibri"/>
          <w:sz w:val="20"/>
        </w:rPr>
      </w:pPr>
      <w:r w:rsidRPr="00717E02">
        <w:rPr>
          <w:rFonts w:ascii="Calibri" w:hAnsi="Calibri" w:cs="Calibri"/>
          <w:sz w:val="20"/>
        </w:rPr>
        <w:t xml:space="preserve">Studená voda bude privádzaná do budovy vodovodnou prípojkou z verejného vodovodného potrubia. </w:t>
      </w:r>
      <w:r w:rsidRPr="00717E02">
        <w:rPr>
          <w:rFonts w:ascii="Calibri" w:hAnsi="Calibri" w:cs="Calibri"/>
          <w:sz w:val="20"/>
          <w:bdr w:val="none" w:sz="0" w:space="0" w:color="auto" w:frame="1"/>
        </w:rPr>
        <w:t xml:space="preserve">Prestupy rozvodov a prestupy inštalácií cez požiarne deliace konštrukcie musia byť utesnené konštrukčnými prvkami takého druhu, ako sú požiarne deliace konštrukcie cez ktoré prestupujú. </w:t>
      </w:r>
      <w:r w:rsidRPr="00717E02">
        <w:rPr>
          <w:rFonts w:ascii="Calibri" w:hAnsi="Calibri" w:cs="Calibri"/>
          <w:b/>
          <w:sz w:val="20"/>
          <w:bdr w:val="none" w:sz="0" w:space="0" w:color="auto" w:frame="1"/>
        </w:rPr>
        <w:t>Utesnený prestup musí spĺňať požiadavky na požiarnu odolnosť požiarne deliacej konštrukcie, ktorou prestupuje, najviac však EI 90</w:t>
      </w:r>
      <w:r w:rsidRPr="00717E02">
        <w:rPr>
          <w:rFonts w:ascii="Calibri" w:hAnsi="Calibri" w:cs="Calibri"/>
          <w:sz w:val="20"/>
          <w:bdr w:val="none" w:sz="0" w:space="0" w:color="auto" w:frame="1"/>
        </w:rPr>
        <w:t xml:space="preserve"> ( v zmysle § 40, ods. 3 Vyhl. MV SR č. 94/2004 Z.z.). </w:t>
      </w:r>
    </w:p>
    <w:p w:rsidR="00B473D2" w:rsidRPr="00717E02" w:rsidRDefault="00B473D2" w:rsidP="00B473D2">
      <w:pPr>
        <w:spacing w:line="0" w:lineRule="atLeast"/>
        <w:jc w:val="both"/>
        <w:rPr>
          <w:rFonts w:ascii="Calibri" w:hAnsi="Calibri" w:cs="Calibri"/>
          <w:b/>
          <w:sz w:val="20"/>
        </w:rPr>
      </w:pPr>
    </w:p>
    <w:p w:rsidR="00B473D2" w:rsidRPr="00717E02" w:rsidRDefault="00B473D2" w:rsidP="00B473D2">
      <w:pPr>
        <w:spacing w:line="0" w:lineRule="atLeast"/>
        <w:jc w:val="both"/>
        <w:rPr>
          <w:rFonts w:ascii="Calibri" w:hAnsi="Calibri" w:cs="Calibri"/>
          <w:b/>
          <w:sz w:val="20"/>
        </w:rPr>
      </w:pPr>
      <w:r w:rsidRPr="00717E02">
        <w:rPr>
          <w:rFonts w:ascii="Calibri" w:hAnsi="Calibri" w:cs="Calibri"/>
          <w:b/>
          <w:sz w:val="20"/>
        </w:rPr>
        <w:t>Zoznam použitých noriem a predpisov</w:t>
      </w:r>
    </w:p>
    <w:p w:rsidR="00B473D2" w:rsidRPr="00717E02" w:rsidRDefault="00B473D2" w:rsidP="00B473D2">
      <w:pPr>
        <w:spacing w:line="0" w:lineRule="atLeast"/>
        <w:jc w:val="both"/>
        <w:rPr>
          <w:rFonts w:ascii="Calibri" w:hAnsi="Calibri" w:cs="Calibri"/>
          <w:b/>
          <w:sz w:val="20"/>
        </w:rPr>
      </w:pPr>
    </w:p>
    <w:p w:rsidR="00B473D2" w:rsidRPr="00717E02" w:rsidRDefault="00B473D2" w:rsidP="00B473D2">
      <w:pPr>
        <w:jc w:val="both"/>
        <w:rPr>
          <w:rFonts w:ascii="Calibri" w:hAnsi="Calibri" w:cs="Calibri"/>
          <w:sz w:val="20"/>
        </w:rPr>
      </w:pPr>
      <w:r w:rsidRPr="00717E02">
        <w:rPr>
          <w:rFonts w:ascii="Calibri" w:hAnsi="Calibri" w:cs="Calibri"/>
          <w:bCs/>
          <w:sz w:val="20"/>
          <w:u w:val="single"/>
        </w:rPr>
        <w:t xml:space="preserve">Vyhl. MV SR č.94/2004 Z.z., </w:t>
      </w:r>
      <w:r w:rsidRPr="00717E02">
        <w:rPr>
          <w:rFonts w:ascii="Calibri" w:hAnsi="Calibri" w:cs="Calibri"/>
          <w:sz w:val="20"/>
          <w:u w:val="single"/>
          <w:shd w:val="clear" w:color="auto" w:fill="FFFFFF"/>
        </w:rPr>
        <w:t xml:space="preserve">s novelami </w:t>
      </w:r>
      <w:r w:rsidRPr="00717E02">
        <w:rPr>
          <w:rFonts w:ascii="Calibri" w:hAnsi="Calibri" w:cs="Calibri"/>
          <w:iCs/>
          <w:sz w:val="20"/>
          <w:u w:val="single"/>
        </w:rPr>
        <w:t>č.307/2007 Z.z.</w:t>
      </w:r>
      <w:r w:rsidRPr="00717E02">
        <w:rPr>
          <w:rFonts w:ascii="Calibri" w:hAnsi="Calibri" w:cs="Calibri"/>
          <w:sz w:val="20"/>
          <w:u w:val="single"/>
          <w:shd w:val="clear" w:color="auto" w:fill="FFFFFF"/>
        </w:rPr>
        <w:t xml:space="preserve"> a </w:t>
      </w:r>
      <w:r w:rsidRPr="00717E02">
        <w:rPr>
          <w:rFonts w:ascii="Calibri" w:hAnsi="Calibri" w:cs="Calibri"/>
          <w:iCs/>
          <w:sz w:val="20"/>
          <w:u w:val="single"/>
        </w:rPr>
        <w:t>č.225/2012 Z.z , č. 334/2018 Z.z.</w:t>
      </w:r>
      <w:r w:rsidRPr="00717E02">
        <w:rPr>
          <w:rFonts w:ascii="Calibri" w:hAnsi="Calibri" w:cs="Calibri"/>
          <w:b/>
          <w:bCs/>
          <w:sz w:val="20"/>
        </w:rPr>
        <w:t xml:space="preserve"> </w:t>
      </w:r>
      <w:r w:rsidRPr="00717E02">
        <w:rPr>
          <w:rFonts w:ascii="Calibri" w:hAnsi="Calibri" w:cs="Calibri"/>
          <w:sz w:val="20"/>
        </w:rPr>
        <w:t>ktorou sa vykonávajú technické požiadavky na požiarnu bezpečnosť pri výstavbe a pri užívaní stavieb</w:t>
      </w:r>
      <w:r w:rsidRPr="00717E02">
        <w:rPr>
          <w:rFonts w:ascii="Calibri" w:hAnsi="Calibri" w:cs="Calibri"/>
          <w:kern w:val="1"/>
          <w:sz w:val="20"/>
        </w:rPr>
        <w:t>,</w:t>
      </w:r>
    </w:p>
    <w:p w:rsidR="00B473D2" w:rsidRPr="00717E02" w:rsidRDefault="00B473D2" w:rsidP="00B473D2">
      <w:pPr>
        <w:jc w:val="both"/>
        <w:rPr>
          <w:rFonts w:ascii="Calibri" w:hAnsi="Calibri" w:cs="Calibri"/>
          <w:sz w:val="20"/>
        </w:rPr>
      </w:pPr>
      <w:r w:rsidRPr="00717E02">
        <w:rPr>
          <w:rFonts w:ascii="Calibri" w:hAnsi="Calibri" w:cs="Calibri"/>
          <w:bCs/>
          <w:sz w:val="20"/>
          <w:u w:val="single"/>
        </w:rPr>
        <w:t>Vyhl. MV SR č.699/2004 Z.z.,</w:t>
      </w:r>
      <w:r w:rsidRPr="00717E02">
        <w:rPr>
          <w:rFonts w:ascii="Calibri" w:hAnsi="Calibri" w:cs="Calibri"/>
          <w:bCs/>
          <w:sz w:val="20"/>
        </w:rPr>
        <w:t xml:space="preserve"> </w:t>
      </w:r>
      <w:r w:rsidRPr="00717E02">
        <w:rPr>
          <w:rFonts w:ascii="Calibri" w:hAnsi="Calibri" w:cs="Calibri"/>
          <w:sz w:val="20"/>
        </w:rPr>
        <w:t>o zabezpečení stavieb vodou na hasenie požiarov,</w:t>
      </w:r>
    </w:p>
    <w:p w:rsidR="00B473D2" w:rsidRPr="00717E02" w:rsidRDefault="00B473D2" w:rsidP="00B473D2">
      <w:pPr>
        <w:tabs>
          <w:tab w:val="left" w:pos="2127"/>
        </w:tabs>
        <w:jc w:val="both"/>
        <w:rPr>
          <w:rFonts w:ascii="Calibri" w:hAnsi="Calibri" w:cs="Calibri"/>
          <w:iCs/>
          <w:sz w:val="20"/>
        </w:rPr>
      </w:pPr>
      <w:r w:rsidRPr="00717E02">
        <w:rPr>
          <w:rFonts w:ascii="Calibri" w:hAnsi="Calibri" w:cs="Calibri"/>
          <w:bCs/>
          <w:iCs/>
          <w:sz w:val="20"/>
          <w:u w:val="single"/>
        </w:rPr>
        <w:t>STN 92 0201-1</w:t>
      </w:r>
      <w:r w:rsidRPr="00717E02">
        <w:rPr>
          <w:rFonts w:ascii="Calibri" w:hAnsi="Calibri" w:cs="Calibri"/>
          <w:bCs/>
          <w:iCs/>
          <w:sz w:val="20"/>
        </w:rPr>
        <w:t xml:space="preserve">  </w:t>
      </w:r>
      <w:r w:rsidRPr="00717E02">
        <w:rPr>
          <w:rFonts w:ascii="Calibri" w:hAnsi="Calibri" w:cs="Calibri"/>
          <w:iCs/>
          <w:sz w:val="20"/>
        </w:rPr>
        <w:t>Požiarna bezpečnosť stavieb. Spoločné ustanovenia. Časť 1 : Požiarne riziko, veľkosť požiarneho úseku,</w:t>
      </w:r>
    </w:p>
    <w:p w:rsidR="00B473D2" w:rsidRPr="00717E02" w:rsidRDefault="00B473D2" w:rsidP="00B473D2">
      <w:pPr>
        <w:jc w:val="both"/>
        <w:rPr>
          <w:rFonts w:ascii="Calibri" w:hAnsi="Calibri" w:cs="Calibri"/>
          <w:sz w:val="20"/>
        </w:rPr>
      </w:pPr>
      <w:r w:rsidRPr="00717E02">
        <w:rPr>
          <w:rFonts w:ascii="Calibri" w:hAnsi="Calibri" w:cs="Calibri"/>
          <w:sz w:val="20"/>
          <w:u w:val="single"/>
        </w:rPr>
        <w:t>Vyhl. MV SR č.401/2007 Z.z.</w:t>
      </w:r>
      <w:r w:rsidRPr="00717E02">
        <w:rPr>
          <w:rFonts w:ascii="Calibri" w:hAnsi="Calibri" w:cs="Calibri"/>
          <w:sz w:val="20"/>
        </w:rPr>
        <w:t xml:space="preserve"> o technických podmienkach a požiadavkách na protipožiarnu bezpečnosť pri inštalácii a prevádzkovaní palivového spotrebiča, eletrotepelného spotrebiča a zariadenia ústredného vykurovania a pri výstavbe a pri používaní komína a dymovodu a o lehotách ich čistenia a vykonávania kontrol,</w:t>
      </w:r>
    </w:p>
    <w:p w:rsidR="00B473D2" w:rsidRPr="00717E02" w:rsidRDefault="00B473D2" w:rsidP="00B473D2">
      <w:pPr>
        <w:jc w:val="both"/>
        <w:rPr>
          <w:rFonts w:ascii="Calibri" w:hAnsi="Calibri" w:cs="Calibri"/>
          <w:iCs/>
          <w:sz w:val="20"/>
        </w:rPr>
      </w:pPr>
      <w:r w:rsidRPr="00717E02">
        <w:rPr>
          <w:rFonts w:ascii="Calibri" w:hAnsi="Calibri" w:cs="Calibri"/>
          <w:bCs/>
          <w:iCs/>
          <w:sz w:val="20"/>
          <w:u w:val="single"/>
        </w:rPr>
        <w:t>STN 92 0201-2</w:t>
      </w:r>
      <w:r w:rsidRPr="00717E02">
        <w:rPr>
          <w:rFonts w:ascii="Calibri" w:hAnsi="Calibri" w:cs="Calibri"/>
          <w:bCs/>
          <w:iCs/>
          <w:sz w:val="20"/>
        </w:rPr>
        <w:t xml:space="preserve">   </w:t>
      </w:r>
      <w:r w:rsidRPr="00717E02">
        <w:rPr>
          <w:rFonts w:ascii="Calibri" w:hAnsi="Calibri" w:cs="Calibri"/>
          <w:iCs/>
          <w:sz w:val="20"/>
        </w:rPr>
        <w:t>Požiarna bezpečnosť stavieb. Spoločné ustanovenia. Časť 2 : Stavebné konštrukcie,</w:t>
      </w:r>
    </w:p>
    <w:p w:rsidR="00B473D2" w:rsidRPr="00717E02" w:rsidRDefault="00B473D2" w:rsidP="00B473D2">
      <w:pPr>
        <w:jc w:val="both"/>
        <w:rPr>
          <w:rFonts w:ascii="Calibri" w:hAnsi="Calibri" w:cs="Calibri"/>
          <w:iCs/>
          <w:sz w:val="20"/>
        </w:rPr>
      </w:pPr>
      <w:r w:rsidRPr="00717E02">
        <w:rPr>
          <w:rFonts w:ascii="Calibri" w:hAnsi="Calibri" w:cs="Calibri"/>
          <w:bCs/>
          <w:iCs/>
          <w:sz w:val="20"/>
          <w:u w:val="single"/>
        </w:rPr>
        <w:t>STN 92 0201-3</w:t>
      </w:r>
      <w:r w:rsidRPr="00717E02">
        <w:rPr>
          <w:rFonts w:ascii="Calibri" w:hAnsi="Calibri" w:cs="Calibri"/>
          <w:bCs/>
          <w:iCs/>
          <w:sz w:val="20"/>
        </w:rPr>
        <w:t xml:space="preserve">   </w:t>
      </w:r>
      <w:r w:rsidRPr="00717E02">
        <w:rPr>
          <w:rFonts w:ascii="Calibri" w:hAnsi="Calibri" w:cs="Calibri"/>
          <w:iCs/>
          <w:sz w:val="20"/>
        </w:rPr>
        <w:t>Požiarna bezpečnosť stavieb. Spoločné ustanovenia. Časť 3 : Únikové cesty a evakuácia osôb,</w:t>
      </w:r>
    </w:p>
    <w:p w:rsidR="00B473D2" w:rsidRPr="00717E02" w:rsidRDefault="00B473D2" w:rsidP="00B473D2">
      <w:pPr>
        <w:jc w:val="both"/>
        <w:rPr>
          <w:rFonts w:ascii="Calibri" w:hAnsi="Calibri" w:cs="Calibri"/>
          <w:iCs/>
          <w:sz w:val="20"/>
        </w:rPr>
      </w:pPr>
      <w:r w:rsidRPr="00717E02">
        <w:rPr>
          <w:rFonts w:ascii="Calibri" w:hAnsi="Calibri" w:cs="Calibri"/>
          <w:bCs/>
          <w:iCs/>
          <w:sz w:val="20"/>
          <w:u w:val="single"/>
        </w:rPr>
        <w:t>STN 92 0201-4</w:t>
      </w:r>
      <w:r w:rsidRPr="00717E02">
        <w:rPr>
          <w:rFonts w:ascii="Calibri" w:hAnsi="Calibri" w:cs="Calibri"/>
          <w:bCs/>
          <w:iCs/>
          <w:sz w:val="20"/>
        </w:rPr>
        <w:t xml:space="preserve">   </w:t>
      </w:r>
      <w:r w:rsidRPr="00717E02">
        <w:rPr>
          <w:rFonts w:ascii="Calibri" w:hAnsi="Calibri" w:cs="Calibri"/>
          <w:iCs/>
          <w:sz w:val="20"/>
        </w:rPr>
        <w:t>Požiarna bezpečnosť stavieb. Spoločné ustanovenia. Časť 4 : Odstupové vzdialenosti,</w:t>
      </w:r>
    </w:p>
    <w:p w:rsidR="00B473D2" w:rsidRPr="00717E02" w:rsidRDefault="00B473D2" w:rsidP="00B473D2">
      <w:pPr>
        <w:jc w:val="both"/>
        <w:rPr>
          <w:rFonts w:ascii="Calibri" w:hAnsi="Calibri" w:cs="Calibri"/>
          <w:sz w:val="20"/>
        </w:rPr>
      </w:pPr>
      <w:r w:rsidRPr="00717E02">
        <w:rPr>
          <w:rFonts w:ascii="Calibri" w:hAnsi="Calibri" w:cs="Calibri"/>
          <w:bCs/>
          <w:sz w:val="20"/>
          <w:u w:val="single"/>
        </w:rPr>
        <w:t xml:space="preserve">STN 92 02 41 </w:t>
      </w:r>
      <w:r w:rsidRPr="00717E02">
        <w:rPr>
          <w:rFonts w:ascii="Calibri" w:hAnsi="Calibri" w:cs="Calibri"/>
          <w:bCs/>
          <w:sz w:val="20"/>
        </w:rPr>
        <w:t xml:space="preserve">  </w:t>
      </w:r>
      <w:r w:rsidRPr="00717E02">
        <w:rPr>
          <w:rFonts w:ascii="Calibri" w:hAnsi="Calibri" w:cs="Calibri"/>
          <w:sz w:val="20"/>
        </w:rPr>
        <w:t>Požiarna bezpečnosť stavieb</w:t>
      </w:r>
      <w:r w:rsidRPr="00717E02">
        <w:rPr>
          <w:rFonts w:ascii="Calibri" w:hAnsi="Calibri" w:cs="Calibri"/>
          <w:bCs/>
          <w:sz w:val="20"/>
        </w:rPr>
        <w:t xml:space="preserve"> / </w:t>
      </w:r>
      <w:r w:rsidRPr="00717E02">
        <w:rPr>
          <w:rFonts w:ascii="Calibri" w:hAnsi="Calibri" w:cs="Calibri"/>
          <w:sz w:val="20"/>
        </w:rPr>
        <w:t>Obsadenie objektov osobami,</w:t>
      </w:r>
    </w:p>
    <w:p w:rsidR="00B473D2" w:rsidRPr="00717E02" w:rsidRDefault="00B473D2" w:rsidP="00B473D2">
      <w:pPr>
        <w:jc w:val="both"/>
        <w:rPr>
          <w:rFonts w:ascii="Calibri" w:hAnsi="Calibri" w:cs="Calibri"/>
          <w:sz w:val="20"/>
        </w:rPr>
      </w:pPr>
      <w:r w:rsidRPr="00717E02">
        <w:rPr>
          <w:rFonts w:ascii="Calibri" w:hAnsi="Calibri" w:cs="Calibri"/>
          <w:bCs/>
          <w:iCs/>
          <w:sz w:val="20"/>
          <w:u w:val="single"/>
        </w:rPr>
        <w:t>STN 92 0400</w:t>
      </w:r>
      <w:r w:rsidRPr="00717E02">
        <w:rPr>
          <w:rFonts w:ascii="Calibri" w:hAnsi="Calibri" w:cs="Calibri"/>
          <w:bCs/>
          <w:iCs/>
          <w:sz w:val="20"/>
        </w:rPr>
        <w:tab/>
      </w:r>
      <w:r w:rsidRPr="00717E02">
        <w:rPr>
          <w:rFonts w:ascii="Calibri" w:hAnsi="Calibri" w:cs="Calibri"/>
          <w:iCs/>
          <w:sz w:val="20"/>
        </w:rPr>
        <w:t>Požiarna bezpečnosť stavieb. Zásobovanie vodou na hasenie požiarov,</w:t>
      </w:r>
    </w:p>
    <w:p w:rsidR="00B473D2" w:rsidRPr="00717E02" w:rsidRDefault="00B473D2" w:rsidP="00B473D2">
      <w:pPr>
        <w:jc w:val="both"/>
        <w:rPr>
          <w:rFonts w:ascii="Calibri" w:hAnsi="Calibri" w:cs="Calibri"/>
          <w:sz w:val="20"/>
        </w:rPr>
      </w:pPr>
      <w:r w:rsidRPr="00717E02">
        <w:rPr>
          <w:rFonts w:ascii="Calibri" w:hAnsi="Calibri" w:cs="Calibri"/>
          <w:bCs/>
          <w:iCs/>
          <w:sz w:val="20"/>
          <w:u w:val="single"/>
        </w:rPr>
        <w:t>STN  92 0202-1</w:t>
      </w:r>
      <w:r w:rsidRPr="00717E02">
        <w:rPr>
          <w:rFonts w:ascii="Calibri" w:hAnsi="Calibri" w:cs="Calibri"/>
          <w:b/>
          <w:bCs/>
          <w:iCs/>
          <w:sz w:val="20"/>
        </w:rPr>
        <w:t xml:space="preserve"> </w:t>
      </w:r>
      <w:r w:rsidRPr="00717E02">
        <w:rPr>
          <w:rFonts w:ascii="Calibri" w:hAnsi="Calibri" w:cs="Calibri"/>
          <w:iCs/>
          <w:sz w:val="20"/>
        </w:rPr>
        <w:t>Požiarna bezpečnosť stavieb. Vybavovanie stavieb hasiacimi prístrojmi.</w:t>
      </w:r>
      <w:r w:rsidRPr="00717E02">
        <w:rPr>
          <w:rFonts w:ascii="Calibri" w:hAnsi="Calibri" w:cs="Calibri"/>
          <w:sz w:val="20"/>
        </w:rPr>
        <w:t xml:space="preserve"> </w:t>
      </w:r>
    </w:p>
    <w:p w:rsidR="00B473D2" w:rsidRPr="00717E02" w:rsidRDefault="00B473D2" w:rsidP="00B473D2">
      <w:pPr>
        <w:jc w:val="both"/>
        <w:rPr>
          <w:rFonts w:ascii="Calibri" w:hAnsi="Calibri" w:cs="Calibri"/>
          <w:sz w:val="20"/>
          <w:lang w:eastAsia="cs-CZ"/>
        </w:rPr>
      </w:pPr>
    </w:p>
    <w:p w:rsidR="00B473D2" w:rsidRPr="00717E02" w:rsidRDefault="00B473D2" w:rsidP="00B473D2">
      <w:pPr>
        <w:spacing w:line="0" w:lineRule="atLeast"/>
        <w:jc w:val="both"/>
        <w:rPr>
          <w:rFonts w:ascii="Calibri" w:hAnsi="Calibri" w:cs="Calibri"/>
          <w:b/>
          <w:sz w:val="20"/>
        </w:rPr>
      </w:pPr>
      <w:r w:rsidRPr="00717E02">
        <w:rPr>
          <w:rFonts w:ascii="Calibri" w:hAnsi="Calibri" w:cs="Calibri"/>
          <w:b/>
          <w:sz w:val="20"/>
        </w:rPr>
        <w:t>Záver</w:t>
      </w:r>
    </w:p>
    <w:p w:rsidR="00B473D2" w:rsidRPr="00717E02" w:rsidRDefault="00B473D2" w:rsidP="00B473D2">
      <w:pPr>
        <w:spacing w:line="0" w:lineRule="atLeast"/>
        <w:jc w:val="both"/>
        <w:rPr>
          <w:rFonts w:ascii="Calibri" w:hAnsi="Calibri" w:cs="Calibri"/>
          <w:b/>
          <w:sz w:val="20"/>
        </w:rPr>
      </w:pPr>
    </w:p>
    <w:p w:rsidR="00B473D2" w:rsidRPr="00717E02" w:rsidRDefault="00B473D2" w:rsidP="00B473D2">
      <w:pPr>
        <w:jc w:val="both"/>
        <w:rPr>
          <w:rFonts w:ascii="Calibri" w:hAnsi="Calibri" w:cs="Calibri"/>
          <w:sz w:val="20"/>
        </w:rPr>
      </w:pPr>
      <w:r w:rsidRPr="00717E02">
        <w:rPr>
          <w:rFonts w:ascii="Calibri" w:hAnsi="Calibri" w:cs="Calibri"/>
          <w:sz w:val="20"/>
        </w:rPr>
        <w:t xml:space="preserve">Projektová  dokumentácia protipožiarnej bezpečnosti stavby je vypracovaná v súlade s citovanými STN a predpismi. Preventívne opatrenia požiarnej ochrany musí zabezpečovať majiteľ a užívateľ v zmysle príslušných vyhlášok a smerníc. </w:t>
      </w:r>
      <w:r w:rsidRPr="00717E02">
        <w:rPr>
          <w:rFonts w:ascii="Calibri" w:hAnsi="Calibri" w:cs="Calibri"/>
          <w:sz w:val="20"/>
          <w:shd w:val="clear" w:color="auto" w:fill="FFFFFF"/>
        </w:rPr>
        <w:t>Upozorňujem, že v prípade akýchkoľvek zmien ako v spracovanom projekte protipožiarnej bezpečnosti stavby, je nutné vypracovať ich posúdenie z hľadiska protipožiarnej bezpečnosti stavby špecialistom po a predložiť projekt na opätovné schválenie príslušnému orgánu.</w:t>
      </w:r>
    </w:p>
    <w:p w:rsidR="00B473D2" w:rsidRPr="00717E02" w:rsidRDefault="00B473D2" w:rsidP="00B473D2">
      <w:pPr>
        <w:jc w:val="both"/>
        <w:rPr>
          <w:rFonts w:ascii="Calibri" w:hAnsi="Calibri" w:cs="Calibri"/>
          <w:b/>
          <w:sz w:val="20"/>
          <w:lang w:eastAsia="cs-CZ"/>
        </w:rPr>
      </w:pPr>
    </w:p>
    <w:p w:rsidR="00717E02" w:rsidRDefault="00717E02" w:rsidP="00B473D2">
      <w:pPr>
        <w:jc w:val="both"/>
        <w:rPr>
          <w:rFonts w:ascii="Calibri" w:hAnsi="Calibri" w:cs="Calibri"/>
          <w:b/>
          <w:sz w:val="20"/>
          <w:lang w:eastAsia="cs-CZ"/>
        </w:rPr>
      </w:pPr>
    </w:p>
    <w:p w:rsidR="00B473D2" w:rsidRPr="00717E02" w:rsidRDefault="00B473D2" w:rsidP="00B473D2">
      <w:pPr>
        <w:jc w:val="both"/>
        <w:rPr>
          <w:rFonts w:ascii="Calibri" w:hAnsi="Calibri" w:cs="Calibri"/>
          <w:b/>
          <w:sz w:val="20"/>
          <w:lang w:eastAsia="cs-CZ"/>
        </w:rPr>
      </w:pPr>
      <w:r w:rsidRPr="00717E02">
        <w:rPr>
          <w:rFonts w:ascii="Calibri" w:hAnsi="Calibri" w:cs="Calibri"/>
          <w:b/>
          <w:sz w:val="20"/>
          <w:lang w:eastAsia="cs-CZ"/>
        </w:rPr>
        <w:t>PRÍKLAD INŠTALÁCIE OCHRANNEJ PODLOŽKY PRI KOZUBE S OTVORENÝM OHNISKOM A NEHORĽAVEJ ÚPRAVY STENY OKOLO VSTAVANÉHO SPOTREBIČA S OTVORENÝM OHNISKOM A KOZUBA S OTVORENÝM OHNISKOM</w:t>
      </w:r>
    </w:p>
    <w:p w:rsidR="00B473D2" w:rsidRPr="00717E02" w:rsidRDefault="00B473D2" w:rsidP="00B473D2">
      <w:pPr>
        <w:jc w:val="both"/>
        <w:rPr>
          <w:rFonts w:ascii="Calibri" w:hAnsi="Calibri" w:cs="Calibri"/>
          <w:b/>
          <w:sz w:val="20"/>
          <w:lang w:eastAsia="cs-CZ"/>
        </w:rPr>
      </w:pPr>
      <w:r w:rsidRPr="00717E02">
        <w:rPr>
          <w:rFonts w:ascii="Calibri" w:hAnsi="Calibri" w:cs="Calibri"/>
          <w:b/>
          <w:sz w:val="20"/>
          <w:lang w:eastAsia="cs-CZ"/>
        </w:rPr>
        <w:t>V zmysle prílohy 4 vyhl. MV 401/2007 Z.z.</w:t>
      </w:r>
    </w:p>
    <w:p w:rsidR="007A5218"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b/>
          <w:bCs/>
          <w:sz w:val="20"/>
          <w:lang w:val="cs-CZ" w:eastAsia="cs-CZ"/>
        </w:rPr>
        <w:tab/>
      </w:r>
      <w:r w:rsidRPr="00717E02">
        <w:rPr>
          <w:rFonts w:ascii="Calibri" w:hAnsi="Calibri" w:cs="Calibri"/>
          <w:b/>
          <w:bCs/>
          <w:sz w:val="20"/>
          <w:lang w:val="cs-CZ" w:eastAsia="cs-CZ"/>
        </w:rPr>
        <w:tab/>
      </w:r>
      <w:r w:rsidRPr="00717E02">
        <w:rPr>
          <w:rFonts w:ascii="Calibri" w:hAnsi="Calibri" w:cs="Calibri"/>
          <w:b/>
          <w:bCs/>
          <w:sz w:val="20"/>
          <w:lang w:val="cs-CZ" w:eastAsia="cs-CZ"/>
        </w:rPr>
        <w:tab/>
      </w:r>
      <w:r w:rsidRPr="00717E02">
        <w:rPr>
          <w:rFonts w:ascii="Calibri" w:hAnsi="Calibri" w:cs="Calibri"/>
          <w:b/>
          <w:bCs/>
          <w:sz w:val="20"/>
          <w:lang w:val="cs-CZ" w:eastAsia="cs-CZ"/>
        </w:rPr>
        <w:tab/>
      </w:r>
      <w:r w:rsidRPr="00717E02">
        <w:rPr>
          <w:rFonts w:ascii="Calibri" w:hAnsi="Calibri" w:cs="Calibri"/>
          <w:b/>
          <w:bCs/>
          <w:sz w:val="20"/>
          <w:lang w:val="cs-CZ" w:eastAsia="cs-CZ"/>
        </w:rPr>
        <w:tab/>
      </w:r>
      <w:r w:rsidRPr="00717E02">
        <w:rPr>
          <w:rFonts w:ascii="Calibri" w:hAnsi="Calibri" w:cs="Calibri"/>
          <w:sz w:val="20"/>
          <w:lang w:val="cs-CZ" w:eastAsia="cs-CZ"/>
        </w:rPr>
        <w:t xml:space="preserve">         </w:t>
      </w:r>
      <w:r w:rsidRPr="00717E02">
        <w:rPr>
          <w:rFonts w:ascii="Calibri" w:hAnsi="Calibri" w:cs="Calibri"/>
          <w:sz w:val="20"/>
          <w:lang w:val="cs-CZ" w:eastAsia="cs-CZ"/>
        </w:rPr>
        <w:tab/>
      </w:r>
    </w:p>
    <w:p w:rsidR="007A5218" w:rsidRPr="00717E02" w:rsidRDefault="007A5218" w:rsidP="00B473D2">
      <w:pPr>
        <w:autoSpaceDE w:val="0"/>
        <w:autoSpaceDN w:val="0"/>
        <w:adjustRightInd w:val="0"/>
        <w:jc w:val="both"/>
        <w:rPr>
          <w:rFonts w:ascii="Calibri" w:hAnsi="Calibri" w:cs="Calibri"/>
          <w:sz w:val="20"/>
          <w:lang w:val="cs-CZ" w:eastAsia="cs-CZ"/>
        </w:rPr>
      </w:pPr>
    </w:p>
    <w:p w:rsidR="007A5218" w:rsidRPr="00717E02" w:rsidRDefault="007A5218" w:rsidP="00B473D2">
      <w:pPr>
        <w:autoSpaceDE w:val="0"/>
        <w:autoSpaceDN w:val="0"/>
        <w:adjustRightInd w:val="0"/>
        <w:jc w:val="both"/>
        <w:rPr>
          <w:rFonts w:ascii="Calibri" w:hAnsi="Calibri" w:cs="Calibri"/>
          <w:sz w:val="20"/>
          <w:lang w:val="cs-CZ" w:eastAsia="cs-CZ"/>
        </w:rPr>
      </w:pPr>
    </w:p>
    <w:p w:rsidR="00B473D2" w:rsidRPr="00717E02" w:rsidRDefault="007A5218" w:rsidP="00B473D2">
      <w:pPr>
        <w:autoSpaceDE w:val="0"/>
        <w:autoSpaceDN w:val="0"/>
        <w:adjustRightInd w:val="0"/>
        <w:jc w:val="both"/>
        <w:rPr>
          <w:rFonts w:ascii="Calibri" w:hAnsi="Calibri" w:cs="Calibri"/>
          <w:sz w:val="20"/>
          <w:lang w:val="cs-CZ" w:eastAsia="cs-CZ"/>
        </w:rPr>
      </w:pPr>
      <w:r w:rsidRPr="00717E02">
        <w:rPr>
          <w:rFonts w:ascii="Calibri" w:hAnsi="Calibri" w:cs="Calibri"/>
          <w:noProof/>
          <w:sz w:val="20"/>
        </w:rPr>
        <w:drawing>
          <wp:anchor distT="0" distB="0" distL="114300" distR="114300" simplePos="0" relativeHeight="251669504" behindDoc="1" locked="0" layoutInCell="1" allowOverlap="1" wp14:anchorId="78B5100B" wp14:editId="3B6388C1">
            <wp:simplePos x="0" y="0"/>
            <wp:positionH relativeFrom="column">
              <wp:posOffset>-191135</wp:posOffset>
            </wp:positionH>
            <wp:positionV relativeFrom="paragraph">
              <wp:posOffset>-267335</wp:posOffset>
            </wp:positionV>
            <wp:extent cx="2329269" cy="2377440"/>
            <wp:effectExtent l="0" t="0" r="0" b="3810"/>
            <wp:wrapNone/>
            <wp:docPr id="62" name="Obrázo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31059" cy="2379267"/>
                    </a:xfrm>
                    <a:prstGeom prst="rect">
                      <a:avLst/>
                    </a:prstGeom>
                    <a:noFill/>
                    <a:ln>
                      <a:noFill/>
                    </a:ln>
                  </pic:spPr>
                </pic:pic>
              </a:graphicData>
            </a:graphic>
            <wp14:sizeRelH relativeFrom="page">
              <wp14:pctWidth>0</wp14:pctWidth>
            </wp14:sizeRelH>
            <wp14:sizeRelV relativeFrom="page">
              <wp14:pctHeight>0</wp14:pctHeight>
            </wp14:sizeRelV>
          </wp:anchor>
        </w:drawing>
      </w:r>
      <w:r w:rsidR="00B473D2" w:rsidRPr="00717E02">
        <w:rPr>
          <w:rFonts w:ascii="Calibri" w:hAnsi="Calibri" w:cs="Calibri"/>
          <w:sz w:val="20"/>
          <w:lang w:val="cs-CZ" w:eastAsia="cs-CZ"/>
        </w:rPr>
        <w:t>Vysvetlivky:</w:t>
      </w:r>
    </w:p>
    <w:p w:rsidR="00B473D2" w:rsidRPr="00717E02" w:rsidRDefault="00B473D2" w:rsidP="00B473D2">
      <w:pPr>
        <w:autoSpaceDE w:val="0"/>
        <w:autoSpaceDN w:val="0"/>
        <w:adjustRightInd w:val="0"/>
        <w:ind w:left="4254"/>
        <w:jc w:val="both"/>
        <w:rPr>
          <w:rFonts w:ascii="Calibri" w:hAnsi="Calibri" w:cs="Calibri"/>
          <w:sz w:val="20"/>
          <w:lang w:val="cs-CZ" w:eastAsia="cs-CZ"/>
        </w:rPr>
      </w:pPr>
      <w:r w:rsidRPr="00717E02">
        <w:rPr>
          <w:rFonts w:ascii="Calibri" w:hAnsi="Calibri" w:cs="Calibri"/>
          <w:sz w:val="20"/>
          <w:lang w:val="cs-CZ" w:eastAsia="cs-CZ"/>
        </w:rPr>
        <w:t>1 – nehorľavá povrchová úprava steny okolo kozuba s otvoreným ohniskom</w:t>
      </w:r>
    </w:p>
    <w:p w:rsidR="00B473D2" w:rsidRPr="00717E02" w:rsidRDefault="00B473D2" w:rsidP="00B473D2">
      <w:pPr>
        <w:autoSpaceDE w:val="0"/>
        <w:autoSpaceDN w:val="0"/>
        <w:adjustRightInd w:val="0"/>
        <w:ind w:left="4254"/>
        <w:jc w:val="both"/>
        <w:rPr>
          <w:rFonts w:ascii="Calibri" w:hAnsi="Calibri" w:cs="Calibri"/>
          <w:sz w:val="20"/>
          <w:lang w:val="cs-CZ" w:eastAsia="cs-CZ"/>
        </w:rPr>
      </w:pPr>
      <w:r w:rsidRPr="00717E02">
        <w:rPr>
          <w:rFonts w:ascii="Calibri" w:hAnsi="Calibri" w:cs="Calibri"/>
          <w:sz w:val="20"/>
          <w:lang w:val="cs-CZ" w:eastAsia="cs-CZ"/>
        </w:rPr>
        <w:t>2 – povrchová úprava steny z materiálov triedy reakcie na oheň B, C, D, E alebo F</w:t>
      </w:r>
    </w:p>
    <w:p w:rsidR="00B473D2" w:rsidRPr="00717E02" w:rsidRDefault="00B473D2" w:rsidP="00B473D2">
      <w:pPr>
        <w:autoSpaceDE w:val="0"/>
        <w:autoSpaceDN w:val="0"/>
        <w:adjustRightInd w:val="0"/>
        <w:ind w:left="4254"/>
        <w:jc w:val="both"/>
        <w:rPr>
          <w:rFonts w:ascii="Calibri" w:hAnsi="Calibri" w:cs="Calibri"/>
          <w:sz w:val="20"/>
          <w:lang w:val="cs-CZ" w:eastAsia="cs-CZ"/>
        </w:rPr>
      </w:pPr>
      <w:r w:rsidRPr="00717E02">
        <w:rPr>
          <w:rFonts w:ascii="Calibri" w:hAnsi="Calibri" w:cs="Calibri"/>
          <w:sz w:val="20"/>
          <w:lang w:val="cs-CZ" w:eastAsia="cs-CZ"/>
        </w:rPr>
        <w:t>3 – ochranná podložka kozuba chrániaca podlahu z materiálov triedy reakcie na oheň Bfl, Cfl, Dfl, Efl alebo Ffl před jeho tepelnými účinkami a pred náhodne vypadnutými časťami paliva</w:t>
      </w:r>
    </w:p>
    <w:p w:rsidR="00B473D2" w:rsidRPr="00717E02" w:rsidRDefault="00B473D2" w:rsidP="00B473D2">
      <w:pPr>
        <w:autoSpaceDE w:val="0"/>
        <w:autoSpaceDN w:val="0"/>
        <w:adjustRightInd w:val="0"/>
        <w:ind w:left="4254"/>
        <w:jc w:val="both"/>
        <w:rPr>
          <w:rFonts w:ascii="Calibri" w:hAnsi="Calibri" w:cs="Calibri"/>
          <w:sz w:val="20"/>
          <w:lang w:val="cs-CZ" w:eastAsia="cs-CZ"/>
        </w:rPr>
      </w:pPr>
      <w:r w:rsidRPr="00717E02">
        <w:rPr>
          <w:rFonts w:ascii="Calibri" w:hAnsi="Calibri" w:cs="Calibri"/>
          <w:sz w:val="20"/>
          <w:lang w:val="cs-CZ" w:eastAsia="cs-CZ"/>
        </w:rPr>
        <w:t xml:space="preserve">- - - – v takto vyznačenom priestore sa nesmú skladovať ani ukladať žiadne materiály triedy reakcie na oheň </w:t>
      </w:r>
      <w:proofErr w:type="gramStart"/>
      <w:r w:rsidRPr="00717E02">
        <w:rPr>
          <w:rFonts w:ascii="Calibri" w:hAnsi="Calibri" w:cs="Calibri"/>
          <w:sz w:val="20"/>
          <w:lang w:val="cs-CZ" w:eastAsia="cs-CZ"/>
        </w:rPr>
        <w:t>B,C</w:t>
      </w:r>
      <w:proofErr w:type="gramEnd"/>
      <w:r w:rsidRPr="00717E02">
        <w:rPr>
          <w:rFonts w:ascii="Calibri" w:hAnsi="Calibri" w:cs="Calibri"/>
          <w:sz w:val="20"/>
          <w:lang w:val="cs-CZ" w:eastAsia="cs-CZ"/>
        </w:rPr>
        <w:t>,D,E alebo F a horľavé predmety</w:t>
      </w:r>
    </w:p>
    <w:p w:rsidR="00B473D2" w:rsidRPr="00717E02" w:rsidRDefault="00B473D2" w:rsidP="00B473D2">
      <w:pPr>
        <w:autoSpaceDE w:val="0"/>
        <w:autoSpaceDN w:val="0"/>
        <w:adjustRightInd w:val="0"/>
        <w:jc w:val="both"/>
        <w:rPr>
          <w:rFonts w:ascii="Calibri" w:hAnsi="Calibri" w:cs="Calibri"/>
          <w:sz w:val="20"/>
          <w:lang w:val="cs-CZ" w:eastAsia="cs-CZ"/>
        </w:rPr>
      </w:pPr>
    </w:p>
    <w:p w:rsidR="00B473D2" w:rsidRPr="00717E02" w:rsidRDefault="00B473D2" w:rsidP="00B473D2">
      <w:pPr>
        <w:autoSpaceDE w:val="0"/>
        <w:autoSpaceDN w:val="0"/>
        <w:adjustRightInd w:val="0"/>
        <w:jc w:val="both"/>
        <w:rPr>
          <w:rFonts w:ascii="Calibri" w:hAnsi="Calibri" w:cs="Calibri"/>
          <w:sz w:val="20"/>
          <w:lang w:val="cs-CZ" w:eastAsia="cs-CZ"/>
        </w:rPr>
      </w:pPr>
    </w:p>
    <w:p w:rsidR="00B473D2" w:rsidRPr="000D00F5" w:rsidRDefault="00B473D2" w:rsidP="00B473D2">
      <w:pPr>
        <w:autoSpaceDE w:val="0"/>
        <w:autoSpaceDN w:val="0"/>
        <w:adjustRightInd w:val="0"/>
        <w:jc w:val="both"/>
        <w:rPr>
          <w:rFonts w:ascii="Calibri" w:hAnsi="Calibri" w:cs="Calibri"/>
          <w:b/>
          <w:bCs/>
          <w:sz w:val="20"/>
          <w:highlight w:val="lightGray"/>
          <w:lang w:val="cs-CZ" w:eastAsia="cs-CZ"/>
        </w:rPr>
      </w:pPr>
    </w:p>
    <w:p w:rsidR="00B473D2" w:rsidRPr="000D00F5" w:rsidRDefault="00B473D2" w:rsidP="00B473D2">
      <w:pPr>
        <w:autoSpaceDE w:val="0"/>
        <w:autoSpaceDN w:val="0"/>
        <w:adjustRightInd w:val="0"/>
        <w:jc w:val="both"/>
        <w:rPr>
          <w:rFonts w:ascii="Calibri" w:hAnsi="Calibri" w:cs="Calibri"/>
          <w:b/>
          <w:bCs/>
          <w:sz w:val="20"/>
          <w:highlight w:val="lightGray"/>
          <w:lang w:val="cs-CZ" w:eastAsia="cs-CZ"/>
        </w:rPr>
      </w:pPr>
    </w:p>
    <w:p w:rsidR="00B473D2" w:rsidRPr="000D00F5" w:rsidRDefault="00B473D2" w:rsidP="00B473D2">
      <w:pPr>
        <w:jc w:val="both"/>
        <w:rPr>
          <w:rFonts w:ascii="Calibri" w:hAnsi="Calibri" w:cs="Calibri"/>
          <w:b/>
          <w:sz w:val="20"/>
          <w:highlight w:val="lightGray"/>
          <w:lang w:eastAsia="cs-CZ"/>
        </w:rPr>
      </w:pPr>
    </w:p>
    <w:p w:rsidR="00B473D2" w:rsidRPr="000D00F5" w:rsidRDefault="00B473D2" w:rsidP="00B473D2">
      <w:pPr>
        <w:autoSpaceDE w:val="0"/>
        <w:autoSpaceDN w:val="0"/>
        <w:adjustRightInd w:val="0"/>
        <w:jc w:val="both"/>
        <w:rPr>
          <w:rFonts w:ascii="Calibri" w:hAnsi="Calibri" w:cs="Calibri"/>
          <w:b/>
          <w:bCs/>
          <w:sz w:val="20"/>
          <w:highlight w:val="lightGray"/>
          <w:lang w:val="cs-CZ" w:eastAsia="cs-CZ"/>
        </w:rPr>
      </w:pPr>
    </w:p>
    <w:p w:rsidR="00B473D2" w:rsidRPr="00717E02" w:rsidRDefault="00B473D2" w:rsidP="00B473D2">
      <w:pPr>
        <w:autoSpaceDE w:val="0"/>
        <w:autoSpaceDN w:val="0"/>
        <w:adjustRightInd w:val="0"/>
        <w:jc w:val="both"/>
        <w:rPr>
          <w:rFonts w:ascii="Calibri" w:hAnsi="Calibri" w:cs="Calibri"/>
          <w:b/>
          <w:bCs/>
          <w:sz w:val="20"/>
          <w:lang w:val="cs-CZ" w:eastAsia="cs-CZ"/>
        </w:rPr>
      </w:pPr>
      <w:proofErr w:type="gramStart"/>
      <w:r w:rsidRPr="00717E02">
        <w:rPr>
          <w:rFonts w:ascii="Calibri" w:hAnsi="Calibri" w:cs="Calibri"/>
          <w:b/>
          <w:bCs/>
          <w:sz w:val="20"/>
          <w:lang w:val="cs-CZ" w:eastAsia="cs-CZ"/>
        </w:rPr>
        <w:lastRenderedPageBreak/>
        <w:t>PRÍKLAD  UMIESTNENIA</w:t>
      </w:r>
      <w:proofErr w:type="gramEnd"/>
      <w:r w:rsidRPr="00717E02">
        <w:rPr>
          <w:rFonts w:ascii="Calibri" w:hAnsi="Calibri" w:cs="Calibri"/>
          <w:b/>
          <w:bCs/>
          <w:sz w:val="20"/>
          <w:lang w:val="cs-CZ" w:eastAsia="cs-CZ"/>
        </w:rPr>
        <w:t xml:space="preserve"> DREVENEJ KONŠTRUKCIE V BLÍZKOSTI KOMÍNOVÝCH TELIES</w:t>
      </w:r>
    </w:p>
    <w:p w:rsidR="00B473D2" w:rsidRPr="00717E02" w:rsidRDefault="00B473D2" w:rsidP="00B473D2">
      <w:pPr>
        <w:jc w:val="both"/>
        <w:rPr>
          <w:rFonts w:ascii="Calibri" w:hAnsi="Calibri" w:cs="Calibri"/>
          <w:b/>
          <w:sz w:val="20"/>
          <w:lang w:eastAsia="cs-CZ"/>
        </w:rPr>
      </w:pPr>
      <w:r w:rsidRPr="00717E02">
        <w:rPr>
          <w:rFonts w:ascii="Calibri" w:hAnsi="Calibri" w:cs="Calibri"/>
          <w:b/>
          <w:sz w:val="20"/>
          <w:lang w:eastAsia="cs-CZ"/>
        </w:rPr>
        <w:t>V zmysle prílohy 7 vyhl. MV 401/2007 Z.z.</w:t>
      </w:r>
    </w:p>
    <w:p w:rsidR="00B473D2" w:rsidRPr="00717E02" w:rsidRDefault="00B473D2" w:rsidP="00B473D2">
      <w:pPr>
        <w:autoSpaceDE w:val="0"/>
        <w:autoSpaceDN w:val="0"/>
        <w:adjustRightInd w:val="0"/>
        <w:jc w:val="both"/>
        <w:rPr>
          <w:rFonts w:ascii="Calibri" w:hAnsi="Calibri" w:cs="Calibri"/>
          <w:b/>
          <w:bCs/>
          <w:sz w:val="20"/>
          <w:lang w:val="cs-CZ" w:eastAsia="cs-CZ"/>
        </w:rPr>
      </w:pPr>
      <w:r w:rsidRPr="00717E02">
        <w:rPr>
          <w:rFonts w:ascii="Calibri" w:hAnsi="Calibri" w:cs="Calibri"/>
          <w:noProof/>
          <w:sz w:val="20"/>
        </w:rPr>
        <w:drawing>
          <wp:anchor distT="0" distB="0" distL="114300" distR="114300" simplePos="0" relativeHeight="251667456" behindDoc="1" locked="0" layoutInCell="1" allowOverlap="1" wp14:anchorId="55356304" wp14:editId="508BCE1B">
            <wp:simplePos x="0" y="0"/>
            <wp:positionH relativeFrom="column">
              <wp:posOffset>-70485</wp:posOffset>
            </wp:positionH>
            <wp:positionV relativeFrom="paragraph">
              <wp:posOffset>9525</wp:posOffset>
            </wp:positionV>
            <wp:extent cx="2950845" cy="2256155"/>
            <wp:effectExtent l="0" t="0" r="1905" b="0"/>
            <wp:wrapSquare wrapText="bothSides"/>
            <wp:docPr id="61" name="Obrázo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0845" cy="2256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 xml:space="preserve"> Vysvetlivky:</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1 – minimálna voľná bezpečná vzdialenosť 50 mm</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2 – bezpečná vzdialenosť zmenšená nehorľavou tepelnou izoláciou s hrúbkou 10 mm</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3 – trámová výmena</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4 – nosný trám</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5 – viacvrstvový komín</w:t>
      </w:r>
    </w:p>
    <w:p w:rsidR="00B473D2" w:rsidRPr="00717E02" w:rsidRDefault="00B473D2" w:rsidP="00B473D2">
      <w:pPr>
        <w:jc w:val="both"/>
        <w:rPr>
          <w:rFonts w:ascii="Calibri" w:hAnsi="Calibri" w:cs="Calibri"/>
          <w:b/>
          <w:sz w:val="20"/>
          <w:lang w:eastAsia="cs-CZ"/>
        </w:rPr>
      </w:pPr>
    </w:p>
    <w:p w:rsidR="00B473D2" w:rsidRPr="00717E02" w:rsidRDefault="00B473D2" w:rsidP="00B473D2">
      <w:pPr>
        <w:jc w:val="both"/>
        <w:rPr>
          <w:rFonts w:ascii="Calibri" w:hAnsi="Calibri" w:cs="Calibri"/>
          <w:b/>
          <w:sz w:val="20"/>
          <w:lang w:eastAsia="cs-CZ"/>
        </w:rPr>
      </w:pPr>
    </w:p>
    <w:p w:rsidR="00B473D2" w:rsidRPr="00717E02" w:rsidRDefault="00B473D2" w:rsidP="00B473D2">
      <w:pPr>
        <w:jc w:val="both"/>
        <w:rPr>
          <w:rFonts w:ascii="Calibri" w:hAnsi="Calibri" w:cs="Calibri"/>
          <w:b/>
          <w:sz w:val="20"/>
          <w:lang w:eastAsia="cs-CZ"/>
        </w:rPr>
      </w:pPr>
    </w:p>
    <w:p w:rsidR="00B473D2" w:rsidRPr="00717E02" w:rsidRDefault="00B473D2" w:rsidP="00B473D2">
      <w:pPr>
        <w:jc w:val="both"/>
        <w:rPr>
          <w:rFonts w:ascii="Calibri" w:hAnsi="Calibri" w:cs="Calibri"/>
          <w:b/>
          <w:sz w:val="20"/>
          <w:lang w:eastAsia="cs-CZ"/>
        </w:rPr>
      </w:pPr>
    </w:p>
    <w:p w:rsidR="00B473D2" w:rsidRPr="00717E02" w:rsidRDefault="00B473D2" w:rsidP="00B473D2">
      <w:pPr>
        <w:jc w:val="both"/>
        <w:rPr>
          <w:rFonts w:ascii="Calibri" w:hAnsi="Calibri" w:cs="Calibri"/>
          <w:b/>
          <w:sz w:val="20"/>
          <w:lang w:eastAsia="cs-CZ"/>
        </w:rPr>
      </w:pPr>
      <w:r w:rsidRPr="00717E02">
        <w:rPr>
          <w:rFonts w:ascii="Calibri" w:hAnsi="Calibri" w:cs="Calibri"/>
          <w:noProof/>
          <w:sz w:val="20"/>
        </w:rPr>
        <w:drawing>
          <wp:anchor distT="0" distB="0" distL="114300" distR="114300" simplePos="0" relativeHeight="251668480" behindDoc="0" locked="0" layoutInCell="1" allowOverlap="1" wp14:anchorId="7C247561" wp14:editId="052A30FE">
            <wp:simplePos x="0" y="0"/>
            <wp:positionH relativeFrom="column">
              <wp:posOffset>2954655</wp:posOffset>
            </wp:positionH>
            <wp:positionV relativeFrom="paragraph">
              <wp:posOffset>162560</wp:posOffset>
            </wp:positionV>
            <wp:extent cx="2876550" cy="2983865"/>
            <wp:effectExtent l="0" t="0" r="0" b="6985"/>
            <wp:wrapSquare wrapText="bothSides"/>
            <wp:docPr id="60" name="Obrázo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6550" cy="29838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73D2" w:rsidRPr="00717E02" w:rsidRDefault="00B473D2" w:rsidP="00B473D2">
      <w:pPr>
        <w:jc w:val="both"/>
        <w:rPr>
          <w:rFonts w:ascii="Calibri" w:hAnsi="Calibri" w:cs="Calibri"/>
          <w:b/>
          <w:sz w:val="20"/>
          <w:lang w:eastAsia="cs-CZ"/>
        </w:rPr>
      </w:pPr>
    </w:p>
    <w:p w:rsidR="00B473D2" w:rsidRPr="00717E02" w:rsidRDefault="00B473D2" w:rsidP="00B473D2">
      <w:pPr>
        <w:jc w:val="both"/>
        <w:rPr>
          <w:rFonts w:ascii="Calibri" w:hAnsi="Calibri" w:cs="Calibri"/>
          <w:b/>
          <w:sz w:val="20"/>
          <w:lang w:eastAsia="cs-CZ"/>
        </w:rPr>
      </w:pPr>
    </w:p>
    <w:p w:rsidR="00B473D2" w:rsidRPr="00717E02" w:rsidRDefault="00B473D2" w:rsidP="00B473D2">
      <w:pPr>
        <w:jc w:val="both"/>
        <w:rPr>
          <w:rFonts w:ascii="Calibri" w:hAnsi="Calibri" w:cs="Calibri"/>
          <w:b/>
          <w:sz w:val="20"/>
          <w:lang w:eastAsia="cs-CZ"/>
        </w:rPr>
      </w:pPr>
    </w:p>
    <w:p w:rsidR="00B473D2" w:rsidRPr="00717E02" w:rsidRDefault="00B473D2" w:rsidP="00B473D2">
      <w:pPr>
        <w:jc w:val="both"/>
        <w:rPr>
          <w:rFonts w:ascii="Calibri" w:hAnsi="Calibri" w:cs="Calibri"/>
          <w:b/>
          <w:sz w:val="20"/>
          <w:lang w:eastAsia="cs-CZ"/>
        </w:rPr>
      </w:pPr>
    </w:p>
    <w:p w:rsidR="00B473D2" w:rsidRPr="00717E02" w:rsidRDefault="00B473D2" w:rsidP="00B473D2">
      <w:pPr>
        <w:jc w:val="both"/>
        <w:rPr>
          <w:rFonts w:ascii="Calibri" w:hAnsi="Calibri" w:cs="Calibri"/>
          <w:b/>
          <w:sz w:val="20"/>
          <w:lang w:eastAsia="cs-CZ"/>
        </w:rPr>
      </w:pPr>
    </w:p>
    <w:p w:rsidR="00B473D2" w:rsidRPr="00717E02" w:rsidRDefault="00B473D2" w:rsidP="00B473D2">
      <w:pPr>
        <w:jc w:val="both"/>
        <w:rPr>
          <w:rFonts w:ascii="Calibri" w:hAnsi="Calibri" w:cs="Calibri"/>
          <w:b/>
          <w:sz w:val="20"/>
          <w:lang w:eastAsia="cs-CZ"/>
        </w:rPr>
      </w:pPr>
    </w:p>
    <w:p w:rsidR="00B473D2" w:rsidRPr="00717E02" w:rsidRDefault="00B473D2" w:rsidP="00B473D2">
      <w:pPr>
        <w:rPr>
          <w:rFonts w:ascii="Calibri" w:hAnsi="Calibri" w:cs="Calibri"/>
          <w:b/>
          <w:sz w:val="20"/>
          <w:lang w:eastAsia="cs-CZ"/>
        </w:rPr>
      </w:pPr>
      <w:r w:rsidRPr="00717E02">
        <w:rPr>
          <w:rFonts w:ascii="Calibri" w:hAnsi="Calibri" w:cs="Calibri"/>
          <w:b/>
          <w:sz w:val="20"/>
          <w:lang w:eastAsia="cs-CZ"/>
        </w:rPr>
        <w:t>PRESTUP DYMOVODU STROPOM, KTORÝ OBSAHUJE MATERIÁLY TRIEDY REAKCIE NA OHEŇ B, al. C, D, E, F</w:t>
      </w:r>
    </w:p>
    <w:p w:rsidR="00B473D2" w:rsidRPr="00717E02" w:rsidRDefault="00B473D2" w:rsidP="00B473D2">
      <w:pPr>
        <w:jc w:val="right"/>
        <w:rPr>
          <w:rFonts w:ascii="Calibri" w:hAnsi="Calibri" w:cs="Calibri"/>
          <w:b/>
          <w:sz w:val="20"/>
          <w:lang w:eastAsia="cs-CZ"/>
        </w:rPr>
      </w:pPr>
      <w:r w:rsidRPr="00717E02">
        <w:rPr>
          <w:rFonts w:ascii="Calibri" w:hAnsi="Calibri" w:cs="Calibri"/>
          <w:b/>
          <w:sz w:val="20"/>
          <w:lang w:eastAsia="cs-CZ"/>
        </w:rPr>
        <w:t>V zmysle prílohy 9 vyhl. MV 401/2007 Z.z.</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Legenda</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1 – strop</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2 – dymovod</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3 – nadstavec dymovodu</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4 – ochranná rúra (nehorľavá)</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5 – príložka (nehorľavá)</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6 – stropná objímka (nehorľavá)</w:t>
      </w:r>
    </w:p>
    <w:p w:rsidR="00B473D2" w:rsidRPr="00717E02" w:rsidRDefault="00B473D2" w:rsidP="00B473D2">
      <w:pPr>
        <w:autoSpaceDE w:val="0"/>
        <w:autoSpaceDN w:val="0"/>
        <w:adjustRightInd w:val="0"/>
        <w:jc w:val="both"/>
        <w:rPr>
          <w:rFonts w:ascii="Calibri" w:hAnsi="Calibri" w:cs="Calibri"/>
          <w:sz w:val="20"/>
          <w:lang w:val="cs-CZ" w:eastAsia="cs-CZ"/>
        </w:rPr>
      </w:pPr>
      <w:r w:rsidRPr="00717E02">
        <w:rPr>
          <w:rFonts w:ascii="Calibri" w:hAnsi="Calibri" w:cs="Calibri"/>
          <w:sz w:val="20"/>
          <w:lang w:val="cs-CZ" w:eastAsia="cs-CZ"/>
        </w:rPr>
        <w:t>7 – strieška (nehorľavá)</w:t>
      </w:r>
    </w:p>
    <w:p w:rsidR="007A5218" w:rsidRPr="00717E02" w:rsidRDefault="007A5218" w:rsidP="00B473D2">
      <w:pPr>
        <w:autoSpaceDE w:val="0"/>
        <w:autoSpaceDN w:val="0"/>
        <w:adjustRightInd w:val="0"/>
        <w:jc w:val="both"/>
        <w:rPr>
          <w:rFonts w:ascii="Calibri" w:hAnsi="Calibri" w:cs="Calibri"/>
          <w:b/>
          <w:iCs/>
          <w:sz w:val="24"/>
        </w:rPr>
      </w:pPr>
    </w:p>
    <w:p w:rsidR="007A5218" w:rsidRPr="00717E02" w:rsidRDefault="007A5218" w:rsidP="00B473D2">
      <w:pPr>
        <w:autoSpaceDE w:val="0"/>
        <w:autoSpaceDN w:val="0"/>
        <w:adjustRightInd w:val="0"/>
        <w:jc w:val="both"/>
        <w:rPr>
          <w:rFonts w:ascii="Calibri" w:hAnsi="Calibri" w:cs="Calibri"/>
          <w:b/>
          <w:iCs/>
          <w:sz w:val="24"/>
        </w:rPr>
      </w:pPr>
    </w:p>
    <w:p w:rsidR="007A5218" w:rsidRPr="00717E02" w:rsidRDefault="007A5218" w:rsidP="00B473D2">
      <w:pPr>
        <w:autoSpaceDE w:val="0"/>
        <w:autoSpaceDN w:val="0"/>
        <w:adjustRightInd w:val="0"/>
        <w:jc w:val="both"/>
        <w:rPr>
          <w:rFonts w:ascii="Calibri" w:hAnsi="Calibri" w:cs="Calibri"/>
          <w:b/>
          <w:iCs/>
          <w:sz w:val="24"/>
        </w:rPr>
      </w:pPr>
    </w:p>
    <w:p w:rsidR="00763F78" w:rsidRPr="00717E02" w:rsidRDefault="009371A4" w:rsidP="00B473D2">
      <w:pPr>
        <w:autoSpaceDE w:val="0"/>
        <w:autoSpaceDN w:val="0"/>
        <w:adjustRightInd w:val="0"/>
        <w:jc w:val="both"/>
        <w:rPr>
          <w:rFonts w:ascii="Calibri" w:hAnsi="Calibri" w:cs="Calibri"/>
          <w:b/>
          <w:iCs/>
          <w:sz w:val="20"/>
        </w:rPr>
      </w:pPr>
      <w:r w:rsidRPr="00717E02">
        <w:rPr>
          <w:rFonts w:ascii="Calibri" w:hAnsi="Calibri" w:cs="Calibri"/>
          <w:b/>
          <w:iCs/>
          <w:sz w:val="24"/>
        </w:rPr>
        <w:t>PROTIPOŽIARNA BEZPEČNOSŤ STAVBY ( SO 02 )</w:t>
      </w:r>
    </w:p>
    <w:p w:rsidR="00763F78" w:rsidRPr="000D00F5" w:rsidRDefault="00763F78" w:rsidP="00B473D2">
      <w:pPr>
        <w:autoSpaceDE w:val="0"/>
        <w:autoSpaceDN w:val="0"/>
        <w:adjustRightInd w:val="0"/>
        <w:jc w:val="both"/>
        <w:rPr>
          <w:rFonts w:ascii="Calibri" w:hAnsi="Calibri" w:cs="Calibri"/>
          <w:b/>
          <w:iCs/>
          <w:sz w:val="20"/>
          <w:highlight w:val="lightGray"/>
        </w:rPr>
      </w:pPr>
    </w:p>
    <w:p w:rsidR="009371A4" w:rsidRPr="00717E02" w:rsidRDefault="009371A4" w:rsidP="007A5218">
      <w:pPr>
        <w:jc w:val="both"/>
        <w:rPr>
          <w:rFonts w:ascii="Calibri" w:hAnsi="Calibri" w:cs="Calibri"/>
          <w:sz w:val="20"/>
        </w:rPr>
      </w:pPr>
      <w:r w:rsidRPr="00717E02">
        <w:rPr>
          <w:rFonts w:ascii="Calibri" w:hAnsi="Calibri" w:cs="Calibri"/>
          <w:sz w:val="20"/>
        </w:rPr>
        <w:t xml:space="preserve">Predmetom riešenia protipožiarnej bezpečnosti je stavebný objekt SO02-Vinárska výroba v rámci Vinárstva S Strekov. Stavebný objekt je navrhnutý v zástavbe s podzemnou existujúcou pivnicou (SO04), sú navzájom staticky nezávislé (stýkajú sa iba pod úrovňou terénu).  Navrhovaný objekt SO02 a jestvujúca pivnica budú navzájom komunikačne prepojené (pivnica bude slúžiť ako príručný sklad drevených sudov s vínom). </w:t>
      </w:r>
    </w:p>
    <w:p w:rsidR="009371A4" w:rsidRPr="00717E02" w:rsidRDefault="009371A4" w:rsidP="007A5218">
      <w:pPr>
        <w:jc w:val="both"/>
        <w:rPr>
          <w:rFonts w:ascii="Calibri" w:hAnsi="Calibri" w:cs="Calibri"/>
          <w:b/>
          <w:sz w:val="20"/>
          <w:u w:val="single"/>
        </w:rPr>
      </w:pPr>
      <w:r w:rsidRPr="00717E02">
        <w:rPr>
          <w:rFonts w:ascii="Calibri" w:hAnsi="Calibri" w:cs="Calibri"/>
          <w:b/>
          <w:sz w:val="20"/>
          <w:u w:val="single"/>
        </w:rPr>
        <w:t xml:space="preserve">Nasledovné riešenie je vypracované v rozsahu projektu stavby prikladaného k žiadosti o vydanie stavebného povolenia. </w:t>
      </w:r>
    </w:p>
    <w:p w:rsidR="009371A4" w:rsidRPr="00717E02" w:rsidRDefault="009371A4" w:rsidP="007A5218">
      <w:pPr>
        <w:jc w:val="both"/>
        <w:rPr>
          <w:rFonts w:ascii="Calibri" w:hAnsi="Calibri" w:cs="Calibri"/>
          <w:iCs/>
          <w:sz w:val="20"/>
        </w:rPr>
      </w:pPr>
      <w:r w:rsidRPr="00717E02">
        <w:rPr>
          <w:rFonts w:ascii="Calibri" w:hAnsi="Calibri" w:cs="Calibri"/>
          <w:sz w:val="20"/>
        </w:rPr>
        <w:t xml:space="preserve"> </w:t>
      </w:r>
      <w:r w:rsidRPr="00717E02">
        <w:rPr>
          <w:rFonts w:ascii="Calibri" w:hAnsi="Calibri" w:cs="Calibri"/>
          <w:sz w:val="20"/>
          <w:shd w:val="clear" w:color="auto" w:fill="FFFFFF"/>
        </w:rPr>
        <w:t xml:space="preserve">Riešenie protipožiarnej bezpečnosti je spracované v zmysle Vyhl. MV SR č.94/2004 Z.z. s novelami </w:t>
      </w:r>
      <w:r w:rsidRPr="00717E02">
        <w:rPr>
          <w:rFonts w:ascii="Calibri" w:hAnsi="Calibri" w:cs="Calibri"/>
          <w:iCs/>
          <w:sz w:val="20"/>
        </w:rPr>
        <w:t>č.307/2007 Z.z.</w:t>
      </w:r>
      <w:r w:rsidRPr="00717E02">
        <w:rPr>
          <w:rFonts w:ascii="Calibri" w:hAnsi="Calibri" w:cs="Calibri"/>
          <w:sz w:val="20"/>
          <w:shd w:val="clear" w:color="auto" w:fill="FFFFFF"/>
        </w:rPr>
        <w:t xml:space="preserve"> a </w:t>
      </w:r>
      <w:r w:rsidRPr="00717E02">
        <w:rPr>
          <w:rFonts w:ascii="Calibri" w:hAnsi="Calibri" w:cs="Calibri"/>
          <w:iCs/>
          <w:sz w:val="20"/>
        </w:rPr>
        <w:t>č.225/2012 Z.z</w:t>
      </w:r>
      <w:r w:rsidRPr="00717E02">
        <w:rPr>
          <w:rFonts w:ascii="Calibri" w:hAnsi="Calibri" w:cs="Calibri"/>
          <w:sz w:val="20"/>
          <w:shd w:val="clear" w:color="auto" w:fill="FFFFFF"/>
        </w:rPr>
        <w:t xml:space="preserve"> , č. ktorou sa</w:t>
      </w:r>
      <w:r w:rsidRPr="00717E02">
        <w:rPr>
          <w:rFonts w:ascii="Calibri" w:hAnsi="Calibri" w:cs="Calibri"/>
          <w:sz w:val="20"/>
        </w:rPr>
        <w:t xml:space="preserve"> ustanovujú technické požiadavky na protipožiarnu bezpečnosť pri výstavbe a pri užívaní stavieb</w:t>
      </w:r>
      <w:r w:rsidRPr="00717E02">
        <w:rPr>
          <w:rFonts w:ascii="Calibri" w:hAnsi="Calibri" w:cs="Calibri"/>
          <w:iCs/>
          <w:sz w:val="20"/>
        </w:rPr>
        <w:t xml:space="preserve">, </w:t>
      </w:r>
      <w:r w:rsidRPr="00717E02">
        <w:rPr>
          <w:rFonts w:ascii="Calibri" w:hAnsi="Calibri" w:cs="Calibri"/>
          <w:sz w:val="20"/>
        </w:rPr>
        <w:t xml:space="preserve">Vyhl. MV SR č.699/2004 Z.z. o zabezpečení stavieb vodou na hasenie požiarov, </w:t>
      </w:r>
      <w:r w:rsidRPr="00717E02">
        <w:rPr>
          <w:rFonts w:ascii="Calibri" w:hAnsi="Calibri" w:cs="Calibri"/>
          <w:iCs/>
          <w:sz w:val="20"/>
        </w:rPr>
        <w:t>STN 92 0201-1, STN 92 0201-2, STN 92 0201-3, STN 92 0201-4, STN 92 0400 a ďalších nadväzných STN z oboru ochrany pred požiarmi.</w:t>
      </w:r>
    </w:p>
    <w:p w:rsidR="009371A4" w:rsidRPr="00717E02" w:rsidRDefault="009371A4" w:rsidP="009371A4">
      <w:pPr>
        <w:ind w:firstLine="576"/>
        <w:jc w:val="both"/>
        <w:rPr>
          <w:rFonts w:ascii="Calibri" w:hAnsi="Calibri" w:cs="Calibri"/>
          <w:iCs/>
          <w:sz w:val="20"/>
        </w:rPr>
      </w:pPr>
    </w:p>
    <w:p w:rsidR="009371A4" w:rsidRPr="00717E02" w:rsidRDefault="009371A4" w:rsidP="00717E02">
      <w:pPr>
        <w:contextualSpacing/>
        <w:rPr>
          <w:rFonts w:ascii="Calibri" w:hAnsi="Calibri" w:cs="Calibri"/>
          <w:bCs/>
          <w:sz w:val="20"/>
          <w:u w:val="single"/>
        </w:rPr>
      </w:pPr>
      <w:r w:rsidRPr="00717E02">
        <w:rPr>
          <w:rFonts w:ascii="Calibri" w:hAnsi="Calibri" w:cs="Calibri"/>
          <w:bCs/>
          <w:sz w:val="20"/>
          <w:u w:val="single"/>
        </w:rPr>
        <w:t>Stavba je z hľadiska protipožiarnej bezpečnosti navrhnutá tak, aby v prípade vzniku požiaru :</w:t>
      </w:r>
    </w:p>
    <w:p w:rsidR="009371A4" w:rsidRPr="00717E02" w:rsidRDefault="009371A4" w:rsidP="00717E02">
      <w:pPr>
        <w:contextualSpacing/>
        <w:rPr>
          <w:rFonts w:ascii="Calibri" w:hAnsi="Calibri" w:cs="Calibri"/>
          <w:sz w:val="20"/>
        </w:rPr>
      </w:pPr>
      <w:r w:rsidRPr="00717E02">
        <w:rPr>
          <w:rFonts w:ascii="Calibri" w:hAnsi="Calibri" w:cs="Calibri"/>
          <w:sz w:val="20"/>
        </w:rPr>
        <w:t xml:space="preserve">a) zostala na čas určený technickými špecifikáciami zachovaná jej nosnosť a stabilita,                                                                                                                             </w:t>
      </w:r>
    </w:p>
    <w:p w:rsidR="009371A4" w:rsidRPr="00717E02" w:rsidRDefault="009371A4" w:rsidP="00717E02">
      <w:pPr>
        <w:contextualSpacing/>
        <w:rPr>
          <w:rFonts w:ascii="Calibri" w:hAnsi="Calibri" w:cs="Calibri"/>
          <w:sz w:val="20"/>
        </w:rPr>
      </w:pPr>
      <w:r w:rsidRPr="00717E02">
        <w:rPr>
          <w:rFonts w:ascii="Calibri" w:hAnsi="Calibri" w:cs="Calibri"/>
          <w:sz w:val="20"/>
        </w:rPr>
        <w:t xml:space="preserve">b) bola umožnená bezpečná evakuácia osôb z horiacej alebo požiarom </w:t>
      </w:r>
      <w:r w:rsidRPr="00717E02">
        <w:rPr>
          <w:rFonts w:ascii="Calibri" w:hAnsi="Calibri" w:cs="Calibri"/>
          <w:sz w:val="20"/>
        </w:rPr>
        <w:br/>
        <w:t xml:space="preserve">    ohrozenej stavby na voľné priestranstvo alebo do iného požiarom neohrozeného </w:t>
      </w:r>
      <w:r w:rsidRPr="00717E02">
        <w:rPr>
          <w:rFonts w:ascii="Calibri" w:hAnsi="Calibri" w:cs="Calibri"/>
          <w:sz w:val="20"/>
        </w:rPr>
        <w:br/>
        <w:t xml:space="preserve">    priestoru,                                                                                                                                          </w:t>
      </w:r>
    </w:p>
    <w:p w:rsidR="009371A4" w:rsidRPr="00717E02" w:rsidRDefault="009371A4" w:rsidP="00717E02">
      <w:pPr>
        <w:contextualSpacing/>
        <w:rPr>
          <w:rFonts w:ascii="Calibri" w:hAnsi="Calibri" w:cs="Calibri"/>
          <w:sz w:val="20"/>
        </w:rPr>
      </w:pPr>
      <w:r w:rsidRPr="00717E02">
        <w:rPr>
          <w:rFonts w:ascii="Calibri" w:hAnsi="Calibri" w:cs="Calibri"/>
          <w:sz w:val="20"/>
        </w:rPr>
        <w:lastRenderedPageBreak/>
        <w:t xml:space="preserve">c) sa zabránilo šíreniu požiaru a dymu medzi jednotlivými požiarnymi úsekmi vnútri </w:t>
      </w:r>
      <w:r w:rsidRPr="00717E02">
        <w:rPr>
          <w:rFonts w:ascii="Calibri" w:hAnsi="Calibri" w:cs="Calibri"/>
          <w:sz w:val="20"/>
        </w:rPr>
        <w:br/>
        <w:t xml:space="preserve">    stavby alebo na inú stavbu,</w:t>
      </w:r>
      <w:r w:rsidRPr="00717E02">
        <w:rPr>
          <w:rFonts w:ascii="Calibri" w:hAnsi="Calibri" w:cs="Calibri"/>
          <w:sz w:val="20"/>
        </w:rPr>
        <w:br/>
        <w:t>d) bol umožnený odvod splodín horenia mimo stavby,</w:t>
      </w:r>
    </w:p>
    <w:p w:rsidR="009371A4" w:rsidRPr="00717E02" w:rsidRDefault="009371A4" w:rsidP="00717E02">
      <w:pPr>
        <w:rPr>
          <w:rFonts w:ascii="Calibri" w:hAnsi="Calibri" w:cs="Calibri"/>
          <w:sz w:val="20"/>
        </w:rPr>
      </w:pPr>
      <w:r w:rsidRPr="00717E02">
        <w:rPr>
          <w:rFonts w:ascii="Calibri" w:hAnsi="Calibri" w:cs="Calibri"/>
          <w:sz w:val="20"/>
        </w:rPr>
        <w:t xml:space="preserve">e) bol umožnený účinný a bezpečný zásah jednotky požiarnej ochrany pri zdolávaní </w:t>
      </w:r>
      <w:r w:rsidRPr="00717E02">
        <w:rPr>
          <w:rFonts w:ascii="Calibri" w:hAnsi="Calibri" w:cs="Calibri"/>
          <w:sz w:val="20"/>
        </w:rPr>
        <w:br/>
        <w:t xml:space="preserve">    požiaru a vykonávaní záchranných prác.</w:t>
      </w:r>
    </w:p>
    <w:p w:rsidR="009371A4" w:rsidRPr="00717E02" w:rsidRDefault="009371A4" w:rsidP="009371A4">
      <w:pPr>
        <w:contextualSpacing/>
        <w:jc w:val="both"/>
        <w:rPr>
          <w:rFonts w:ascii="Calibri" w:hAnsi="Calibri" w:cs="Calibri"/>
          <w:sz w:val="20"/>
        </w:rPr>
      </w:pPr>
    </w:p>
    <w:p w:rsidR="009371A4" w:rsidRPr="00717E02" w:rsidRDefault="009371A4" w:rsidP="009371A4">
      <w:pPr>
        <w:contextualSpacing/>
        <w:jc w:val="both"/>
        <w:rPr>
          <w:rFonts w:ascii="Calibri" w:hAnsi="Calibri" w:cs="Calibri"/>
          <w:sz w:val="20"/>
          <w:u w:val="single"/>
        </w:rPr>
      </w:pPr>
      <w:r w:rsidRPr="00717E02">
        <w:rPr>
          <w:rFonts w:ascii="Calibri" w:hAnsi="Calibri" w:cs="Calibri"/>
          <w:sz w:val="20"/>
          <w:u w:val="single"/>
        </w:rPr>
        <w:t>Riešenie požiarnej bezpečnosti obsahuje:</w:t>
      </w:r>
    </w:p>
    <w:p w:rsidR="009371A4" w:rsidRPr="00717E02" w:rsidRDefault="009371A4" w:rsidP="009371A4">
      <w:pPr>
        <w:contextualSpacing/>
        <w:jc w:val="both"/>
        <w:rPr>
          <w:rFonts w:ascii="Calibri" w:hAnsi="Calibri" w:cs="Calibri"/>
          <w:sz w:val="20"/>
        </w:rPr>
      </w:pPr>
      <w:r w:rsidRPr="00717E02">
        <w:rPr>
          <w:rFonts w:ascii="Calibri" w:hAnsi="Calibri" w:cs="Calibri"/>
          <w:sz w:val="20"/>
        </w:rPr>
        <w:t>a) členenie stavby na požiarne úseky</w:t>
      </w:r>
    </w:p>
    <w:p w:rsidR="009371A4" w:rsidRPr="00717E02" w:rsidRDefault="009371A4" w:rsidP="009371A4">
      <w:pPr>
        <w:contextualSpacing/>
        <w:jc w:val="both"/>
        <w:rPr>
          <w:rFonts w:ascii="Calibri" w:hAnsi="Calibri" w:cs="Calibri"/>
          <w:sz w:val="20"/>
        </w:rPr>
      </w:pPr>
      <w:r w:rsidRPr="00717E02">
        <w:rPr>
          <w:rFonts w:ascii="Calibri" w:hAnsi="Calibri" w:cs="Calibri"/>
          <w:sz w:val="20"/>
        </w:rPr>
        <w:t>b) určenie požiarneho rizika</w:t>
      </w:r>
    </w:p>
    <w:p w:rsidR="009371A4" w:rsidRPr="00717E02" w:rsidRDefault="009371A4" w:rsidP="009371A4">
      <w:pPr>
        <w:contextualSpacing/>
        <w:jc w:val="both"/>
        <w:rPr>
          <w:rFonts w:ascii="Calibri" w:hAnsi="Calibri" w:cs="Calibri"/>
          <w:sz w:val="20"/>
        </w:rPr>
      </w:pPr>
      <w:r w:rsidRPr="00717E02">
        <w:rPr>
          <w:rFonts w:ascii="Calibri" w:hAnsi="Calibri" w:cs="Calibri"/>
          <w:sz w:val="20"/>
        </w:rPr>
        <w:t>c) určenie požiadaviek na konštrukcie stavby</w:t>
      </w:r>
    </w:p>
    <w:p w:rsidR="009371A4" w:rsidRPr="00717E02" w:rsidRDefault="009371A4" w:rsidP="009371A4">
      <w:pPr>
        <w:contextualSpacing/>
        <w:jc w:val="both"/>
        <w:rPr>
          <w:rFonts w:ascii="Calibri" w:hAnsi="Calibri" w:cs="Calibri"/>
          <w:sz w:val="20"/>
        </w:rPr>
      </w:pPr>
      <w:r w:rsidRPr="00717E02">
        <w:rPr>
          <w:rFonts w:ascii="Calibri" w:hAnsi="Calibri" w:cs="Calibri"/>
          <w:sz w:val="20"/>
        </w:rPr>
        <w:t>d) zabezpečenie evakuácie osôb</w:t>
      </w:r>
    </w:p>
    <w:p w:rsidR="009371A4" w:rsidRPr="00717E02" w:rsidRDefault="009371A4" w:rsidP="009371A4">
      <w:pPr>
        <w:contextualSpacing/>
        <w:jc w:val="both"/>
        <w:rPr>
          <w:rFonts w:ascii="Calibri" w:hAnsi="Calibri" w:cs="Calibri"/>
          <w:sz w:val="20"/>
        </w:rPr>
      </w:pPr>
      <w:r w:rsidRPr="00717E02">
        <w:rPr>
          <w:rFonts w:ascii="Calibri" w:hAnsi="Calibri" w:cs="Calibri"/>
          <w:sz w:val="20"/>
        </w:rPr>
        <w:t>e) určenie požiadaviek na únikové cesty</w:t>
      </w:r>
    </w:p>
    <w:p w:rsidR="009371A4" w:rsidRPr="00717E02" w:rsidRDefault="009371A4" w:rsidP="009371A4">
      <w:pPr>
        <w:contextualSpacing/>
        <w:jc w:val="both"/>
        <w:rPr>
          <w:rFonts w:ascii="Calibri" w:hAnsi="Calibri" w:cs="Calibri"/>
          <w:sz w:val="20"/>
        </w:rPr>
      </w:pPr>
      <w:r w:rsidRPr="00717E02">
        <w:rPr>
          <w:rFonts w:ascii="Calibri" w:hAnsi="Calibri" w:cs="Calibri"/>
          <w:sz w:val="20"/>
        </w:rPr>
        <w:t>f) určenie odstupových vzdialeností</w:t>
      </w:r>
    </w:p>
    <w:p w:rsidR="009371A4" w:rsidRPr="00717E02" w:rsidRDefault="009371A4" w:rsidP="009371A4">
      <w:pPr>
        <w:contextualSpacing/>
        <w:jc w:val="both"/>
        <w:rPr>
          <w:rFonts w:ascii="Calibri" w:hAnsi="Calibri" w:cs="Calibri"/>
          <w:sz w:val="20"/>
        </w:rPr>
      </w:pPr>
      <w:r w:rsidRPr="00717E02">
        <w:rPr>
          <w:rFonts w:ascii="Calibri" w:hAnsi="Calibri" w:cs="Calibri"/>
          <w:sz w:val="20"/>
        </w:rPr>
        <w:t>g) určenie požiarnobezpečnostných opatrení</w:t>
      </w:r>
    </w:p>
    <w:p w:rsidR="009371A4" w:rsidRPr="00717E02" w:rsidRDefault="009371A4" w:rsidP="009371A4">
      <w:pPr>
        <w:contextualSpacing/>
        <w:jc w:val="both"/>
        <w:rPr>
          <w:rFonts w:ascii="Calibri" w:hAnsi="Calibri" w:cs="Calibri"/>
          <w:sz w:val="20"/>
        </w:rPr>
      </w:pPr>
      <w:r w:rsidRPr="00717E02">
        <w:rPr>
          <w:rFonts w:ascii="Calibri" w:hAnsi="Calibri" w:cs="Calibri"/>
          <w:sz w:val="20"/>
        </w:rPr>
        <w:t>h) určenie zariadení na zásah</w:t>
      </w:r>
    </w:p>
    <w:p w:rsidR="009371A4" w:rsidRPr="00717E02" w:rsidRDefault="009371A4" w:rsidP="009371A4">
      <w:pPr>
        <w:contextualSpacing/>
        <w:jc w:val="both"/>
        <w:rPr>
          <w:rFonts w:ascii="Calibri" w:hAnsi="Calibri" w:cs="Calibri"/>
          <w:b/>
          <w:sz w:val="20"/>
        </w:rPr>
      </w:pPr>
    </w:p>
    <w:p w:rsidR="009371A4" w:rsidRPr="00717E02" w:rsidRDefault="009371A4" w:rsidP="009371A4">
      <w:pPr>
        <w:contextualSpacing/>
        <w:jc w:val="both"/>
        <w:rPr>
          <w:rFonts w:ascii="Calibri" w:hAnsi="Calibri" w:cs="Calibri"/>
          <w:b/>
          <w:sz w:val="20"/>
        </w:rPr>
      </w:pPr>
      <w:r w:rsidRPr="00717E02">
        <w:rPr>
          <w:rFonts w:ascii="Calibri" w:hAnsi="Calibri" w:cs="Calibri"/>
          <w:b/>
          <w:sz w:val="20"/>
        </w:rPr>
        <w:t>SO02 VINÁRSKA VÝROBA</w:t>
      </w:r>
    </w:p>
    <w:p w:rsidR="009371A4" w:rsidRPr="00717E02" w:rsidRDefault="009371A4" w:rsidP="009371A4">
      <w:pPr>
        <w:contextualSpacing/>
        <w:jc w:val="both"/>
        <w:rPr>
          <w:rFonts w:ascii="Calibri" w:hAnsi="Calibri" w:cs="Calibri"/>
          <w:b/>
          <w:sz w:val="20"/>
        </w:rPr>
      </w:pPr>
    </w:p>
    <w:p w:rsidR="009371A4" w:rsidRPr="00717E02" w:rsidRDefault="009371A4" w:rsidP="009371A4">
      <w:pPr>
        <w:contextualSpacing/>
        <w:jc w:val="both"/>
        <w:rPr>
          <w:rFonts w:ascii="Calibri" w:hAnsi="Calibri" w:cs="Calibri"/>
          <w:b/>
          <w:sz w:val="20"/>
        </w:rPr>
      </w:pPr>
      <w:r w:rsidRPr="00717E02">
        <w:rPr>
          <w:rFonts w:ascii="Calibri" w:hAnsi="Calibri" w:cs="Calibri"/>
          <w:b/>
          <w:sz w:val="20"/>
        </w:rPr>
        <w:t xml:space="preserve">Konštrukčné a dispozičné riešenie </w:t>
      </w:r>
    </w:p>
    <w:p w:rsidR="009371A4" w:rsidRPr="00717E02" w:rsidRDefault="009371A4" w:rsidP="009371A4">
      <w:pPr>
        <w:contextualSpacing/>
        <w:jc w:val="both"/>
        <w:rPr>
          <w:rFonts w:ascii="Calibri" w:hAnsi="Calibri" w:cs="Calibri"/>
          <w:b/>
          <w:sz w:val="20"/>
        </w:rPr>
      </w:pP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objekt je navrhovaný s dvomi nadzemným podlažiami a s podzemným podlažím</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 xml:space="preserve">hlavný vstup do stavby je cez chodbu so schodiskom (m.č. 1.09) na 1.npp, daľšie vstupy na 1.np sú navrhnuté cez spojovací krčok (m.č.1.14), cez lisovňu, cez m.č. 1.22 </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jednotlivé podlažia sú navzájom komunikačne prepojené schodiskami</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v objekte sú navrhnuté nasledovné miestnosti na 1.pp: komunikačné jadro (chodba so schodiskom, ktoré vedie z 1.pp na 1.np), výťah, príručný sklad pre nerezové nádrže s vínom a príručný sklad pre drevené sudy vína</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na 1.np sú navrhnuté nasledovné miestnosti: komunikačné jadro, príručný sklad pre cukor a etikety, elektrická rozvodňa, výrobňa chladu, lisovňa s flaškovňou, spojovací krčok, chodba zázemie pre zamestnancov (denná miestnosť, wc, sprcha), upratovacia komora, laboratórium, príručný sklad pre laboratórium, príručný sklad fľaškovaného vína</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na 2.np sú nad časťou 1.np navrhnuté dva príručné podstrešné sklady- m.č. 2.05 (plastové prepravky), m.č. 2.06 (záhradný nábytok, náradie)</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výťahová plošina v objekte je navrhnutá ako nákladná pre prepravu výrobkov (nebude slúžiť ako požiarny ani evakuačný v prípade požiaru nebude využívaný- bude odstavený)</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 xml:space="preserve">nosný systém tvoria obvodové a vnútorné nosné steny </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na nadzemných podlažiach sú obvodové steny navrhnuté z keramických tvárnic a so zateplením minerálnou vlnou hr. 100mm</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v podzemnom podlaží sú navrhnuté železobetónové obvodové steny hr. 300mm so zateplením z xps hr. 100mm (pod úrovňou terénu)</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priečky sú murované</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stropné konštrukcie nad 1.pp a nad 1.np sú navrhnuté ako železobetónové hr. 200-220mm</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povrchovú úpravu tvorí obvodových stien zo strany exteriéru  tvorí omietka</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vnútornú povrchovú úpravu stien tvorí omietka prípadne keramický obklad, na železobetónových stenách na 1.pp je navrhnutý pohľadový betón</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podlahy sú navrhnuté ako betónová podlaha alebo polyuretanová podlaha alebo keramická dlažba (podľa legendy materiálov)</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objekt je zastrešený nad prevažnou časťou šikmou strechou, ktorej nosnú konštrukciu tvorí drevená krokvová sústava,  zo spodnej strany strechy  je navrhnutý sadrokartónový podhľad, strešná krytina je navrhnutá ako keramická</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strecha v šikmej časti je zateplená medzi krokvami tepelnou izoláciou na báze minerálnej vlny a nad krokvami tepelnou izoláciou drevovlákno steico</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v streche nie sú navrhované strešné okná</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nad spojovacím krčkom je navrhnutá plochá strecha, ktorej nosnú konštrukciu tvorí železobetónová stropná doska, na ktorej je navrhnutá tepelná izolácia z xps alt. fenolovej peny, hydroizolácia a štrkový násyp hr. 50mm</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lastRenderedPageBreak/>
        <w:t>vstup do lisovne je prestrešený pergolou s bezpečnostným sklom, nosné konštrukcie pergoly sú oceľové</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výška stavby je cca. 7,38m od úrovne terénu</w:t>
      </w:r>
    </w:p>
    <w:p w:rsidR="009371A4" w:rsidRPr="00717E02" w:rsidRDefault="009371A4" w:rsidP="00964D77">
      <w:pPr>
        <w:numPr>
          <w:ilvl w:val="0"/>
          <w:numId w:val="9"/>
        </w:numPr>
        <w:suppressAutoHyphens/>
        <w:spacing w:line="0" w:lineRule="atLeast"/>
        <w:contextualSpacing/>
        <w:jc w:val="both"/>
        <w:rPr>
          <w:rFonts w:ascii="Calibri" w:hAnsi="Calibri" w:cs="Calibri"/>
          <w:sz w:val="20"/>
        </w:rPr>
      </w:pPr>
      <w:r w:rsidRPr="00717E02">
        <w:rPr>
          <w:rFonts w:ascii="Calibri" w:hAnsi="Calibri" w:cs="Calibri"/>
          <w:sz w:val="20"/>
        </w:rPr>
        <w:t xml:space="preserve">pôdorysné  rozmery objektu sú 25,1m x 17,3m </w:t>
      </w:r>
    </w:p>
    <w:p w:rsidR="009371A4" w:rsidRPr="00717E02" w:rsidRDefault="009371A4" w:rsidP="009371A4">
      <w:pPr>
        <w:spacing w:line="0" w:lineRule="atLeast"/>
        <w:jc w:val="both"/>
        <w:rPr>
          <w:rFonts w:ascii="Calibri" w:hAnsi="Calibri" w:cs="Calibri"/>
          <w:b/>
          <w:sz w:val="20"/>
        </w:rPr>
      </w:pPr>
    </w:p>
    <w:p w:rsidR="009371A4" w:rsidRPr="00717E02" w:rsidRDefault="009371A4" w:rsidP="009371A4">
      <w:pPr>
        <w:spacing w:line="0" w:lineRule="atLeast"/>
        <w:jc w:val="both"/>
        <w:rPr>
          <w:rFonts w:ascii="Calibri" w:hAnsi="Calibri" w:cs="Calibri"/>
          <w:b/>
          <w:sz w:val="20"/>
        </w:rPr>
      </w:pPr>
      <w:r w:rsidRPr="00717E02">
        <w:rPr>
          <w:rFonts w:ascii="Calibri" w:hAnsi="Calibri" w:cs="Calibri"/>
          <w:b/>
          <w:sz w:val="20"/>
        </w:rPr>
        <w:t xml:space="preserve">Riešenie protipožiarnej bezpečnosti </w:t>
      </w:r>
    </w:p>
    <w:p w:rsidR="009371A4" w:rsidRPr="00717E02" w:rsidRDefault="009371A4" w:rsidP="009371A4">
      <w:pPr>
        <w:spacing w:line="0" w:lineRule="atLeast"/>
        <w:jc w:val="both"/>
        <w:rPr>
          <w:rFonts w:ascii="Calibri" w:hAnsi="Calibri" w:cs="Calibri"/>
          <w:b/>
          <w:sz w:val="20"/>
        </w:rPr>
      </w:pPr>
    </w:p>
    <w:p w:rsidR="009371A4" w:rsidRPr="00717E02" w:rsidRDefault="009371A4" w:rsidP="007A5218">
      <w:pPr>
        <w:spacing w:line="0" w:lineRule="atLeast"/>
        <w:contextualSpacing/>
        <w:jc w:val="both"/>
        <w:rPr>
          <w:rFonts w:ascii="Calibri" w:hAnsi="Calibri" w:cs="Calibri"/>
          <w:sz w:val="20"/>
        </w:rPr>
      </w:pPr>
      <w:r w:rsidRPr="00717E02">
        <w:rPr>
          <w:rFonts w:ascii="Calibri" w:hAnsi="Calibri" w:cs="Calibri"/>
          <w:sz w:val="20"/>
        </w:rPr>
        <w:t>Riešenie protipožiarnej bezpečnosti je vykonané podľa Vyhl. MV SR č. 94/2004 Z.z.</w:t>
      </w:r>
      <w:r w:rsidRPr="00717E02">
        <w:rPr>
          <w:rFonts w:ascii="Calibri" w:hAnsi="Calibri" w:cs="Calibri"/>
          <w:sz w:val="20"/>
          <w:shd w:val="clear" w:color="auto" w:fill="FFFFFF"/>
        </w:rPr>
        <w:t xml:space="preserve"> s novelami </w:t>
      </w:r>
      <w:r w:rsidRPr="00717E02">
        <w:rPr>
          <w:rFonts w:ascii="Calibri" w:hAnsi="Calibri" w:cs="Calibri"/>
          <w:iCs/>
          <w:sz w:val="20"/>
        </w:rPr>
        <w:t>č.307/2007 Z.z.</w:t>
      </w:r>
      <w:r w:rsidRPr="00717E02">
        <w:rPr>
          <w:rFonts w:ascii="Calibri" w:hAnsi="Calibri" w:cs="Calibri"/>
          <w:sz w:val="20"/>
          <w:shd w:val="clear" w:color="auto" w:fill="FFFFFF"/>
        </w:rPr>
        <w:t xml:space="preserve"> a </w:t>
      </w:r>
      <w:r w:rsidRPr="00717E02">
        <w:rPr>
          <w:rFonts w:ascii="Calibri" w:hAnsi="Calibri" w:cs="Calibri"/>
          <w:iCs/>
          <w:sz w:val="20"/>
        </w:rPr>
        <w:t>č.225/2012 Z.z, č. 334/2018 Z.z. a</w:t>
      </w:r>
      <w:r w:rsidRPr="00717E02">
        <w:rPr>
          <w:rFonts w:ascii="Calibri" w:hAnsi="Calibri" w:cs="Calibri"/>
          <w:sz w:val="20"/>
        </w:rPr>
        <w:t xml:space="preserve"> v nadväznosti na STN 92 0201-1 až 4. </w:t>
      </w:r>
    </w:p>
    <w:p w:rsidR="009371A4" w:rsidRDefault="009371A4" w:rsidP="007A5218">
      <w:pPr>
        <w:contextualSpacing/>
        <w:jc w:val="both"/>
        <w:rPr>
          <w:rFonts w:ascii="Calibri" w:hAnsi="Calibri" w:cs="Calibri"/>
          <w:sz w:val="20"/>
        </w:rPr>
      </w:pPr>
      <w:r w:rsidRPr="00717E02">
        <w:rPr>
          <w:rFonts w:ascii="Calibri" w:hAnsi="Calibri" w:cs="Calibri"/>
          <w:sz w:val="20"/>
        </w:rPr>
        <w:t>Stavebný objekt má podľa § 5 ods.1,  § 7ods.1 vyhl. MV SR č. 94/2004 Z.z dve nadzemné požiarne podlažia a jedno podzemné požiarne podlažie. Prvé nadzemné požiarne podlažie sa nachádza na výškovej  úrovni  0,0m, druhé nadzemné požiarne podlažie sa nachádza na výškovej úrovni +2,87m. Prvé podzemné požiarne podlažie sa nachádza na výškovej úrovni -3,5 a -4,6m.  Požiarna výška stavby  je 2,87m.</w:t>
      </w:r>
    </w:p>
    <w:p w:rsidR="00717E02" w:rsidRDefault="00717E02" w:rsidP="007A5218">
      <w:pPr>
        <w:contextualSpacing/>
        <w:jc w:val="both"/>
        <w:rPr>
          <w:rFonts w:ascii="Calibri" w:hAnsi="Calibri" w:cs="Calibri"/>
          <w:sz w:val="20"/>
        </w:rPr>
      </w:pPr>
    </w:p>
    <w:p w:rsidR="00717E02" w:rsidRDefault="00717E02" w:rsidP="00165ED7">
      <w:pPr>
        <w:pStyle w:val="Nadpis1"/>
      </w:pPr>
    </w:p>
    <w:p w:rsidR="00717E02" w:rsidRPr="00717E02" w:rsidRDefault="00717E02" w:rsidP="00165ED7">
      <w:pPr>
        <w:pStyle w:val="Nadpis1"/>
      </w:pPr>
      <w:r w:rsidRPr="00717E02">
        <w:t xml:space="preserve">Rozdelenie stavby na požiarne úseky, požiarne riziko </w:t>
      </w:r>
    </w:p>
    <w:p w:rsidR="00717E02" w:rsidRPr="00717E02" w:rsidRDefault="00717E02" w:rsidP="00717E02">
      <w:pPr>
        <w:rPr>
          <w:rFonts w:asciiTheme="majorHAnsi" w:hAnsiTheme="majorHAnsi" w:cstheme="majorHAnsi"/>
          <w:sz w:val="20"/>
        </w:rPr>
      </w:pPr>
    </w:p>
    <w:p w:rsidR="00717E02" w:rsidRPr="00717E02" w:rsidRDefault="00717E02" w:rsidP="00717E02">
      <w:pPr>
        <w:spacing w:line="0" w:lineRule="atLeast"/>
        <w:contextualSpacing/>
        <w:rPr>
          <w:rFonts w:asciiTheme="majorHAnsi" w:hAnsiTheme="majorHAnsi" w:cstheme="majorHAnsi"/>
          <w:sz w:val="20"/>
        </w:rPr>
      </w:pPr>
      <w:r w:rsidRPr="00717E02">
        <w:rPr>
          <w:rFonts w:asciiTheme="majorHAnsi" w:hAnsiTheme="majorHAnsi" w:cstheme="majorHAnsi"/>
          <w:sz w:val="20"/>
        </w:rPr>
        <w:t>V zmysle Vyhl. MV SR č. 94/2004 Z.z. bude stavba výrobného charakteru rozdelená na nasledovné požiarne úseky (v súlade s prílohou č. 1) :</w:t>
      </w:r>
    </w:p>
    <w:p w:rsidR="00717E02" w:rsidRPr="00717E02" w:rsidRDefault="00717E02" w:rsidP="00964D77">
      <w:pPr>
        <w:numPr>
          <w:ilvl w:val="0"/>
          <w:numId w:val="10"/>
        </w:numPr>
        <w:suppressAutoHyphens/>
        <w:spacing w:line="0" w:lineRule="atLeast"/>
        <w:rPr>
          <w:rFonts w:asciiTheme="majorHAnsi" w:hAnsiTheme="majorHAnsi" w:cstheme="majorHAnsi"/>
          <w:sz w:val="20"/>
        </w:rPr>
      </w:pPr>
      <w:r w:rsidRPr="00717E02">
        <w:rPr>
          <w:rFonts w:asciiTheme="majorHAnsi" w:hAnsiTheme="majorHAnsi" w:cstheme="majorHAnsi"/>
          <w:sz w:val="20"/>
        </w:rPr>
        <w:t>P1.03- samostatný požiarny úsek budú tvoriť príručné sklady na 1.ppp pre nerezové nádrže s vínom a drevenými sudmi s vínom, ktoré sú prepojené prepojovacím kanálom 400x400mm– (Spú = 181,94m2)</w:t>
      </w:r>
    </w:p>
    <w:p w:rsidR="00717E02" w:rsidRPr="00717E02" w:rsidRDefault="00717E02" w:rsidP="00964D77">
      <w:pPr>
        <w:numPr>
          <w:ilvl w:val="0"/>
          <w:numId w:val="10"/>
        </w:numPr>
        <w:suppressAutoHyphens/>
        <w:spacing w:line="0" w:lineRule="atLeast"/>
        <w:rPr>
          <w:rFonts w:asciiTheme="majorHAnsi" w:hAnsiTheme="majorHAnsi" w:cstheme="majorHAnsi"/>
          <w:sz w:val="20"/>
        </w:rPr>
      </w:pPr>
      <w:r w:rsidRPr="00717E02">
        <w:rPr>
          <w:rFonts w:asciiTheme="majorHAnsi" w:hAnsiTheme="majorHAnsi" w:cstheme="majorHAnsi"/>
          <w:sz w:val="20"/>
        </w:rPr>
        <w:t>P1.01/N2- zvyšná časť stavby (súčasťou požiarneho úseku budú aj priestory na 1ppp plochou do 50m2 v súlade s § 6ods.8 vyhl. MV SR č. 94/2004 Z.z, súčasťou požiarneho úseku bude aj výťahová šachta v súlade s prílohou č. 1 vyhl. MV SR č. 94/2004 Z.z )- Spú= 300,38m2</w:t>
      </w:r>
    </w:p>
    <w:p w:rsidR="00717E02" w:rsidRPr="00717E02" w:rsidRDefault="00717E02" w:rsidP="00717E02">
      <w:pPr>
        <w:pBdr>
          <w:bottom w:val="single" w:sz="4" w:space="1" w:color="000000"/>
        </w:pBdr>
        <w:rPr>
          <w:rFonts w:asciiTheme="majorHAnsi" w:hAnsiTheme="majorHAnsi" w:cstheme="majorHAnsi"/>
          <w:sz w:val="20"/>
        </w:rPr>
      </w:pPr>
      <w:r w:rsidRPr="00717E02">
        <w:rPr>
          <w:rFonts w:asciiTheme="majorHAnsi" w:hAnsiTheme="majorHAnsi" w:cstheme="majorHAnsi"/>
          <w:sz w:val="20"/>
        </w:rPr>
        <w:tab/>
        <w:t>Dovolená plocha požiarnych úsekov, ktorých  plocha je menšia ako 300m2 (P1.03, P1.04) sa neposudzuje (v zmysle § 4 ods. 2 vyhlášky MV 94/2004 Z.z..).</w:t>
      </w:r>
    </w:p>
    <w:p w:rsidR="00717E02" w:rsidRPr="00717E02" w:rsidRDefault="00717E02" w:rsidP="00717E02">
      <w:pPr>
        <w:pBdr>
          <w:bottom w:val="single" w:sz="4" w:space="1" w:color="000000"/>
        </w:pBdr>
        <w:tabs>
          <w:tab w:val="left" w:pos="2835"/>
        </w:tabs>
        <w:rPr>
          <w:rFonts w:asciiTheme="majorHAnsi" w:hAnsiTheme="majorHAnsi" w:cstheme="majorHAnsi"/>
          <w:sz w:val="20"/>
          <w:shd w:val="clear" w:color="auto" w:fill="FFFFFF"/>
        </w:rPr>
      </w:pPr>
      <w:r w:rsidRPr="00717E02">
        <w:rPr>
          <w:rFonts w:asciiTheme="majorHAnsi" w:hAnsiTheme="majorHAnsi" w:cstheme="majorHAnsi"/>
          <w:sz w:val="20"/>
          <w:shd w:val="clear" w:color="auto" w:fill="FFFFFF"/>
        </w:rPr>
        <w:t>Prehľad požiarnych úsekov:</w:t>
      </w:r>
    </w:p>
    <w:p w:rsidR="00717E02" w:rsidRPr="00717E02" w:rsidRDefault="00717E02" w:rsidP="00717E02">
      <w:pPr>
        <w:tabs>
          <w:tab w:val="left" w:pos="2835"/>
        </w:tabs>
        <w:ind w:left="3545" w:hanging="3545"/>
        <w:contextualSpacing/>
        <w:rPr>
          <w:rFonts w:asciiTheme="majorHAnsi" w:hAnsiTheme="majorHAnsi" w:cstheme="majorHAnsi"/>
          <w:color w:val="000000"/>
          <w:sz w:val="20"/>
          <w:shd w:val="clear" w:color="auto" w:fill="FFFFFF"/>
        </w:rPr>
      </w:pPr>
      <w:r w:rsidRPr="00717E02">
        <w:rPr>
          <w:rFonts w:asciiTheme="majorHAnsi" w:hAnsiTheme="majorHAnsi" w:cstheme="majorHAnsi"/>
          <w:color w:val="000000"/>
          <w:sz w:val="20"/>
          <w:shd w:val="clear" w:color="auto" w:fill="FFFFFF"/>
        </w:rPr>
        <w:t xml:space="preserve">Požiarny úsek </w:t>
      </w:r>
      <w:r w:rsidRPr="00717E02">
        <w:rPr>
          <w:rFonts w:asciiTheme="majorHAnsi" w:hAnsiTheme="majorHAnsi" w:cstheme="majorHAnsi"/>
          <w:b/>
          <w:bCs/>
          <w:color w:val="000000"/>
          <w:sz w:val="20"/>
          <w:shd w:val="clear" w:color="auto" w:fill="FFFFFF"/>
        </w:rPr>
        <w:t>P 1.03:</w:t>
      </w:r>
      <w:r w:rsidRPr="00717E02">
        <w:rPr>
          <w:rFonts w:asciiTheme="majorHAnsi" w:hAnsiTheme="majorHAnsi" w:cstheme="majorHAnsi"/>
          <w:b/>
          <w:color w:val="000000"/>
          <w:sz w:val="20"/>
          <w:shd w:val="clear" w:color="auto" w:fill="FFFFFF"/>
        </w:rPr>
        <w:tab/>
        <w:t xml:space="preserve">               </w:t>
      </w:r>
      <w:r w:rsidRPr="00717E02">
        <w:rPr>
          <w:rFonts w:asciiTheme="majorHAnsi" w:hAnsiTheme="majorHAnsi" w:cstheme="majorHAnsi"/>
          <w:sz w:val="20"/>
        </w:rPr>
        <w:t>jednopodlažný požiarny úsek (príručné sklady na 1.ppp- pre nerezové     nádrže s vínom a drevené sudy s vínom)</w:t>
      </w:r>
    </w:p>
    <w:p w:rsidR="00717E02" w:rsidRPr="00717E02" w:rsidRDefault="00717E02" w:rsidP="00717E02">
      <w:pPr>
        <w:tabs>
          <w:tab w:val="left" w:pos="2835"/>
        </w:tabs>
        <w:ind w:left="3600" w:hanging="3600"/>
        <w:contextualSpacing/>
        <w:rPr>
          <w:rFonts w:asciiTheme="majorHAnsi" w:hAnsiTheme="majorHAnsi" w:cstheme="majorHAnsi"/>
          <w:kern w:val="1"/>
          <w:sz w:val="20"/>
          <w:shd w:val="clear" w:color="auto" w:fill="FFFFFF"/>
          <w:vertAlign w:val="superscript"/>
        </w:rPr>
      </w:pPr>
      <w:r w:rsidRPr="00717E02">
        <w:rPr>
          <w:rFonts w:asciiTheme="majorHAnsi" w:hAnsiTheme="majorHAnsi" w:cstheme="majorHAnsi"/>
          <w:color w:val="000000"/>
          <w:sz w:val="20"/>
          <w:shd w:val="clear" w:color="auto" w:fill="FFFFFF"/>
        </w:rPr>
        <w:t>Ekvivalentný čas trvania požiaru:</w:t>
      </w:r>
      <w:r w:rsidRPr="00717E02">
        <w:rPr>
          <w:rFonts w:asciiTheme="majorHAnsi" w:hAnsiTheme="majorHAnsi" w:cstheme="majorHAnsi"/>
          <w:color w:val="000000"/>
          <w:sz w:val="20"/>
          <w:shd w:val="clear" w:color="auto" w:fill="FFFFFF"/>
        </w:rPr>
        <w:tab/>
        <w:t xml:space="preserve">               taue=31min  ( stanovené výpočtom </w:t>
      </w:r>
      <w:r w:rsidRPr="00717E02">
        <w:rPr>
          <w:rFonts w:asciiTheme="majorHAnsi" w:hAnsiTheme="majorHAnsi" w:cstheme="majorHAnsi"/>
          <w:sz w:val="20"/>
        </w:rPr>
        <w:t xml:space="preserve">podľa STN 92 0201-1) </w:t>
      </w:r>
    </w:p>
    <w:p w:rsidR="00717E02" w:rsidRPr="00717E02" w:rsidRDefault="00717E02" w:rsidP="00717E02">
      <w:pPr>
        <w:contextualSpacing/>
        <w:rPr>
          <w:rFonts w:asciiTheme="majorHAnsi" w:hAnsiTheme="majorHAnsi" w:cstheme="majorHAnsi"/>
          <w:sz w:val="20"/>
        </w:rPr>
      </w:pPr>
      <w:r w:rsidRPr="00717E02">
        <w:rPr>
          <w:rFonts w:asciiTheme="majorHAnsi" w:hAnsiTheme="majorHAnsi" w:cstheme="majorHAnsi"/>
          <w:kern w:val="1"/>
          <w:sz w:val="20"/>
          <w:shd w:val="clear" w:color="auto" w:fill="FFFFFF"/>
        </w:rPr>
        <w:t>SPB:</w:t>
      </w:r>
      <w:r w:rsidRPr="00717E02">
        <w:rPr>
          <w:rFonts w:asciiTheme="majorHAnsi" w:hAnsiTheme="majorHAnsi" w:cstheme="majorHAnsi"/>
          <w:kern w:val="1"/>
          <w:sz w:val="20"/>
          <w:shd w:val="clear" w:color="auto" w:fill="FFFFFF"/>
        </w:rPr>
        <w:tab/>
      </w:r>
      <w:r w:rsidRPr="00717E02">
        <w:rPr>
          <w:rFonts w:asciiTheme="majorHAnsi" w:hAnsiTheme="majorHAnsi" w:cstheme="majorHAnsi"/>
          <w:kern w:val="1"/>
          <w:sz w:val="20"/>
          <w:shd w:val="clear" w:color="auto" w:fill="FFFFFF"/>
        </w:rPr>
        <w:tab/>
      </w:r>
      <w:r w:rsidRPr="00717E02">
        <w:rPr>
          <w:rFonts w:asciiTheme="majorHAnsi" w:hAnsiTheme="majorHAnsi" w:cstheme="majorHAnsi"/>
          <w:kern w:val="1"/>
          <w:sz w:val="20"/>
          <w:shd w:val="clear" w:color="auto" w:fill="FFFFFF"/>
        </w:rPr>
        <w:tab/>
      </w:r>
      <w:r w:rsidRPr="00717E02">
        <w:rPr>
          <w:rFonts w:asciiTheme="majorHAnsi" w:hAnsiTheme="majorHAnsi" w:cstheme="majorHAnsi"/>
          <w:kern w:val="1"/>
          <w:sz w:val="20"/>
          <w:shd w:val="clear" w:color="auto" w:fill="FFFFFF"/>
        </w:rPr>
        <w:tab/>
        <w:t xml:space="preserve">                I. SPB (</w:t>
      </w:r>
      <w:r w:rsidRPr="00717E02">
        <w:rPr>
          <w:rFonts w:asciiTheme="majorHAnsi" w:hAnsiTheme="majorHAnsi" w:cstheme="majorHAnsi"/>
          <w:sz w:val="20"/>
        </w:rPr>
        <w:t xml:space="preserve">§ 37 ods. 4, písm. a) Vyhl. MV SR č. 94/2004 Z.z., </w:t>
      </w:r>
    </w:p>
    <w:p w:rsidR="00717E02" w:rsidRPr="00717E02" w:rsidRDefault="00717E02" w:rsidP="00717E02">
      <w:pPr>
        <w:ind w:left="3545"/>
        <w:contextualSpacing/>
        <w:rPr>
          <w:rFonts w:asciiTheme="majorHAnsi" w:hAnsiTheme="majorHAnsi" w:cstheme="majorHAnsi"/>
          <w:kern w:val="1"/>
          <w:sz w:val="20"/>
          <w:shd w:val="clear" w:color="auto" w:fill="FFFFFF"/>
        </w:rPr>
      </w:pPr>
      <w:r w:rsidRPr="00717E02">
        <w:rPr>
          <w:rFonts w:asciiTheme="majorHAnsi" w:hAnsiTheme="majorHAnsi" w:cstheme="majorHAnsi"/>
          <w:sz w:val="20"/>
        </w:rPr>
        <w:t xml:space="preserve">   tab. 1 STN 920201-2,  k8=k5*k6/2,4=1,73*1/2,4= 0,72)</w:t>
      </w:r>
    </w:p>
    <w:p w:rsidR="00717E02" w:rsidRPr="00717E02" w:rsidRDefault="00717E02" w:rsidP="00717E02">
      <w:pPr>
        <w:pBdr>
          <w:bottom w:val="single" w:sz="4" w:space="0" w:color="000000"/>
        </w:pBdr>
        <w:tabs>
          <w:tab w:val="left" w:pos="2835"/>
        </w:tabs>
        <w:rPr>
          <w:rFonts w:asciiTheme="majorHAnsi" w:hAnsiTheme="majorHAnsi" w:cstheme="majorHAnsi"/>
          <w:color w:val="000000"/>
          <w:sz w:val="20"/>
          <w:shd w:val="clear" w:color="auto" w:fill="FFFFFF"/>
        </w:rPr>
      </w:pPr>
    </w:p>
    <w:p w:rsidR="00717E02" w:rsidRPr="00717E02" w:rsidRDefault="00717E02" w:rsidP="00717E02">
      <w:pPr>
        <w:tabs>
          <w:tab w:val="left" w:pos="2835"/>
        </w:tabs>
        <w:contextualSpacing/>
        <w:rPr>
          <w:rFonts w:asciiTheme="majorHAnsi" w:hAnsiTheme="majorHAnsi" w:cstheme="majorHAnsi"/>
          <w:color w:val="000000"/>
          <w:sz w:val="20"/>
          <w:shd w:val="clear" w:color="auto" w:fill="FFFFFF"/>
        </w:rPr>
      </w:pPr>
      <w:r w:rsidRPr="00717E02">
        <w:rPr>
          <w:rFonts w:asciiTheme="majorHAnsi" w:hAnsiTheme="majorHAnsi" w:cstheme="majorHAnsi"/>
          <w:color w:val="000000"/>
          <w:sz w:val="20"/>
          <w:shd w:val="clear" w:color="auto" w:fill="FFFFFF"/>
        </w:rPr>
        <w:t xml:space="preserve">Požiarny úsek </w:t>
      </w:r>
      <w:r w:rsidRPr="00717E02">
        <w:rPr>
          <w:rFonts w:asciiTheme="majorHAnsi" w:hAnsiTheme="majorHAnsi" w:cstheme="majorHAnsi"/>
          <w:b/>
          <w:bCs/>
          <w:color w:val="000000"/>
          <w:sz w:val="20"/>
          <w:shd w:val="clear" w:color="auto" w:fill="FFFFFF"/>
        </w:rPr>
        <w:t>P 1.01/N2:</w:t>
      </w:r>
      <w:r w:rsidRPr="00717E02">
        <w:rPr>
          <w:rFonts w:asciiTheme="majorHAnsi" w:hAnsiTheme="majorHAnsi" w:cstheme="majorHAnsi"/>
          <w:b/>
          <w:color w:val="000000"/>
          <w:sz w:val="20"/>
          <w:shd w:val="clear" w:color="auto" w:fill="FFFFFF"/>
        </w:rPr>
        <w:tab/>
        <w:t xml:space="preserve">                </w:t>
      </w:r>
      <w:r w:rsidRPr="00717E02">
        <w:rPr>
          <w:rFonts w:asciiTheme="majorHAnsi" w:hAnsiTheme="majorHAnsi" w:cstheme="majorHAnsi"/>
          <w:sz w:val="20"/>
        </w:rPr>
        <w:t>zvyšná časť stavby</w:t>
      </w:r>
    </w:p>
    <w:p w:rsidR="00717E02" w:rsidRPr="00717E02" w:rsidRDefault="00717E02" w:rsidP="00717E02">
      <w:pPr>
        <w:tabs>
          <w:tab w:val="left" w:pos="2835"/>
        </w:tabs>
        <w:ind w:left="3600" w:hanging="3600"/>
        <w:contextualSpacing/>
        <w:rPr>
          <w:rFonts w:asciiTheme="majorHAnsi" w:hAnsiTheme="majorHAnsi" w:cstheme="majorHAnsi"/>
          <w:kern w:val="1"/>
          <w:sz w:val="20"/>
          <w:shd w:val="clear" w:color="auto" w:fill="FFFFFF"/>
          <w:vertAlign w:val="superscript"/>
        </w:rPr>
      </w:pPr>
      <w:r w:rsidRPr="00717E02">
        <w:rPr>
          <w:rFonts w:asciiTheme="majorHAnsi" w:hAnsiTheme="majorHAnsi" w:cstheme="majorHAnsi"/>
          <w:color w:val="000000"/>
          <w:sz w:val="20"/>
          <w:shd w:val="clear" w:color="auto" w:fill="FFFFFF"/>
        </w:rPr>
        <w:t>Ekvivalentný čas trvania požiaru:</w:t>
      </w:r>
      <w:r w:rsidRPr="00717E02">
        <w:rPr>
          <w:rFonts w:asciiTheme="majorHAnsi" w:hAnsiTheme="majorHAnsi" w:cstheme="majorHAnsi"/>
          <w:color w:val="000000"/>
          <w:sz w:val="20"/>
          <w:shd w:val="clear" w:color="auto" w:fill="FFFFFF"/>
        </w:rPr>
        <w:tab/>
        <w:t xml:space="preserve">                taue=53,01min  (stanovené výpočtom v súlade s STN920201-1)</w:t>
      </w:r>
    </w:p>
    <w:p w:rsidR="00717E02" w:rsidRPr="00717E02" w:rsidRDefault="00717E02" w:rsidP="00717E02">
      <w:pPr>
        <w:contextualSpacing/>
        <w:rPr>
          <w:rFonts w:asciiTheme="majorHAnsi" w:hAnsiTheme="majorHAnsi" w:cstheme="majorHAnsi"/>
          <w:sz w:val="20"/>
        </w:rPr>
      </w:pPr>
      <w:r w:rsidRPr="00717E02">
        <w:rPr>
          <w:rFonts w:asciiTheme="majorHAnsi" w:hAnsiTheme="majorHAnsi" w:cstheme="majorHAnsi"/>
          <w:kern w:val="1"/>
          <w:sz w:val="20"/>
          <w:shd w:val="clear" w:color="auto" w:fill="FFFFFF"/>
        </w:rPr>
        <w:t>SPB:</w:t>
      </w:r>
      <w:r w:rsidRPr="00717E02">
        <w:rPr>
          <w:rFonts w:asciiTheme="majorHAnsi" w:hAnsiTheme="majorHAnsi" w:cstheme="majorHAnsi"/>
          <w:kern w:val="1"/>
          <w:sz w:val="20"/>
          <w:shd w:val="clear" w:color="auto" w:fill="FFFFFF"/>
        </w:rPr>
        <w:tab/>
      </w:r>
      <w:r w:rsidRPr="00717E02">
        <w:rPr>
          <w:rFonts w:asciiTheme="majorHAnsi" w:hAnsiTheme="majorHAnsi" w:cstheme="majorHAnsi"/>
          <w:kern w:val="1"/>
          <w:sz w:val="20"/>
          <w:shd w:val="clear" w:color="auto" w:fill="FFFFFF"/>
        </w:rPr>
        <w:tab/>
      </w:r>
      <w:r w:rsidRPr="00717E02">
        <w:rPr>
          <w:rFonts w:asciiTheme="majorHAnsi" w:hAnsiTheme="majorHAnsi" w:cstheme="majorHAnsi"/>
          <w:kern w:val="1"/>
          <w:sz w:val="20"/>
          <w:shd w:val="clear" w:color="auto" w:fill="FFFFFF"/>
        </w:rPr>
        <w:tab/>
      </w:r>
      <w:r w:rsidRPr="00717E02">
        <w:rPr>
          <w:rFonts w:asciiTheme="majorHAnsi" w:hAnsiTheme="majorHAnsi" w:cstheme="majorHAnsi"/>
          <w:kern w:val="1"/>
          <w:sz w:val="20"/>
          <w:shd w:val="clear" w:color="auto" w:fill="FFFFFF"/>
        </w:rPr>
        <w:tab/>
        <w:t xml:space="preserve">                I. SPB (</w:t>
      </w:r>
      <w:r w:rsidRPr="00717E02">
        <w:rPr>
          <w:rFonts w:asciiTheme="majorHAnsi" w:hAnsiTheme="majorHAnsi" w:cstheme="majorHAnsi"/>
          <w:sz w:val="20"/>
        </w:rPr>
        <w:t xml:space="preserve">§ 37 ods. 4, písm. a) Vyhl. MV SR č. 94/2004 Z.z., </w:t>
      </w:r>
    </w:p>
    <w:p w:rsidR="00717E02" w:rsidRPr="00717E02" w:rsidRDefault="00717E02" w:rsidP="00717E02">
      <w:pPr>
        <w:ind w:left="3545"/>
        <w:contextualSpacing/>
        <w:rPr>
          <w:rFonts w:asciiTheme="majorHAnsi" w:hAnsiTheme="majorHAnsi" w:cstheme="majorHAnsi"/>
          <w:sz w:val="20"/>
        </w:rPr>
      </w:pPr>
      <w:r w:rsidRPr="00717E02">
        <w:rPr>
          <w:rFonts w:asciiTheme="majorHAnsi" w:hAnsiTheme="majorHAnsi" w:cstheme="majorHAnsi"/>
          <w:sz w:val="20"/>
        </w:rPr>
        <w:t xml:space="preserve">  tab. 1 STN 920201-2,  k8=k5*k6/2,4=1,41*1,4/2,4= 0,823)</w:t>
      </w:r>
    </w:p>
    <w:p w:rsidR="00717E02" w:rsidRPr="00717E02" w:rsidRDefault="00717E02" w:rsidP="00964D77">
      <w:pPr>
        <w:numPr>
          <w:ilvl w:val="0"/>
          <w:numId w:val="10"/>
        </w:numPr>
        <w:suppressAutoHyphens/>
        <w:contextualSpacing/>
        <w:rPr>
          <w:rFonts w:asciiTheme="majorHAnsi" w:hAnsiTheme="majorHAnsi" w:cstheme="majorHAnsi"/>
          <w:kern w:val="1"/>
          <w:sz w:val="20"/>
          <w:shd w:val="clear" w:color="auto" w:fill="FFFFFF"/>
        </w:rPr>
      </w:pPr>
      <w:r w:rsidRPr="00717E02">
        <w:rPr>
          <w:rFonts w:asciiTheme="majorHAnsi" w:hAnsiTheme="majorHAnsi" w:cstheme="majorHAnsi"/>
          <w:sz w:val="20"/>
        </w:rPr>
        <w:t>hodnoty náhodného požiarneho zaťaženia v príručných podstrešných skladoch boli stanovené pre max. využitie pre plastové prepravky pre zber viniča (viď výpočtová príloha)</w:t>
      </w:r>
    </w:p>
    <w:p w:rsidR="00717E02" w:rsidRPr="00717E02" w:rsidRDefault="00717E02" w:rsidP="00717E02">
      <w:pPr>
        <w:pBdr>
          <w:bottom w:val="single" w:sz="4" w:space="0" w:color="000000"/>
        </w:pBdr>
        <w:tabs>
          <w:tab w:val="left" w:pos="2835"/>
        </w:tabs>
        <w:rPr>
          <w:rFonts w:asciiTheme="majorHAnsi" w:hAnsiTheme="majorHAnsi" w:cstheme="majorHAnsi"/>
          <w:color w:val="000000"/>
          <w:sz w:val="20"/>
          <w:shd w:val="clear" w:color="auto" w:fill="FFFFFF"/>
        </w:rPr>
      </w:pPr>
    </w:p>
    <w:p w:rsidR="00717E02" w:rsidRPr="00717E02" w:rsidRDefault="00717E02" w:rsidP="00165ED7">
      <w:pPr>
        <w:pStyle w:val="Nadpis1"/>
      </w:pPr>
      <w:r w:rsidRPr="00717E02">
        <w:t xml:space="preserve">Rozdelenie stavby na požiarne úseky je znázornené vo výkresovej časti. </w:t>
      </w:r>
    </w:p>
    <w:p w:rsidR="00717E02" w:rsidRPr="00717E02" w:rsidRDefault="00717E02" w:rsidP="00165ED7">
      <w:pPr>
        <w:pStyle w:val="Nadpis1"/>
      </w:pPr>
    </w:p>
    <w:p w:rsidR="00717E02" w:rsidRPr="00717E02" w:rsidRDefault="00717E02" w:rsidP="00165ED7">
      <w:pPr>
        <w:pStyle w:val="Nadpis1"/>
      </w:pPr>
      <w:r w:rsidRPr="00717E02">
        <w:t xml:space="preserve">Požiarna odolnosť stavebných konštrukcií </w:t>
      </w: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lang w:eastAsia="cs-CZ"/>
        </w:rPr>
        <w:t>Stavba bude tvoriť  nehorľavý  konštrukčný celok  v podzemnej časti (</w:t>
      </w:r>
      <w:r w:rsidRPr="00717E02">
        <w:rPr>
          <w:rFonts w:asciiTheme="majorHAnsi" w:hAnsiTheme="majorHAnsi" w:cstheme="majorHAnsi"/>
          <w:bCs/>
          <w:sz w:val="20"/>
        </w:rPr>
        <w:t>§ 13, ods. 3,  Vyhl. MV SR č. 94/2004 Z.z</w:t>
      </w:r>
      <w:r w:rsidRPr="00717E02">
        <w:rPr>
          <w:rFonts w:asciiTheme="majorHAnsi" w:hAnsiTheme="majorHAnsi" w:cstheme="majorHAnsi"/>
          <w:sz w:val="20"/>
        </w:rPr>
        <w:t xml:space="preserve">.) a zmiešaný konštrukčný celok v nadzemnej časti </w:t>
      </w:r>
      <w:r w:rsidRPr="00717E02">
        <w:rPr>
          <w:rFonts w:asciiTheme="majorHAnsi" w:hAnsiTheme="majorHAnsi" w:cstheme="majorHAnsi"/>
          <w:sz w:val="20"/>
          <w:lang w:eastAsia="cs-CZ"/>
        </w:rPr>
        <w:t>(</w:t>
      </w:r>
      <w:r w:rsidRPr="00717E02">
        <w:rPr>
          <w:rFonts w:asciiTheme="majorHAnsi" w:hAnsiTheme="majorHAnsi" w:cstheme="majorHAnsi"/>
          <w:bCs/>
          <w:sz w:val="20"/>
        </w:rPr>
        <w:t>§ 13, ods. 4a, 9 Vyhl. MV SR č. 94/2004 Z.z</w:t>
      </w:r>
      <w:r w:rsidRPr="00717E02">
        <w:rPr>
          <w:rFonts w:asciiTheme="majorHAnsi" w:hAnsiTheme="majorHAnsi" w:cstheme="majorHAnsi"/>
          <w:sz w:val="20"/>
        </w:rPr>
        <w:t xml:space="preserve">.). Požiarne úseky sú zaradené do I. stupňa protipožiarnej bezpečnosti. </w:t>
      </w:r>
    </w:p>
    <w:p w:rsidR="00717E02" w:rsidRPr="00717E02" w:rsidRDefault="00717E02" w:rsidP="00717E02">
      <w:pPr>
        <w:ind w:firstLine="708"/>
        <w:contextualSpacing/>
        <w:rPr>
          <w:rFonts w:asciiTheme="majorHAnsi" w:hAnsiTheme="majorHAnsi" w:cstheme="majorHAnsi"/>
          <w:bCs/>
          <w:sz w:val="20"/>
        </w:rPr>
      </w:pPr>
      <w:r w:rsidRPr="00717E02">
        <w:rPr>
          <w:rFonts w:asciiTheme="majorHAnsi" w:hAnsiTheme="majorHAnsi" w:cstheme="majorHAnsi"/>
          <w:bCs/>
          <w:sz w:val="20"/>
        </w:rPr>
        <w:t>Skutočné požiarne odolnosti stavebných konštrukcií v zmysle tab. 5 STN 92 0201-2 musia v plnom rozsahu vyhovovať požadovaným požiarnym odolnostiam určeným podľa stupňa protipožiarnej bezpečnosti. Požiadavky na stavebné konštrukcie sú znázornené vo výkresovej časti (v pôdorysoch).</w:t>
      </w:r>
    </w:p>
    <w:p w:rsidR="00717E02" w:rsidRPr="00105424" w:rsidRDefault="00717E02" w:rsidP="00717E02">
      <w:pPr>
        <w:ind w:firstLine="708"/>
        <w:contextualSpacing/>
        <w:rPr>
          <w:rFonts w:ascii="Arial Narrow" w:hAnsi="Arial Narrow" w:cs="Arial"/>
          <w:bCs/>
          <w:szCs w:val="22"/>
        </w:rPr>
      </w:pPr>
    </w:p>
    <w:tbl>
      <w:tblPr>
        <w:tblW w:w="0" w:type="auto"/>
        <w:tblCellMar>
          <w:left w:w="70" w:type="dxa"/>
          <w:right w:w="70" w:type="dxa"/>
        </w:tblCellMar>
        <w:tblLook w:val="0000" w:firstRow="0" w:lastRow="0" w:firstColumn="0" w:lastColumn="0" w:noHBand="0" w:noVBand="0"/>
      </w:tblPr>
      <w:tblGrid>
        <w:gridCol w:w="766"/>
        <w:gridCol w:w="7353"/>
        <w:gridCol w:w="943"/>
      </w:tblGrid>
      <w:tr w:rsidR="00717E02" w:rsidRPr="00717E02" w:rsidTr="008255CA">
        <w:trPr>
          <w:trHeight w:val="510"/>
        </w:trPr>
        <w:tc>
          <w:tcPr>
            <w:tcW w:w="0" w:type="auto"/>
            <w:gridSpan w:val="3"/>
            <w:tcBorders>
              <w:top w:val="single" w:sz="4" w:space="0" w:color="auto"/>
              <w:left w:val="single" w:sz="4" w:space="0" w:color="auto"/>
              <w:bottom w:val="single" w:sz="4" w:space="0" w:color="auto"/>
              <w:right w:val="single" w:sz="4" w:space="0" w:color="auto"/>
            </w:tcBorders>
            <w:shd w:val="clear" w:color="auto" w:fill="C0C0C0"/>
            <w:noWrap/>
            <w:vAlign w:val="center"/>
          </w:tcPr>
          <w:p w:rsidR="00717E02" w:rsidRPr="00717E02" w:rsidRDefault="00717E02" w:rsidP="008255CA">
            <w:pPr>
              <w:rPr>
                <w:rFonts w:asciiTheme="majorHAnsi" w:hAnsiTheme="majorHAnsi" w:cstheme="majorHAnsi"/>
                <w:bCs/>
                <w:color w:val="000000"/>
                <w:sz w:val="20"/>
                <w:lang w:val="cs-CZ" w:eastAsia="cs-CZ"/>
              </w:rPr>
            </w:pPr>
            <w:r w:rsidRPr="00717E02">
              <w:rPr>
                <w:rFonts w:asciiTheme="majorHAnsi" w:hAnsiTheme="majorHAnsi" w:cstheme="majorHAnsi"/>
                <w:bCs/>
                <w:color w:val="000000"/>
                <w:sz w:val="20"/>
              </w:rPr>
              <w:t>Požiarna odolnosť vybraných stavebných konštrukcií</w:t>
            </w:r>
          </w:p>
        </w:tc>
      </w:tr>
      <w:tr w:rsidR="00717E02" w:rsidRPr="00717E02" w:rsidTr="008255CA">
        <w:trPr>
          <w:trHeight w:val="478"/>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podľa tab. 5- STN 920201-2</w:t>
            </w:r>
          </w:p>
        </w:tc>
      </w:tr>
      <w:tr w:rsidR="00717E02" w:rsidRPr="00717E02" w:rsidTr="008255CA">
        <w:trPr>
          <w:trHeight w:val="349"/>
        </w:trPr>
        <w:tc>
          <w:tcPr>
            <w:tcW w:w="0" w:type="auto"/>
            <w:tcBorders>
              <w:top w:val="nil"/>
              <w:left w:val="single" w:sz="4" w:space="0" w:color="auto"/>
              <w:bottom w:val="nil"/>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lastRenderedPageBreak/>
              <w:t>PÚ:</w:t>
            </w:r>
          </w:p>
        </w:tc>
        <w:tc>
          <w:tcPr>
            <w:tcW w:w="0" w:type="auto"/>
            <w:gridSpan w:val="2"/>
            <w:tcBorders>
              <w:top w:val="single" w:sz="4" w:space="0" w:color="auto"/>
              <w:left w:val="nil"/>
              <w:bottom w:val="nil"/>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P1.01/N2, P1.03 - I. SPB</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rPr>
              <w:t>Položka</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rPr>
              <w:t>Stavebná konštrukcia</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POSK</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proofErr w:type="gramStart"/>
            <w:r w:rsidRPr="00717E02">
              <w:rPr>
                <w:rFonts w:asciiTheme="majorHAnsi" w:hAnsiTheme="majorHAnsi" w:cstheme="majorHAnsi"/>
                <w:color w:val="000000"/>
                <w:sz w:val="20"/>
                <w:lang w:val="cs-CZ" w:eastAsia="cs-CZ"/>
              </w:rPr>
              <w:t>1a</w:t>
            </w:r>
            <w:proofErr w:type="gramEnd"/>
            <w:r w:rsidRPr="00717E02">
              <w:rPr>
                <w:rFonts w:asciiTheme="majorHAnsi" w:hAnsiTheme="majorHAnsi" w:cstheme="majorHAnsi"/>
                <w:color w:val="000000"/>
                <w:sz w:val="20"/>
                <w:lang w:val="cs-CZ" w:eastAsia="cs-CZ"/>
              </w:rPr>
              <w:t>)</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 xml:space="preserve">Požiarne stropy a požiarne </w:t>
            </w:r>
            <w:proofErr w:type="gramStart"/>
            <w:r w:rsidRPr="00717E02">
              <w:rPr>
                <w:rFonts w:asciiTheme="majorHAnsi" w:hAnsiTheme="majorHAnsi" w:cstheme="majorHAnsi"/>
                <w:color w:val="000000"/>
                <w:sz w:val="20"/>
                <w:lang w:val="cs-CZ" w:eastAsia="cs-CZ"/>
              </w:rPr>
              <w:t>steny -v</w:t>
            </w:r>
            <w:proofErr w:type="gramEnd"/>
            <w:r w:rsidRPr="00717E02">
              <w:rPr>
                <w:rFonts w:asciiTheme="majorHAnsi" w:hAnsiTheme="majorHAnsi" w:cstheme="majorHAnsi"/>
                <w:color w:val="000000"/>
                <w:sz w:val="20"/>
                <w:lang w:val="cs-CZ" w:eastAsia="cs-CZ"/>
              </w:rPr>
              <w:t xml:space="preserve"> podzemných podlažiach</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45/D1</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proofErr w:type="gramStart"/>
            <w:r w:rsidRPr="00717E02">
              <w:rPr>
                <w:rFonts w:asciiTheme="majorHAnsi" w:hAnsiTheme="majorHAnsi" w:cstheme="majorHAnsi"/>
                <w:color w:val="000000"/>
                <w:sz w:val="20"/>
                <w:lang w:val="cs-CZ" w:eastAsia="cs-CZ"/>
              </w:rPr>
              <w:t>1b</w:t>
            </w:r>
            <w:proofErr w:type="gramEnd"/>
            <w:r w:rsidRPr="00717E02">
              <w:rPr>
                <w:rFonts w:asciiTheme="majorHAnsi" w:hAnsiTheme="majorHAnsi" w:cstheme="majorHAnsi"/>
                <w:color w:val="000000"/>
                <w:sz w:val="20"/>
                <w:lang w:val="cs-CZ" w:eastAsia="cs-CZ"/>
              </w:rPr>
              <w:t>)</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 xml:space="preserve">Požiarne stropy a požiarne </w:t>
            </w:r>
            <w:proofErr w:type="gramStart"/>
            <w:r w:rsidRPr="00717E02">
              <w:rPr>
                <w:rFonts w:asciiTheme="majorHAnsi" w:hAnsiTheme="majorHAnsi" w:cstheme="majorHAnsi"/>
                <w:color w:val="000000"/>
                <w:sz w:val="20"/>
                <w:lang w:val="cs-CZ" w:eastAsia="cs-CZ"/>
              </w:rPr>
              <w:t>steny -v</w:t>
            </w:r>
            <w:proofErr w:type="gramEnd"/>
            <w:r w:rsidRPr="00717E02">
              <w:rPr>
                <w:rFonts w:asciiTheme="majorHAnsi" w:hAnsiTheme="majorHAnsi" w:cstheme="majorHAnsi"/>
                <w:color w:val="000000"/>
                <w:sz w:val="20"/>
                <w:lang w:val="cs-CZ" w:eastAsia="cs-CZ"/>
              </w:rPr>
              <w:t xml:space="preserve"> nadzemných podlažiach</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30</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1c)</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 xml:space="preserve">Požiarne stropy a požiarne </w:t>
            </w:r>
            <w:proofErr w:type="gramStart"/>
            <w:r w:rsidRPr="00717E02">
              <w:rPr>
                <w:rFonts w:asciiTheme="majorHAnsi" w:hAnsiTheme="majorHAnsi" w:cstheme="majorHAnsi"/>
                <w:color w:val="000000"/>
                <w:sz w:val="20"/>
                <w:lang w:val="cs-CZ" w:eastAsia="cs-CZ"/>
              </w:rPr>
              <w:t>steny - v</w:t>
            </w:r>
            <w:proofErr w:type="gramEnd"/>
            <w:r w:rsidRPr="00717E02">
              <w:rPr>
                <w:rFonts w:asciiTheme="majorHAnsi" w:hAnsiTheme="majorHAnsi" w:cstheme="majorHAnsi"/>
                <w:color w:val="000000"/>
                <w:sz w:val="20"/>
                <w:lang w:val="cs-CZ" w:eastAsia="cs-CZ"/>
              </w:rPr>
              <w:t> poslednom nadzemnom podlaží</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15</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proofErr w:type="gramStart"/>
            <w:r w:rsidRPr="00717E02">
              <w:rPr>
                <w:rFonts w:asciiTheme="majorHAnsi" w:hAnsiTheme="majorHAnsi" w:cstheme="majorHAnsi"/>
                <w:color w:val="000000"/>
                <w:sz w:val="20"/>
                <w:lang w:val="cs-CZ" w:eastAsia="cs-CZ"/>
              </w:rPr>
              <w:t>1d</w:t>
            </w:r>
            <w:proofErr w:type="gramEnd"/>
            <w:r w:rsidRPr="00717E02">
              <w:rPr>
                <w:rFonts w:asciiTheme="majorHAnsi" w:hAnsiTheme="majorHAnsi" w:cstheme="majorHAnsi"/>
                <w:color w:val="000000"/>
                <w:sz w:val="20"/>
                <w:lang w:val="cs-CZ" w:eastAsia="cs-CZ"/>
              </w:rPr>
              <w:t>)</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Požiarne steny medzi stavbami</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45/D1</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proofErr w:type="gramStart"/>
            <w:r w:rsidRPr="00717E02">
              <w:rPr>
                <w:rFonts w:asciiTheme="majorHAnsi" w:hAnsiTheme="majorHAnsi" w:cstheme="majorHAnsi"/>
                <w:color w:val="000000"/>
                <w:sz w:val="20"/>
                <w:lang w:val="cs-CZ" w:eastAsia="cs-CZ"/>
              </w:rPr>
              <w:t>2a</w:t>
            </w:r>
            <w:proofErr w:type="gramEnd"/>
            <w:r w:rsidRPr="00717E02">
              <w:rPr>
                <w:rFonts w:asciiTheme="majorHAnsi" w:hAnsiTheme="majorHAnsi" w:cstheme="majorHAnsi"/>
                <w:color w:val="000000"/>
                <w:sz w:val="20"/>
                <w:lang w:val="cs-CZ" w:eastAsia="cs-CZ"/>
              </w:rPr>
              <w:t>.1)</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Obvodové steny zaisťujúce stabilitu stavby alebo jej časti v podzemných podlažiach z vnútornej strany</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45/D1</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proofErr w:type="gramStart"/>
            <w:r w:rsidRPr="00717E02">
              <w:rPr>
                <w:rFonts w:asciiTheme="majorHAnsi" w:hAnsiTheme="majorHAnsi" w:cstheme="majorHAnsi"/>
                <w:color w:val="000000"/>
                <w:sz w:val="20"/>
                <w:lang w:val="cs-CZ" w:eastAsia="cs-CZ"/>
              </w:rPr>
              <w:t>2a</w:t>
            </w:r>
            <w:proofErr w:type="gramEnd"/>
            <w:r w:rsidRPr="00717E02">
              <w:rPr>
                <w:rFonts w:asciiTheme="majorHAnsi" w:hAnsiTheme="majorHAnsi" w:cstheme="majorHAnsi"/>
                <w:color w:val="000000"/>
                <w:sz w:val="20"/>
                <w:lang w:val="cs-CZ" w:eastAsia="cs-CZ"/>
              </w:rPr>
              <w:t>.2)</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 xml:space="preserve">Obvodové steny zaisťujúce stabilitu stavby alebo jej časti v nadzemných podlažiach </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30</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proofErr w:type="gramStart"/>
            <w:r w:rsidRPr="00717E02">
              <w:rPr>
                <w:rFonts w:asciiTheme="majorHAnsi" w:hAnsiTheme="majorHAnsi" w:cstheme="majorHAnsi"/>
                <w:color w:val="000000"/>
                <w:sz w:val="20"/>
                <w:lang w:val="cs-CZ" w:eastAsia="cs-CZ"/>
              </w:rPr>
              <w:t>2a</w:t>
            </w:r>
            <w:proofErr w:type="gramEnd"/>
            <w:r w:rsidRPr="00717E02">
              <w:rPr>
                <w:rFonts w:asciiTheme="majorHAnsi" w:hAnsiTheme="majorHAnsi" w:cstheme="majorHAnsi"/>
                <w:color w:val="000000"/>
                <w:sz w:val="20"/>
                <w:lang w:val="cs-CZ" w:eastAsia="cs-CZ"/>
              </w:rPr>
              <w:t>.3)</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 xml:space="preserve">Obvodové steny zaisťujúce stabilitu stavby alebo jej časti v poslednom nadzemnom podlaží </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15</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proofErr w:type="gramStart"/>
            <w:r w:rsidRPr="00717E02">
              <w:rPr>
                <w:rFonts w:asciiTheme="majorHAnsi" w:hAnsiTheme="majorHAnsi" w:cstheme="majorHAnsi"/>
                <w:color w:val="000000"/>
                <w:sz w:val="20"/>
                <w:lang w:val="cs-CZ" w:eastAsia="cs-CZ"/>
              </w:rPr>
              <w:t>4a</w:t>
            </w:r>
            <w:proofErr w:type="gramEnd"/>
            <w:r w:rsidRPr="00717E02">
              <w:rPr>
                <w:rFonts w:asciiTheme="majorHAnsi" w:hAnsiTheme="majorHAnsi" w:cstheme="majorHAnsi"/>
                <w:color w:val="000000"/>
                <w:sz w:val="20"/>
                <w:lang w:val="cs-CZ" w:eastAsia="cs-CZ"/>
              </w:rPr>
              <w:t>)</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 xml:space="preserve">Požiarne uzávery </w:t>
            </w:r>
            <w:proofErr w:type="gramStart"/>
            <w:r w:rsidRPr="00717E02">
              <w:rPr>
                <w:rFonts w:asciiTheme="majorHAnsi" w:hAnsiTheme="majorHAnsi" w:cstheme="majorHAnsi"/>
                <w:color w:val="000000"/>
                <w:sz w:val="20"/>
                <w:lang w:val="cs-CZ" w:eastAsia="cs-CZ"/>
              </w:rPr>
              <w:t>otvorov - v</w:t>
            </w:r>
            <w:proofErr w:type="gramEnd"/>
            <w:r w:rsidRPr="00717E02">
              <w:rPr>
                <w:rFonts w:asciiTheme="majorHAnsi" w:hAnsiTheme="majorHAnsi" w:cstheme="majorHAnsi"/>
                <w:color w:val="000000"/>
                <w:sz w:val="20"/>
                <w:lang w:val="cs-CZ" w:eastAsia="cs-CZ"/>
              </w:rPr>
              <w:t xml:space="preserve"> podzemných podlažiach a na všetkých podlažiach medzi stavbami</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30/D1</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proofErr w:type="gramStart"/>
            <w:r w:rsidRPr="00717E02">
              <w:rPr>
                <w:rFonts w:asciiTheme="majorHAnsi" w:hAnsiTheme="majorHAnsi" w:cstheme="majorHAnsi"/>
                <w:color w:val="000000"/>
                <w:sz w:val="20"/>
                <w:lang w:val="cs-CZ" w:eastAsia="cs-CZ"/>
              </w:rPr>
              <w:t>4b</w:t>
            </w:r>
            <w:proofErr w:type="gramEnd"/>
            <w:r w:rsidRPr="00717E02">
              <w:rPr>
                <w:rFonts w:asciiTheme="majorHAnsi" w:hAnsiTheme="majorHAnsi" w:cstheme="majorHAnsi"/>
                <w:color w:val="000000"/>
                <w:sz w:val="20"/>
                <w:lang w:val="cs-CZ" w:eastAsia="cs-CZ"/>
              </w:rPr>
              <w:t>)</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 xml:space="preserve">Požiarne uzávery </w:t>
            </w:r>
            <w:proofErr w:type="gramStart"/>
            <w:r w:rsidRPr="00717E02">
              <w:rPr>
                <w:rFonts w:asciiTheme="majorHAnsi" w:hAnsiTheme="majorHAnsi" w:cstheme="majorHAnsi"/>
                <w:color w:val="000000"/>
                <w:sz w:val="20"/>
                <w:lang w:val="cs-CZ" w:eastAsia="cs-CZ"/>
              </w:rPr>
              <w:t>otvorov - v</w:t>
            </w:r>
            <w:proofErr w:type="gramEnd"/>
            <w:r w:rsidRPr="00717E02">
              <w:rPr>
                <w:rFonts w:asciiTheme="majorHAnsi" w:hAnsiTheme="majorHAnsi" w:cstheme="majorHAnsi"/>
                <w:color w:val="000000"/>
                <w:sz w:val="20"/>
                <w:lang w:val="cs-CZ" w:eastAsia="cs-CZ"/>
              </w:rPr>
              <w:t xml:space="preserve"> nadzemných podlažiach</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30/D3</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4c)</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 xml:space="preserve">Požiarne uzávery </w:t>
            </w:r>
            <w:proofErr w:type="gramStart"/>
            <w:r w:rsidRPr="00717E02">
              <w:rPr>
                <w:rFonts w:asciiTheme="majorHAnsi" w:hAnsiTheme="majorHAnsi" w:cstheme="majorHAnsi"/>
                <w:color w:val="000000"/>
                <w:sz w:val="20"/>
                <w:lang w:val="cs-CZ" w:eastAsia="cs-CZ"/>
              </w:rPr>
              <w:t>otvorov - v</w:t>
            </w:r>
            <w:proofErr w:type="gramEnd"/>
            <w:r w:rsidRPr="00717E02">
              <w:rPr>
                <w:rFonts w:asciiTheme="majorHAnsi" w:hAnsiTheme="majorHAnsi" w:cstheme="majorHAnsi"/>
                <w:color w:val="000000"/>
                <w:sz w:val="20"/>
                <w:lang w:val="cs-CZ" w:eastAsia="cs-CZ"/>
              </w:rPr>
              <w:t> poslednom nadzemnom podlaží</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15/D3</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5)</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Nosné konštrukcie schodísk vo vnútri požiarneho úseku, ktoré nie sú súčasťou chúc</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en-US" w:eastAsia="cs-CZ"/>
              </w:rPr>
              <w:t>8a)</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Nosné konštrukcie vnútri stavby, ktoré zabezpečujú stabilitu stavby-v podzemných podlažiach</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45/D1</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en-US" w:eastAsia="cs-CZ"/>
              </w:rPr>
              <w:t>8b)</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Nosné konštrukcie vnútri stavby, ktoré zabezpečujú stabilitu stavby-v nadzemných podlažiach</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30</w:t>
            </w:r>
          </w:p>
        </w:tc>
      </w:tr>
      <w:tr w:rsidR="00717E02" w:rsidRPr="00717E02"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en-US" w:eastAsia="cs-CZ"/>
              </w:rPr>
              <w:t>8c)</w:t>
            </w:r>
          </w:p>
        </w:tc>
        <w:tc>
          <w:tcPr>
            <w:tcW w:w="0" w:type="auto"/>
            <w:tcBorders>
              <w:top w:val="single" w:sz="4" w:space="0" w:color="auto"/>
              <w:left w:val="nil"/>
              <w:bottom w:val="single" w:sz="4" w:space="0" w:color="auto"/>
              <w:right w:val="single" w:sz="4" w:space="0" w:color="auto"/>
            </w:tcBorders>
            <w:shd w:val="clear" w:color="auto" w:fill="auto"/>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 xml:space="preserve">Nosné konštrukcie vnútri stavby, ktoré zabezpečujú stabilitu </w:t>
            </w:r>
            <w:proofErr w:type="gramStart"/>
            <w:r w:rsidRPr="00717E02">
              <w:rPr>
                <w:rFonts w:asciiTheme="majorHAnsi" w:hAnsiTheme="majorHAnsi" w:cstheme="majorHAnsi"/>
                <w:color w:val="000000"/>
                <w:sz w:val="20"/>
                <w:lang w:val="cs-CZ" w:eastAsia="cs-CZ"/>
              </w:rPr>
              <w:t>stavby- v</w:t>
            </w:r>
            <w:proofErr w:type="gramEnd"/>
            <w:r w:rsidRPr="00717E02">
              <w:rPr>
                <w:rFonts w:asciiTheme="majorHAnsi" w:hAnsiTheme="majorHAnsi" w:cstheme="majorHAnsi"/>
                <w:color w:val="000000"/>
                <w:sz w:val="20"/>
                <w:lang w:val="cs-CZ" w:eastAsia="cs-CZ"/>
              </w:rPr>
              <w:t> poslednom nadzemnom podlaží</w:t>
            </w:r>
          </w:p>
        </w:tc>
        <w:tc>
          <w:tcPr>
            <w:tcW w:w="943" w:type="dxa"/>
            <w:tcBorders>
              <w:top w:val="single" w:sz="4" w:space="0" w:color="auto"/>
              <w:left w:val="nil"/>
              <w:bottom w:val="single" w:sz="4" w:space="0" w:color="auto"/>
              <w:right w:val="single" w:sz="4" w:space="0" w:color="auto"/>
            </w:tcBorders>
            <w:shd w:val="clear" w:color="auto" w:fill="auto"/>
            <w:noWrap/>
            <w:vAlign w:val="bottom"/>
          </w:tcPr>
          <w:p w:rsidR="00717E02" w:rsidRPr="00717E02" w:rsidRDefault="00717E02" w:rsidP="008255CA">
            <w:pPr>
              <w:rPr>
                <w:rFonts w:asciiTheme="majorHAnsi" w:hAnsiTheme="majorHAnsi" w:cstheme="majorHAnsi"/>
                <w:color w:val="000000"/>
                <w:sz w:val="20"/>
                <w:lang w:val="cs-CZ" w:eastAsia="cs-CZ"/>
              </w:rPr>
            </w:pPr>
            <w:r w:rsidRPr="00717E02">
              <w:rPr>
                <w:rFonts w:asciiTheme="majorHAnsi" w:hAnsiTheme="majorHAnsi" w:cstheme="majorHAnsi"/>
                <w:color w:val="000000"/>
                <w:sz w:val="20"/>
                <w:lang w:val="cs-CZ" w:eastAsia="cs-CZ"/>
              </w:rPr>
              <w:t>15</w:t>
            </w:r>
          </w:p>
        </w:tc>
      </w:tr>
    </w:tbl>
    <w:p w:rsidR="00717E02" w:rsidRDefault="00717E02" w:rsidP="00717E02">
      <w:pPr>
        <w:rPr>
          <w:rFonts w:asciiTheme="majorHAnsi" w:hAnsiTheme="majorHAnsi" w:cstheme="majorHAnsi"/>
          <w:sz w:val="20"/>
          <w:bdr w:val="none" w:sz="0" w:space="0" w:color="auto" w:frame="1"/>
        </w:rPr>
      </w:pPr>
    </w:p>
    <w:p w:rsidR="00717E02" w:rsidRPr="00717E02" w:rsidRDefault="00717E02" w:rsidP="00717E02">
      <w:pPr>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 xml:space="preserve">Požadované kritériá medzných stavov podľa STN 92 0201-2 a Vyhl. MV SR č. 94/2004 Z.z. sú </w:t>
      </w:r>
    </w:p>
    <w:p w:rsidR="00717E02" w:rsidRPr="00717E02" w:rsidRDefault="00717E02" w:rsidP="00717E02">
      <w:pPr>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nasledujúce:</w:t>
      </w:r>
    </w:p>
    <w:p w:rsidR="00717E02" w:rsidRPr="00717E02" w:rsidRDefault="00717E02" w:rsidP="00717E02">
      <w:pPr>
        <w:contextualSpacing/>
        <w:rPr>
          <w:rFonts w:asciiTheme="majorHAnsi" w:hAnsiTheme="majorHAnsi" w:cstheme="majorHAnsi"/>
          <w:sz w:val="20"/>
          <w:u w:val="single"/>
          <w:bdr w:val="none" w:sz="0" w:space="0" w:color="auto" w:frame="1"/>
        </w:rPr>
      </w:pPr>
      <w:r w:rsidRPr="00717E02">
        <w:rPr>
          <w:rFonts w:asciiTheme="majorHAnsi" w:hAnsiTheme="majorHAnsi" w:cstheme="majorHAnsi"/>
          <w:sz w:val="20"/>
          <w:u w:val="single"/>
          <w:bdr w:val="none" w:sz="0" w:space="0" w:color="auto" w:frame="1"/>
        </w:rPr>
        <w:t>obvodové steny musia z vnútornej strany spĺňať kritériá:</w:t>
      </w:r>
    </w:p>
    <w:p w:rsidR="00717E02" w:rsidRPr="00717E02" w:rsidRDefault="00717E02" w:rsidP="00717E02">
      <w:pPr>
        <w:numPr>
          <w:ilvl w:val="0"/>
          <w:numId w:val="5"/>
        </w:numPr>
        <w:suppressAutoHyphens/>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REW – obvodové steny zabezpečujúce stabilitu stavby</w:t>
      </w:r>
    </w:p>
    <w:p w:rsidR="00717E02" w:rsidRPr="00717E02" w:rsidRDefault="00717E02" w:rsidP="00717E02">
      <w:pPr>
        <w:numPr>
          <w:ilvl w:val="0"/>
          <w:numId w:val="5"/>
        </w:numPr>
        <w:suppressAutoHyphens/>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R- obvodové steny v styku so zeminou</w:t>
      </w:r>
    </w:p>
    <w:p w:rsidR="00717E02" w:rsidRPr="00717E02" w:rsidRDefault="00717E02" w:rsidP="00717E02">
      <w:pPr>
        <w:contextualSpacing/>
        <w:rPr>
          <w:rFonts w:asciiTheme="majorHAnsi" w:hAnsiTheme="majorHAnsi" w:cstheme="majorHAnsi"/>
          <w:sz w:val="20"/>
          <w:u w:val="single"/>
          <w:bdr w:val="none" w:sz="0" w:space="0" w:color="auto" w:frame="1"/>
        </w:rPr>
      </w:pPr>
      <w:r w:rsidRPr="00717E02">
        <w:rPr>
          <w:rFonts w:asciiTheme="majorHAnsi" w:hAnsiTheme="majorHAnsi" w:cstheme="majorHAnsi"/>
          <w:sz w:val="20"/>
          <w:u w:val="single"/>
          <w:bdr w:val="none" w:sz="0" w:space="0" w:color="auto" w:frame="1"/>
        </w:rPr>
        <w:t>obvodové steny musia z vonkajšej strany spĺňať kritériá:</w:t>
      </w:r>
    </w:p>
    <w:p w:rsidR="00717E02" w:rsidRPr="00717E02" w:rsidRDefault="00717E02" w:rsidP="00717E02">
      <w:pPr>
        <w:numPr>
          <w:ilvl w:val="0"/>
          <w:numId w:val="6"/>
        </w:numPr>
        <w:suppressAutoHyphens/>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REI – obvodové steny zabezpečujúce stabilitu stavby</w:t>
      </w:r>
    </w:p>
    <w:p w:rsidR="00717E02" w:rsidRPr="00717E02" w:rsidRDefault="00717E02" w:rsidP="00717E02">
      <w:pPr>
        <w:contextualSpacing/>
        <w:rPr>
          <w:rFonts w:asciiTheme="majorHAnsi" w:hAnsiTheme="majorHAnsi" w:cstheme="majorHAnsi"/>
          <w:sz w:val="20"/>
          <w:u w:val="single"/>
          <w:bdr w:val="none" w:sz="0" w:space="0" w:color="auto" w:frame="1"/>
        </w:rPr>
      </w:pPr>
      <w:r w:rsidRPr="00717E02">
        <w:rPr>
          <w:rFonts w:asciiTheme="majorHAnsi" w:hAnsiTheme="majorHAnsi" w:cstheme="majorHAnsi"/>
          <w:sz w:val="20"/>
          <w:u w:val="single"/>
          <w:bdr w:val="none" w:sz="0" w:space="0" w:color="auto" w:frame="1"/>
        </w:rPr>
        <w:t>požiarne steny musia spĺňať kritériá:</w:t>
      </w:r>
    </w:p>
    <w:p w:rsidR="00717E02" w:rsidRPr="00717E02" w:rsidRDefault="00717E02" w:rsidP="00717E02">
      <w:pPr>
        <w:numPr>
          <w:ilvl w:val="0"/>
          <w:numId w:val="7"/>
        </w:numPr>
        <w:suppressAutoHyphens/>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REI – nosné požiarne steny</w:t>
      </w:r>
    </w:p>
    <w:p w:rsidR="00717E02" w:rsidRPr="00717E02" w:rsidRDefault="00717E02" w:rsidP="00717E02">
      <w:pPr>
        <w:numPr>
          <w:ilvl w:val="0"/>
          <w:numId w:val="7"/>
        </w:numPr>
        <w:suppressAutoHyphens/>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EI – nenosné požiarne steny</w:t>
      </w:r>
    </w:p>
    <w:p w:rsidR="00717E02" w:rsidRPr="00717E02" w:rsidRDefault="00717E02" w:rsidP="00717E02">
      <w:pPr>
        <w:numPr>
          <w:ilvl w:val="0"/>
          <w:numId w:val="7"/>
        </w:numPr>
        <w:suppressAutoHyphens/>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REIM- nosné požiarne steny medzi objektami</w:t>
      </w:r>
    </w:p>
    <w:p w:rsidR="00717E02" w:rsidRPr="00717E02" w:rsidRDefault="00717E02" w:rsidP="00717E02">
      <w:pPr>
        <w:numPr>
          <w:ilvl w:val="0"/>
          <w:numId w:val="7"/>
        </w:numPr>
        <w:suppressAutoHyphens/>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EIM- nenosné požiarne steny medzi objektami</w:t>
      </w:r>
    </w:p>
    <w:p w:rsidR="00717E02" w:rsidRPr="00717E02" w:rsidRDefault="00717E02" w:rsidP="00717E02">
      <w:pPr>
        <w:contextualSpacing/>
        <w:rPr>
          <w:rFonts w:asciiTheme="majorHAnsi" w:hAnsiTheme="majorHAnsi" w:cstheme="majorHAnsi"/>
          <w:sz w:val="20"/>
          <w:u w:val="single"/>
          <w:bdr w:val="none" w:sz="0" w:space="0" w:color="auto" w:frame="1"/>
        </w:rPr>
      </w:pPr>
      <w:r w:rsidRPr="00717E02">
        <w:rPr>
          <w:rFonts w:asciiTheme="majorHAnsi" w:hAnsiTheme="majorHAnsi" w:cstheme="majorHAnsi"/>
          <w:sz w:val="20"/>
          <w:u w:val="single"/>
          <w:bdr w:val="none" w:sz="0" w:space="0" w:color="auto" w:frame="1"/>
        </w:rPr>
        <w:t>požiarne stropy musia spĺňať kritériá:</w:t>
      </w:r>
    </w:p>
    <w:p w:rsidR="00717E02" w:rsidRPr="00717E02" w:rsidRDefault="00717E02" w:rsidP="00717E02">
      <w:pPr>
        <w:numPr>
          <w:ilvl w:val="0"/>
          <w:numId w:val="8"/>
        </w:numPr>
        <w:suppressAutoHyphens/>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REI – nosné požiarne stropy</w:t>
      </w:r>
    </w:p>
    <w:p w:rsidR="00717E02" w:rsidRPr="00717E02" w:rsidRDefault="00717E02" w:rsidP="00717E02">
      <w:pPr>
        <w:contextualSpacing/>
        <w:rPr>
          <w:rFonts w:asciiTheme="majorHAnsi" w:hAnsiTheme="majorHAnsi" w:cstheme="majorHAnsi"/>
          <w:sz w:val="20"/>
          <w:u w:val="single"/>
          <w:bdr w:val="none" w:sz="0" w:space="0" w:color="auto" w:frame="1"/>
        </w:rPr>
      </w:pPr>
      <w:r w:rsidRPr="00717E02">
        <w:rPr>
          <w:rFonts w:asciiTheme="majorHAnsi" w:hAnsiTheme="majorHAnsi" w:cstheme="majorHAnsi"/>
          <w:sz w:val="20"/>
          <w:u w:val="single"/>
          <w:bdr w:val="none" w:sz="0" w:space="0" w:color="auto" w:frame="1"/>
        </w:rPr>
        <w:t>nosné konštrukcie vo vnútri požiarneho úseku:</w:t>
      </w:r>
    </w:p>
    <w:p w:rsidR="00717E02" w:rsidRPr="00717E02" w:rsidRDefault="00717E02" w:rsidP="00717E02">
      <w:pPr>
        <w:numPr>
          <w:ilvl w:val="0"/>
          <w:numId w:val="8"/>
        </w:numPr>
        <w:suppressAutoHyphens/>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R- zabezpečujúce stabilitu stavby alebo jej časti</w:t>
      </w:r>
    </w:p>
    <w:p w:rsidR="00717E02" w:rsidRPr="00717E02" w:rsidRDefault="00717E02" w:rsidP="00717E02">
      <w:pPr>
        <w:contextualSpacing/>
        <w:rPr>
          <w:rFonts w:asciiTheme="majorHAnsi" w:hAnsiTheme="majorHAnsi" w:cstheme="majorHAnsi"/>
          <w:sz w:val="20"/>
          <w:u w:val="single"/>
          <w:bdr w:val="none" w:sz="0" w:space="0" w:color="auto" w:frame="1"/>
        </w:rPr>
      </w:pPr>
      <w:r w:rsidRPr="00717E02">
        <w:rPr>
          <w:rFonts w:asciiTheme="majorHAnsi" w:hAnsiTheme="majorHAnsi" w:cstheme="majorHAnsi"/>
          <w:sz w:val="20"/>
          <w:u w:val="single"/>
          <w:bdr w:val="none" w:sz="0" w:space="0" w:color="auto" w:frame="1"/>
        </w:rPr>
        <w:t>konštrukcie strechy musia spĺňať kritériá:</w:t>
      </w:r>
    </w:p>
    <w:p w:rsidR="00717E02" w:rsidRPr="00717E02" w:rsidRDefault="00717E02" w:rsidP="00717E02">
      <w:pPr>
        <w:numPr>
          <w:ilvl w:val="0"/>
          <w:numId w:val="8"/>
        </w:numPr>
        <w:spacing w:after="200" w:line="276" w:lineRule="auto"/>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 xml:space="preserve">R – nosné konštrukcie strechy </w:t>
      </w:r>
    </w:p>
    <w:p w:rsidR="00717E02" w:rsidRPr="00717E02" w:rsidRDefault="00717E02" w:rsidP="00717E02">
      <w:pPr>
        <w:contextualSpacing/>
        <w:rPr>
          <w:rFonts w:asciiTheme="majorHAnsi" w:hAnsiTheme="majorHAnsi" w:cstheme="majorHAnsi"/>
          <w:sz w:val="20"/>
          <w:u w:val="single"/>
          <w:bdr w:val="none" w:sz="0" w:space="0" w:color="auto" w:frame="1"/>
        </w:rPr>
      </w:pPr>
      <w:r w:rsidRPr="00717E02">
        <w:rPr>
          <w:rFonts w:asciiTheme="majorHAnsi" w:hAnsiTheme="majorHAnsi" w:cstheme="majorHAnsi"/>
          <w:sz w:val="20"/>
          <w:u w:val="single"/>
          <w:bdr w:val="none" w:sz="0" w:space="0" w:color="auto" w:frame="1"/>
        </w:rPr>
        <w:t>požiarne uzávery musia spĺňať kritériá:</w:t>
      </w:r>
    </w:p>
    <w:p w:rsidR="00717E02" w:rsidRPr="00717E02" w:rsidRDefault="00717E02" w:rsidP="00964D77">
      <w:pPr>
        <w:pStyle w:val="Odsekzoznamu"/>
        <w:numPr>
          <w:ilvl w:val="0"/>
          <w:numId w:val="13"/>
        </w:numPr>
        <w:spacing w:after="200" w:line="276" w:lineRule="auto"/>
        <w:rPr>
          <w:rFonts w:asciiTheme="majorHAnsi" w:hAnsiTheme="majorHAnsi" w:cstheme="majorHAnsi"/>
          <w:sz w:val="20"/>
          <w:szCs w:val="20"/>
          <w:bdr w:val="none" w:sz="0" w:space="0" w:color="auto" w:frame="1"/>
        </w:rPr>
      </w:pPr>
      <w:r w:rsidRPr="00717E02">
        <w:rPr>
          <w:rFonts w:asciiTheme="majorHAnsi" w:hAnsiTheme="majorHAnsi" w:cstheme="majorHAnsi"/>
          <w:sz w:val="20"/>
          <w:szCs w:val="20"/>
          <w:bdr w:val="none" w:sz="0" w:space="0" w:color="auto" w:frame="1"/>
        </w:rPr>
        <w:t xml:space="preserve">EW –C3 požiarne uzávery medzi dvomi požiarnymi úsekmi </w:t>
      </w:r>
    </w:p>
    <w:p w:rsidR="00717E02" w:rsidRPr="00717E02" w:rsidRDefault="00717E02" w:rsidP="00717E02">
      <w:pPr>
        <w:pStyle w:val="Odsekzoznamu"/>
        <w:ind w:left="0"/>
        <w:rPr>
          <w:rFonts w:asciiTheme="majorHAnsi" w:hAnsiTheme="majorHAnsi" w:cstheme="majorHAnsi"/>
          <w:sz w:val="20"/>
          <w:szCs w:val="20"/>
          <w:u w:val="single"/>
          <w:bdr w:val="none" w:sz="0" w:space="0" w:color="auto" w:frame="1"/>
        </w:rPr>
      </w:pPr>
    </w:p>
    <w:p w:rsidR="00717E02" w:rsidRPr="00717E02" w:rsidRDefault="00717E02" w:rsidP="00717E02">
      <w:pPr>
        <w:pStyle w:val="Odsekzoznamu"/>
        <w:ind w:left="0"/>
        <w:rPr>
          <w:rFonts w:asciiTheme="majorHAnsi" w:hAnsiTheme="majorHAnsi" w:cstheme="majorHAnsi"/>
          <w:sz w:val="20"/>
          <w:szCs w:val="20"/>
          <w:u w:val="single"/>
          <w:bdr w:val="none" w:sz="0" w:space="0" w:color="auto" w:frame="1"/>
        </w:rPr>
      </w:pPr>
      <w:r w:rsidRPr="00717E02">
        <w:rPr>
          <w:rFonts w:asciiTheme="majorHAnsi" w:hAnsiTheme="majorHAnsi" w:cstheme="majorHAnsi"/>
          <w:sz w:val="20"/>
          <w:szCs w:val="20"/>
          <w:u w:val="single"/>
          <w:bdr w:val="none" w:sz="0" w:space="0" w:color="auto" w:frame="1"/>
        </w:rPr>
        <w:t>Vysvetlivky:</w:t>
      </w:r>
    </w:p>
    <w:p w:rsidR="00717E02" w:rsidRPr="00717E02" w:rsidRDefault="00717E02" w:rsidP="00717E02">
      <w:pPr>
        <w:pStyle w:val="Odsekzoznamu"/>
        <w:ind w:left="0"/>
        <w:rPr>
          <w:rFonts w:asciiTheme="majorHAnsi" w:hAnsiTheme="majorHAnsi" w:cstheme="majorHAnsi"/>
          <w:sz w:val="20"/>
          <w:szCs w:val="20"/>
          <w:bdr w:val="none" w:sz="0" w:space="0" w:color="auto" w:frame="1"/>
        </w:rPr>
      </w:pPr>
      <w:r w:rsidRPr="00717E02">
        <w:rPr>
          <w:rFonts w:asciiTheme="majorHAnsi" w:hAnsiTheme="majorHAnsi" w:cstheme="majorHAnsi"/>
          <w:sz w:val="20"/>
          <w:szCs w:val="20"/>
          <w:bdr w:val="none" w:sz="0" w:space="0" w:color="auto" w:frame="1"/>
        </w:rPr>
        <w:t>nosnosť a stabilita – R</w:t>
      </w:r>
    </w:p>
    <w:p w:rsidR="00717E02" w:rsidRPr="00717E02" w:rsidRDefault="00717E02" w:rsidP="00717E02">
      <w:pPr>
        <w:pStyle w:val="Odsekzoznamu"/>
        <w:ind w:left="0"/>
        <w:rPr>
          <w:rFonts w:asciiTheme="majorHAnsi" w:hAnsiTheme="majorHAnsi" w:cstheme="majorHAnsi"/>
          <w:sz w:val="20"/>
          <w:szCs w:val="20"/>
          <w:u w:val="single"/>
          <w:bdr w:val="none" w:sz="0" w:space="0" w:color="auto" w:frame="1"/>
        </w:rPr>
      </w:pPr>
      <w:r w:rsidRPr="00717E02">
        <w:rPr>
          <w:rFonts w:asciiTheme="majorHAnsi" w:hAnsiTheme="majorHAnsi" w:cstheme="majorHAnsi"/>
          <w:sz w:val="20"/>
          <w:szCs w:val="20"/>
          <w:bdr w:val="none" w:sz="0" w:space="0" w:color="auto" w:frame="1"/>
        </w:rPr>
        <w:lastRenderedPageBreak/>
        <w:t>celistvosť – E</w:t>
      </w:r>
    </w:p>
    <w:p w:rsidR="00717E02" w:rsidRPr="00717E02" w:rsidRDefault="00717E02" w:rsidP="00717E02">
      <w:pPr>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tepelná izolácia – I</w:t>
      </w:r>
    </w:p>
    <w:p w:rsidR="00717E02" w:rsidRPr="00717E02" w:rsidRDefault="00717E02" w:rsidP="00717E02">
      <w:pPr>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izolácia riadená radiáciou – W</w:t>
      </w:r>
    </w:p>
    <w:p w:rsidR="00717E02" w:rsidRPr="00717E02" w:rsidRDefault="00717E02" w:rsidP="00717E02">
      <w:pPr>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uzáver vybavený automatickým zatváracím zariadením – C</w:t>
      </w:r>
    </w:p>
    <w:p w:rsidR="00717E02" w:rsidRPr="00717E02" w:rsidRDefault="00717E02" w:rsidP="00717E02">
      <w:pPr>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zvláštne mechanické vplyvy- M</w:t>
      </w:r>
    </w:p>
    <w:p w:rsidR="00717E02" w:rsidRPr="00717E02" w:rsidRDefault="00717E02" w:rsidP="00717E02">
      <w:pPr>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konštrukcie s osobitným obmedzením prieniku dymu – S.</w:t>
      </w:r>
    </w:p>
    <w:p w:rsidR="00717E02" w:rsidRPr="00717E02" w:rsidRDefault="00717E02" w:rsidP="00717E02">
      <w:pPr>
        <w:contextualSpacing/>
        <w:rPr>
          <w:rFonts w:asciiTheme="majorHAnsi" w:hAnsiTheme="majorHAnsi" w:cstheme="majorHAnsi"/>
          <w:sz w:val="20"/>
          <w:u w:val="single"/>
          <w:bdr w:val="none" w:sz="0" w:space="0" w:color="auto" w:frame="1"/>
        </w:rPr>
      </w:pPr>
    </w:p>
    <w:p w:rsidR="00717E02" w:rsidRPr="00717E02" w:rsidRDefault="00717E02" w:rsidP="00717E02">
      <w:pPr>
        <w:contextualSpacing/>
        <w:rPr>
          <w:rFonts w:asciiTheme="majorHAnsi" w:hAnsiTheme="majorHAnsi" w:cstheme="majorHAnsi"/>
          <w:sz w:val="20"/>
          <w:bdr w:val="none" w:sz="0" w:space="0" w:color="auto" w:frame="1"/>
        </w:rPr>
      </w:pPr>
      <w:r w:rsidRPr="00717E02">
        <w:rPr>
          <w:rFonts w:asciiTheme="majorHAnsi" w:hAnsiTheme="majorHAnsi" w:cstheme="majorHAnsi"/>
          <w:sz w:val="20"/>
          <w:u w:val="single"/>
          <w:bdr w:val="none" w:sz="0" w:space="0" w:color="auto" w:frame="1"/>
        </w:rPr>
        <w:t>Požiadavky na prestupy</w:t>
      </w:r>
    </w:p>
    <w:p w:rsidR="00717E02" w:rsidRPr="00717E02" w:rsidRDefault="00717E02" w:rsidP="00717E02">
      <w:pPr>
        <w:ind w:firstLine="708"/>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 xml:space="preserve">Prestupy rozvodov a prestupy inštalácií, technických zariadení a technologických zariadení cez požiarne deliace konštrukcie musia byť utesnené konštrukčnými prvkami takého druhu, ako sú požiarne deliace konštrukcie cez ktoré prestupujú. </w:t>
      </w:r>
      <w:r w:rsidRPr="00717E02">
        <w:rPr>
          <w:rFonts w:asciiTheme="majorHAnsi" w:hAnsiTheme="majorHAnsi" w:cstheme="majorHAnsi"/>
          <w:b/>
          <w:sz w:val="20"/>
          <w:bdr w:val="none" w:sz="0" w:space="0" w:color="auto" w:frame="1"/>
        </w:rPr>
        <w:t>Utesnený prestup musí spĺňať požiadavky na požiarnu odolnosť požiarne deliacej konštrukcie, ktorou prestupuje, najviac však EI 90</w:t>
      </w:r>
      <w:r w:rsidRPr="00717E02">
        <w:rPr>
          <w:rFonts w:asciiTheme="majorHAnsi" w:hAnsiTheme="majorHAnsi" w:cstheme="majorHAnsi"/>
          <w:sz w:val="20"/>
          <w:bdr w:val="none" w:sz="0" w:space="0" w:color="auto" w:frame="1"/>
        </w:rPr>
        <w:t xml:space="preserve"> ( v zmysle § 40, ods. 3 Vyhl. MV SR č. 94/2004 Z.z.). </w:t>
      </w:r>
    </w:p>
    <w:p w:rsidR="00717E02" w:rsidRPr="00717E02" w:rsidRDefault="00717E02" w:rsidP="00717E02">
      <w:pPr>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ab/>
        <w:t xml:space="preserve">Tesnenie prestupov cez požiarne deliace konštrukcie s plochou otvoru viac ako 0,04 m2 sa označujú štítkom umiestneným priamo na utesnenom stavebnom prvku alebo v jeho tesnej blízkosti, ktorý sa umiestňuje aspoň na jednej strane požiarnej deliacej konštrukcie tak, aby bol vždy viditeľný, čitateľný, prístupný a ťažko odstrániteľný v zmysle § 40, ods. 4, 5 Vyhl. MV SR č. 94/2004 Z.z.. </w:t>
      </w:r>
    </w:p>
    <w:p w:rsidR="00717E02" w:rsidRPr="00717E02" w:rsidRDefault="00717E02" w:rsidP="00717E02">
      <w:pPr>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ab/>
        <w:t>Na štítku musia byť uvedené najmä údaje: nápis PRESTUP, symboly kritérií a číselnú hodnotu požiarnej odolnosti, názov systému tesnenia prestupu, mesiac a rok zhotovenia, názov a adresu zhotoviteľa požiarnej konštrukcie v zmysle § 40, ods. 5 Vyhl. MV SR č. 94/2004 Z.z..</w:t>
      </w:r>
    </w:p>
    <w:p w:rsidR="00717E02" w:rsidRPr="00717E02" w:rsidRDefault="00717E02" w:rsidP="00717E02">
      <w:pPr>
        <w:contextualSpacing/>
        <w:rPr>
          <w:rFonts w:asciiTheme="majorHAnsi" w:hAnsiTheme="majorHAnsi" w:cstheme="majorHAnsi"/>
          <w:sz w:val="20"/>
        </w:rPr>
      </w:pPr>
      <w:r w:rsidRPr="00717E02">
        <w:rPr>
          <w:rFonts w:asciiTheme="majorHAnsi" w:hAnsiTheme="majorHAnsi" w:cstheme="majorHAnsi"/>
          <w:sz w:val="20"/>
        </w:rPr>
        <w:t xml:space="preserve"> </w:t>
      </w:r>
      <w:r w:rsidRPr="00717E02">
        <w:rPr>
          <w:rFonts w:asciiTheme="majorHAnsi" w:hAnsiTheme="majorHAnsi" w:cstheme="majorHAnsi"/>
          <w:sz w:val="20"/>
        </w:rPr>
        <w:tab/>
      </w:r>
    </w:p>
    <w:p w:rsidR="00717E02" w:rsidRPr="00717E02" w:rsidRDefault="00717E02" w:rsidP="00717E02">
      <w:pPr>
        <w:contextualSpacing/>
        <w:rPr>
          <w:rFonts w:asciiTheme="majorHAnsi" w:hAnsiTheme="majorHAnsi" w:cstheme="majorHAnsi"/>
          <w:sz w:val="20"/>
          <w:u w:val="single"/>
          <w:bdr w:val="none" w:sz="0" w:space="0" w:color="auto" w:frame="1"/>
        </w:rPr>
      </w:pPr>
      <w:r w:rsidRPr="00717E02">
        <w:rPr>
          <w:rFonts w:asciiTheme="majorHAnsi" w:hAnsiTheme="majorHAnsi" w:cstheme="majorHAnsi"/>
          <w:sz w:val="20"/>
          <w:u w:val="single"/>
          <w:bdr w:val="none" w:sz="0" w:space="0" w:color="auto" w:frame="1"/>
        </w:rPr>
        <w:t>Požiadavky na lineárne styky</w:t>
      </w: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rPr>
        <w:t xml:space="preserve">Lineárne styky stavebných prvkov požiarnych deliacich konštrukcií musia byť utesnené tak, aby zabránili rozšíreniu požiaru do iného požiarneho úseku, utesnený lineárny styk musí spĺňať požiadavky na požiarnu odolnosť požiarne deliacej konštrukcie ( v zmysle § 40, ods. 2 Vyhl. MV SR č. 94/2004 Z.z.). Na utesnenie je možné použiť protipožiarne nástreky na škáry alebo protipožiarny tmel v súlade s predpisom výrobcu napr. Intumex, Hilty, Promat. Splnenie požadovanej vlastnosti je nutné dokladovať technickým listom pri kolaudácii objektu. </w:t>
      </w:r>
    </w:p>
    <w:p w:rsidR="00717E02" w:rsidRPr="00717E02" w:rsidRDefault="00717E02" w:rsidP="00717E02">
      <w:pPr>
        <w:contextualSpacing/>
        <w:rPr>
          <w:rFonts w:asciiTheme="majorHAnsi" w:hAnsiTheme="majorHAnsi" w:cstheme="majorHAnsi"/>
          <w:sz w:val="20"/>
        </w:rPr>
      </w:pPr>
    </w:p>
    <w:p w:rsidR="00717E02" w:rsidRPr="00717E02" w:rsidRDefault="00717E02" w:rsidP="00717E02">
      <w:pPr>
        <w:contextualSpacing/>
        <w:rPr>
          <w:rFonts w:asciiTheme="majorHAnsi" w:hAnsiTheme="majorHAnsi" w:cstheme="majorHAnsi"/>
          <w:sz w:val="20"/>
          <w:u w:val="single"/>
          <w:bdr w:val="none" w:sz="0" w:space="0" w:color="auto" w:frame="1"/>
        </w:rPr>
      </w:pPr>
      <w:r w:rsidRPr="00717E02">
        <w:rPr>
          <w:rFonts w:asciiTheme="majorHAnsi" w:hAnsiTheme="majorHAnsi" w:cstheme="majorHAnsi"/>
          <w:sz w:val="20"/>
          <w:u w:val="single"/>
          <w:bdr w:val="none" w:sz="0" w:space="0" w:color="auto" w:frame="1"/>
        </w:rPr>
        <w:t>Požiadavky na požiarne uzávery</w:t>
      </w:r>
    </w:p>
    <w:p w:rsidR="00717E02" w:rsidRPr="00717E02" w:rsidRDefault="00717E02" w:rsidP="00717E02">
      <w:pPr>
        <w:contextualSpacing/>
        <w:rPr>
          <w:rFonts w:asciiTheme="majorHAnsi" w:hAnsiTheme="majorHAnsi" w:cstheme="majorHAnsi"/>
          <w:sz w:val="20"/>
          <w:bdr w:val="none" w:sz="0" w:space="0" w:color="auto" w:frame="1"/>
        </w:rPr>
      </w:pPr>
      <w:r w:rsidRPr="00717E02">
        <w:rPr>
          <w:rFonts w:asciiTheme="majorHAnsi" w:hAnsiTheme="majorHAnsi" w:cstheme="majorHAnsi"/>
          <w:sz w:val="20"/>
        </w:rPr>
        <w:tab/>
      </w:r>
      <w:r w:rsidRPr="00717E02">
        <w:rPr>
          <w:rFonts w:asciiTheme="majorHAnsi" w:hAnsiTheme="majorHAnsi" w:cstheme="majorHAnsi"/>
          <w:sz w:val="20"/>
          <w:bdr w:val="none" w:sz="0" w:space="0" w:color="auto" w:frame="1"/>
        </w:rPr>
        <w:t xml:space="preserve">Medzi požiarnymi úsekmi (aj medzi susednými stavbami) musia byť osadené požiarne uzávery v súlade s výkresovou časťou. Požiarny uzáver sa musí automaticky uzatvárať po každom otvorení alebo pri vzniku požiaru. (v zmysle § 45, ods. 4 Vyhl. MV SR č. 94/2004 Z.z.). </w:t>
      </w:r>
    </w:p>
    <w:p w:rsidR="00717E02" w:rsidRPr="00717E02" w:rsidRDefault="00717E02" w:rsidP="00717E02">
      <w:pPr>
        <w:contextualSpacing/>
        <w:rPr>
          <w:rFonts w:asciiTheme="majorHAnsi" w:hAnsiTheme="majorHAnsi" w:cstheme="majorHAnsi"/>
          <w:sz w:val="20"/>
          <w:u w:val="single"/>
        </w:rPr>
      </w:pPr>
    </w:p>
    <w:p w:rsidR="00717E02" w:rsidRPr="00717E02" w:rsidRDefault="00717E02" w:rsidP="00717E02">
      <w:pPr>
        <w:contextualSpacing/>
        <w:rPr>
          <w:rFonts w:asciiTheme="majorHAnsi" w:hAnsiTheme="majorHAnsi" w:cstheme="majorHAnsi"/>
          <w:sz w:val="20"/>
          <w:u w:val="single"/>
        </w:rPr>
      </w:pPr>
      <w:r w:rsidRPr="00717E02">
        <w:rPr>
          <w:rFonts w:asciiTheme="majorHAnsi" w:hAnsiTheme="majorHAnsi" w:cstheme="majorHAnsi"/>
          <w:sz w:val="20"/>
          <w:u w:val="single"/>
        </w:rPr>
        <w:t>Požiadavky na výťahovú šachtu:</w:t>
      </w:r>
    </w:p>
    <w:p w:rsidR="00717E02" w:rsidRPr="00717E02" w:rsidRDefault="00717E02" w:rsidP="00717E02">
      <w:pPr>
        <w:ind w:firstLine="709"/>
        <w:contextualSpacing/>
        <w:rPr>
          <w:rFonts w:asciiTheme="majorHAnsi" w:hAnsiTheme="majorHAnsi" w:cstheme="majorHAnsi"/>
          <w:sz w:val="20"/>
        </w:rPr>
      </w:pPr>
      <w:r w:rsidRPr="00717E02">
        <w:rPr>
          <w:rFonts w:asciiTheme="majorHAnsi" w:hAnsiTheme="majorHAnsi" w:cstheme="majorHAnsi"/>
          <w:sz w:val="20"/>
        </w:rPr>
        <w:t xml:space="preserve">Nakoľko výťahová šachta netvorí samostatný požiarny úsek, musí byť </w:t>
      </w:r>
      <w:r w:rsidRPr="00717E02">
        <w:rPr>
          <w:rFonts w:asciiTheme="majorHAnsi" w:hAnsiTheme="majorHAnsi" w:cstheme="majorHAnsi"/>
          <w:b/>
          <w:sz w:val="20"/>
        </w:rPr>
        <w:t>výťahová kabína vytvorená iba zo</w:t>
      </w:r>
      <w:r w:rsidRPr="00717E02">
        <w:rPr>
          <w:rFonts w:asciiTheme="majorHAnsi" w:hAnsiTheme="majorHAnsi" w:cstheme="majorHAnsi"/>
          <w:sz w:val="20"/>
        </w:rPr>
        <w:t xml:space="preserve"> </w:t>
      </w:r>
      <w:r w:rsidRPr="00717E02">
        <w:rPr>
          <w:rFonts w:asciiTheme="majorHAnsi" w:hAnsiTheme="majorHAnsi" w:cstheme="majorHAnsi"/>
          <w:b/>
          <w:sz w:val="20"/>
        </w:rPr>
        <w:t>stavebných výrobkov triedy reakcie na oheň A1 alt. A2</w:t>
      </w:r>
      <w:r w:rsidRPr="00717E02">
        <w:rPr>
          <w:rFonts w:asciiTheme="majorHAnsi" w:hAnsiTheme="majorHAnsi" w:cstheme="majorHAnsi"/>
          <w:sz w:val="20"/>
        </w:rPr>
        <w:t xml:space="preserve"> </w:t>
      </w:r>
      <w:r w:rsidRPr="00717E02">
        <w:rPr>
          <w:rFonts w:asciiTheme="majorHAnsi" w:hAnsiTheme="majorHAnsi" w:cstheme="majorHAnsi"/>
          <w:sz w:val="20"/>
          <w:bdr w:val="none" w:sz="0" w:space="0" w:color="auto" w:frame="1"/>
        </w:rPr>
        <w:t>(v zmysle § 47, ods. 2 Vyhl. MV SR č. 94/2004 Z.z.).</w:t>
      </w:r>
    </w:p>
    <w:p w:rsidR="00717E02" w:rsidRPr="00717E02" w:rsidRDefault="00717E02" w:rsidP="00717E02">
      <w:pPr>
        <w:contextualSpacing/>
        <w:rPr>
          <w:rFonts w:asciiTheme="majorHAnsi" w:hAnsiTheme="majorHAnsi" w:cstheme="majorHAnsi"/>
          <w:sz w:val="20"/>
          <w:u w:val="single"/>
        </w:rPr>
      </w:pPr>
    </w:p>
    <w:p w:rsidR="00717E02" w:rsidRPr="00717E02" w:rsidRDefault="00717E02" w:rsidP="00717E02">
      <w:pPr>
        <w:contextualSpacing/>
        <w:rPr>
          <w:rFonts w:asciiTheme="majorHAnsi" w:hAnsiTheme="majorHAnsi" w:cstheme="majorHAnsi"/>
          <w:sz w:val="20"/>
          <w:u w:val="single"/>
        </w:rPr>
      </w:pPr>
      <w:r w:rsidRPr="00717E02">
        <w:rPr>
          <w:rFonts w:asciiTheme="majorHAnsi" w:hAnsiTheme="majorHAnsi" w:cstheme="majorHAnsi"/>
          <w:sz w:val="20"/>
          <w:u w:val="single"/>
        </w:rPr>
        <w:t>Požiadavky na interiérové schodiská:</w:t>
      </w:r>
    </w:p>
    <w:p w:rsidR="00717E02" w:rsidRPr="00717E02" w:rsidRDefault="00717E02" w:rsidP="00717E02">
      <w:pPr>
        <w:ind w:firstLine="709"/>
        <w:contextualSpacing/>
        <w:rPr>
          <w:rFonts w:asciiTheme="majorHAnsi" w:hAnsiTheme="majorHAnsi" w:cstheme="majorHAnsi"/>
          <w:sz w:val="20"/>
          <w:bdr w:val="none" w:sz="0" w:space="0" w:color="auto" w:frame="1"/>
        </w:rPr>
      </w:pPr>
      <w:r w:rsidRPr="00717E02">
        <w:rPr>
          <w:rFonts w:asciiTheme="majorHAnsi" w:hAnsiTheme="majorHAnsi" w:cstheme="majorHAnsi"/>
          <w:sz w:val="20"/>
        </w:rPr>
        <w:t xml:space="preserve">Navrhnuté schodiská neslúžia na evakuáciu viac ako 10 normových osôb, preto sa na ne  nevzťahujú požiadavky na požiarnu odolnosť a druh konštrukčných prvkov  </w:t>
      </w:r>
      <w:r w:rsidRPr="00717E02">
        <w:rPr>
          <w:rFonts w:asciiTheme="majorHAnsi" w:hAnsiTheme="majorHAnsi" w:cstheme="majorHAnsi"/>
          <w:sz w:val="20"/>
          <w:bdr w:val="none" w:sz="0" w:space="0" w:color="auto" w:frame="1"/>
        </w:rPr>
        <w:t>(v zmysle § 47, ods. 1 Vyhl. MV SR č. 94/2004 Z.z.).</w:t>
      </w:r>
    </w:p>
    <w:p w:rsidR="00717E02" w:rsidRPr="00717E02" w:rsidRDefault="00717E02" w:rsidP="00717E02">
      <w:pPr>
        <w:ind w:firstLine="709"/>
        <w:contextualSpacing/>
        <w:rPr>
          <w:rFonts w:asciiTheme="majorHAnsi" w:hAnsiTheme="majorHAnsi" w:cstheme="majorHAnsi"/>
          <w:sz w:val="20"/>
          <w:bdr w:val="none" w:sz="0" w:space="0" w:color="auto" w:frame="1"/>
        </w:rPr>
      </w:pPr>
      <w:r w:rsidRPr="00717E02">
        <w:rPr>
          <w:rFonts w:asciiTheme="majorHAnsi" w:hAnsiTheme="majorHAnsi" w:cstheme="majorHAnsi"/>
          <w:sz w:val="20"/>
          <w:bdr w:val="none" w:sz="0" w:space="0" w:color="auto" w:frame="1"/>
        </w:rPr>
        <w:t>Nosná  konštrukcia schodísk musí spĺňať najmenej kritérium -R (v zmysle § 47, ods. 2 Vyhl. MV SR č. 94/2004 Z.z.).</w:t>
      </w:r>
    </w:p>
    <w:p w:rsidR="00717E02" w:rsidRPr="00717E02" w:rsidRDefault="00717E02" w:rsidP="00717E02">
      <w:pPr>
        <w:contextualSpacing/>
        <w:rPr>
          <w:rFonts w:asciiTheme="majorHAnsi" w:hAnsiTheme="majorHAnsi" w:cstheme="majorHAnsi"/>
          <w:sz w:val="20"/>
          <w:u w:val="single"/>
        </w:rPr>
      </w:pPr>
    </w:p>
    <w:p w:rsidR="00717E02" w:rsidRPr="00717E02" w:rsidRDefault="00717E02" w:rsidP="00717E02">
      <w:pPr>
        <w:contextualSpacing/>
        <w:rPr>
          <w:rFonts w:asciiTheme="majorHAnsi" w:hAnsiTheme="majorHAnsi" w:cstheme="majorHAnsi"/>
          <w:sz w:val="20"/>
          <w:u w:val="single"/>
        </w:rPr>
      </w:pPr>
      <w:r w:rsidRPr="00717E02">
        <w:rPr>
          <w:rFonts w:asciiTheme="majorHAnsi" w:hAnsiTheme="majorHAnsi" w:cstheme="majorHAnsi"/>
          <w:sz w:val="20"/>
          <w:u w:val="single"/>
        </w:rPr>
        <w:t>Požiadavky na nosné konštrukcie</w:t>
      </w:r>
    </w:p>
    <w:p w:rsidR="00717E02" w:rsidRPr="00717E02" w:rsidRDefault="00717E02" w:rsidP="00717E02">
      <w:pPr>
        <w:spacing w:line="0" w:lineRule="atLeast"/>
        <w:ind w:firstLine="708"/>
        <w:contextualSpacing/>
        <w:rPr>
          <w:rFonts w:asciiTheme="majorHAnsi" w:hAnsiTheme="majorHAnsi" w:cstheme="majorHAnsi"/>
          <w:sz w:val="20"/>
        </w:rPr>
      </w:pPr>
      <w:r w:rsidRPr="00717E02">
        <w:rPr>
          <w:rFonts w:asciiTheme="majorHAnsi" w:hAnsiTheme="majorHAnsi" w:cstheme="majorHAnsi"/>
          <w:sz w:val="20"/>
        </w:rPr>
        <w:t xml:space="preserve">Všetky nosné konštrukcie v riešenej stavbe musia spĺňať kritérium a požiadavku na požiarnu odolnosť na 1.ppp- </w:t>
      </w:r>
      <w:r w:rsidRPr="00717E02">
        <w:rPr>
          <w:rFonts w:asciiTheme="majorHAnsi" w:hAnsiTheme="majorHAnsi" w:cstheme="majorHAnsi"/>
          <w:b/>
          <w:sz w:val="20"/>
        </w:rPr>
        <w:t>R45/D1</w:t>
      </w:r>
      <w:r w:rsidRPr="00717E02">
        <w:rPr>
          <w:rFonts w:asciiTheme="majorHAnsi" w:hAnsiTheme="majorHAnsi" w:cstheme="majorHAnsi"/>
          <w:sz w:val="20"/>
        </w:rPr>
        <w:t xml:space="preserve">, na 1.npp- </w:t>
      </w:r>
      <w:r w:rsidRPr="00717E02">
        <w:rPr>
          <w:rFonts w:asciiTheme="majorHAnsi" w:hAnsiTheme="majorHAnsi" w:cstheme="majorHAnsi"/>
          <w:b/>
          <w:sz w:val="20"/>
        </w:rPr>
        <w:t>R30,</w:t>
      </w:r>
      <w:r w:rsidRPr="00717E02">
        <w:rPr>
          <w:rFonts w:asciiTheme="majorHAnsi" w:hAnsiTheme="majorHAnsi" w:cstheme="majorHAnsi"/>
          <w:sz w:val="20"/>
        </w:rPr>
        <w:t xml:space="preserve"> 2.npp -</w:t>
      </w:r>
      <w:r w:rsidRPr="00717E02">
        <w:rPr>
          <w:rFonts w:asciiTheme="majorHAnsi" w:hAnsiTheme="majorHAnsi" w:cstheme="majorHAnsi"/>
          <w:b/>
          <w:sz w:val="20"/>
        </w:rPr>
        <w:t>R15.</w:t>
      </w:r>
    </w:p>
    <w:p w:rsidR="00717E02" w:rsidRPr="00717E02" w:rsidRDefault="00717E02" w:rsidP="00717E02">
      <w:pPr>
        <w:spacing w:line="0" w:lineRule="atLeast"/>
        <w:ind w:firstLine="708"/>
        <w:contextualSpacing/>
        <w:rPr>
          <w:rFonts w:asciiTheme="majorHAnsi" w:hAnsiTheme="majorHAnsi" w:cstheme="majorHAnsi"/>
          <w:sz w:val="20"/>
        </w:rPr>
      </w:pPr>
      <w:r w:rsidRPr="00717E02">
        <w:rPr>
          <w:rFonts w:asciiTheme="majorHAnsi" w:hAnsiTheme="majorHAnsi" w:cstheme="majorHAnsi"/>
          <w:sz w:val="20"/>
          <w:u w:val="single"/>
        </w:rPr>
        <w:t>Požiarnu odolnosť nosného prvku možno dosiahnuť použitím protipožiarneho náteru na zvýšenie požiarnej odolnosti (napr. pyrostop steel, plamostop), protipožiarneho nástreku (napr. vermiplaster f. knauf) alebo protipožiarneho obkladu (napr. sadroakrtón, cetris a pod).</w:t>
      </w:r>
      <w:r w:rsidRPr="00717E02">
        <w:rPr>
          <w:rFonts w:asciiTheme="majorHAnsi" w:hAnsiTheme="majorHAnsi" w:cstheme="majorHAnsi"/>
          <w:sz w:val="20"/>
        </w:rPr>
        <w:t xml:space="preserve">  </w:t>
      </w:r>
    </w:p>
    <w:p w:rsidR="00717E02" w:rsidRPr="00717E02" w:rsidRDefault="00717E02" w:rsidP="00717E02">
      <w:pPr>
        <w:spacing w:line="0" w:lineRule="atLeast"/>
        <w:ind w:firstLine="708"/>
        <w:contextualSpacing/>
        <w:rPr>
          <w:rFonts w:asciiTheme="majorHAnsi" w:hAnsiTheme="majorHAnsi" w:cstheme="majorHAnsi"/>
          <w:sz w:val="20"/>
        </w:rPr>
      </w:pPr>
      <w:r w:rsidRPr="00717E02">
        <w:rPr>
          <w:rFonts w:asciiTheme="majorHAnsi" w:hAnsiTheme="majorHAnsi" w:cstheme="majorHAnsi"/>
          <w:sz w:val="20"/>
        </w:rPr>
        <w:t xml:space="preserve">Protipožiarny náter nie je možné použiť na konštrukcie, ktoré budú trvalo zabudované –uzavreté napr. pohľadom alebo obkladom bez preukázanej požiarnej odolnosti, čo by znemožnilo obnoviť náter v lehote predpísanej jeho výrobcom. Pokiaľ je však životnosť protipožiarneho náteru neobmedzená ( napr.vermiplaster), resp. rovnajúca sa životnosti stavby (čo musí byť zdokladované platným certifikátom), nie je nutné prihliadať na potrebu obnovovania protipožiarneho náteru. </w:t>
      </w:r>
    </w:p>
    <w:p w:rsidR="00717E02" w:rsidRPr="00717E02" w:rsidRDefault="00717E02" w:rsidP="00717E02">
      <w:pPr>
        <w:contextualSpacing/>
        <w:rPr>
          <w:rFonts w:asciiTheme="majorHAnsi" w:hAnsiTheme="majorHAnsi" w:cstheme="majorHAnsi"/>
          <w:b/>
          <w:sz w:val="20"/>
        </w:rPr>
      </w:pPr>
      <w:r w:rsidRPr="00717E02">
        <w:rPr>
          <w:rFonts w:asciiTheme="majorHAnsi" w:hAnsiTheme="majorHAnsi" w:cstheme="majorHAnsi"/>
          <w:sz w:val="20"/>
        </w:rPr>
        <w:tab/>
      </w:r>
      <w:r w:rsidRPr="00717E02">
        <w:rPr>
          <w:rFonts w:asciiTheme="majorHAnsi" w:hAnsiTheme="majorHAnsi" w:cstheme="majorHAnsi"/>
          <w:b/>
          <w:sz w:val="20"/>
        </w:rPr>
        <w:t>Upozorňujem, že po uplynutí deklarovanej životnosti alebo v prípade poškodenia náteru je nutné náter obnoviť v súlade s technickými pokynmi výrobcu náteru.</w:t>
      </w:r>
    </w:p>
    <w:p w:rsidR="00717E02" w:rsidRPr="00717E02" w:rsidRDefault="00717E02" w:rsidP="00717E02">
      <w:pPr>
        <w:contextualSpacing/>
        <w:rPr>
          <w:rFonts w:asciiTheme="majorHAnsi" w:hAnsiTheme="majorHAnsi" w:cstheme="majorHAnsi"/>
          <w:sz w:val="20"/>
          <w:u w:val="single"/>
        </w:rPr>
      </w:pPr>
    </w:p>
    <w:p w:rsidR="00717E02" w:rsidRPr="00717E02" w:rsidRDefault="00717E02" w:rsidP="00717E02">
      <w:pPr>
        <w:contextualSpacing/>
        <w:rPr>
          <w:rFonts w:asciiTheme="majorHAnsi" w:hAnsiTheme="majorHAnsi" w:cstheme="majorHAnsi"/>
          <w:sz w:val="20"/>
          <w:u w:val="single"/>
        </w:rPr>
      </w:pPr>
      <w:r w:rsidRPr="00717E02">
        <w:rPr>
          <w:rFonts w:asciiTheme="majorHAnsi" w:hAnsiTheme="majorHAnsi" w:cstheme="majorHAnsi"/>
          <w:sz w:val="20"/>
          <w:u w:val="single"/>
        </w:rPr>
        <w:t>Požiadavky na požiarne steny, požiarne stropy</w:t>
      </w:r>
    </w:p>
    <w:p w:rsidR="00717E02" w:rsidRPr="00717E02" w:rsidRDefault="00717E02" w:rsidP="00717E02">
      <w:pPr>
        <w:autoSpaceDE w:val="0"/>
        <w:autoSpaceDN w:val="0"/>
        <w:adjustRightInd w:val="0"/>
        <w:rPr>
          <w:rFonts w:asciiTheme="majorHAnsi" w:hAnsiTheme="majorHAnsi" w:cstheme="majorHAnsi"/>
          <w:sz w:val="20"/>
        </w:rPr>
      </w:pPr>
      <w:r w:rsidRPr="00717E02">
        <w:rPr>
          <w:rFonts w:asciiTheme="majorHAnsi" w:hAnsiTheme="majorHAnsi" w:cstheme="majorHAnsi"/>
          <w:sz w:val="20"/>
        </w:rPr>
        <w:tab/>
        <w:t xml:space="preserve">Požiarne deliace konštrukcie musia v celej ploche spĺňať kritéria požiarnej odolnosti (stanovených vo výkresovej časti) vrátane lineárnych stykov stavebných prvkov a zároveň  požiarna odolnosť požiarnych deliacich konštrukcií nesmie byť ich zoslabená prestupmi rozvodov, prestupmi inštalácií, prestupmi technických zariadení ani prestupmi technologických zariadení nižšia ako určená požiarna odolnosť ( v zmysle § 40, ods. 1 Vyhl. MV SR č. 94/2004 Z.z.).. </w:t>
      </w:r>
    </w:p>
    <w:p w:rsidR="00717E02" w:rsidRPr="00717E02" w:rsidRDefault="00717E02" w:rsidP="00717E02">
      <w:pPr>
        <w:ind w:firstLine="708"/>
        <w:contextualSpacing/>
        <w:rPr>
          <w:rFonts w:asciiTheme="majorHAnsi" w:hAnsiTheme="majorHAnsi" w:cstheme="majorHAnsi"/>
          <w:b/>
          <w:sz w:val="20"/>
          <w:bdr w:val="none" w:sz="0" w:space="0" w:color="auto" w:frame="1"/>
        </w:rPr>
      </w:pPr>
      <w:r w:rsidRPr="00717E02">
        <w:rPr>
          <w:rFonts w:asciiTheme="majorHAnsi" w:hAnsiTheme="majorHAnsi" w:cstheme="majorHAnsi"/>
          <w:sz w:val="20"/>
        </w:rPr>
        <w:t xml:space="preserve">Požiarne steny sa musia stýkať s konštrukciou požiarneho stropu alebo s konštrukciou strechy a strešného plášťa vyhotovených z konštrukčných prvkov druhu D1 s požadovanou požiarnou odolnosťou v </w:t>
      </w:r>
      <w:r w:rsidRPr="00717E02">
        <w:rPr>
          <w:rFonts w:asciiTheme="majorHAnsi" w:hAnsiTheme="majorHAnsi" w:cstheme="majorHAnsi"/>
          <w:sz w:val="20"/>
          <w:lang w:eastAsia="cs-CZ"/>
        </w:rPr>
        <w:t xml:space="preserve">zmysle </w:t>
      </w:r>
      <w:r w:rsidRPr="00717E02">
        <w:rPr>
          <w:rFonts w:asciiTheme="majorHAnsi" w:hAnsiTheme="majorHAnsi" w:cstheme="majorHAnsi"/>
          <w:bCs/>
          <w:sz w:val="20"/>
        </w:rPr>
        <w:t>§ 41, ods. 7a) Vyhl. MV SR č. 94/2004 Z.z</w:t>
      </w:r>
      <w:r w:rsidRPr="00717E02">
        <w:rPr>
          <w:rFonts w:asciiTheme="majorHAnsi" w:hAnsiTheme="majorHAnsi" w:cstheme="majorHAnsi"/>
          <w:sz w:val="20"/>
        </w:rPr>
        <w:t>.. -  v posudzovanej stavbe sa stýkajú so železobetónovým stropom.</w:t>
      </w:r>
      <w:r w:rsidRPr="00717E02">
        <w:rPr>
          <w:rFonts w:asciiTheme="majorHAnsi" w:hAnsiTheme="majorHAnsi" w:cstheme="majorHAnsi"/>
          <w:b/>
          <w:sz w:val="20"/>
          <w:bdr w:val="none" w:sz="0" w:space="0" w:color="auto" w:frame="1"/>
        </w:rPr>
        <w:tab/>
      </w: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rPr>
        <w:t>Požiarna stena medzi stavbami sa musí stýkať s požiarnym stropom v súlade s § 41, ods. 7a) Vyhl. MV SR č. 94/2004 Z.z..</w:t>
      </w:r>
    </w:p>
    <w:p w:rsidR="00964D77" w:rsidRDefault="00964D77" w:rsidP="00717E02">
      <w:pPr>
        <w:ind w:firstLine="708"/>
        <w:contextualSpacing/>
        <w:rPr>
          <w:rFonts w:asciiTheme="majorHAnsi" w:hAnsiTheme="majorHAnsi" w:cstheme="majorHAnsi"/>
          <w:sz w:val="20"/>
        </w:rPr>
      </w:pPr>
    </w:p>
    <w:p w:rsidR="00964D77" w:rsidRDefault="00964D77" w:rsidP="00717E02">
      <w:pPr>
        <w:ind w:firstLine="708"/>
        <w:contextualSpacing/>
        <w:rPr>
          <w:rFonts w:asciiTheme="majorHAnsi" w:hAnsiTheme="majorHAnsi" w:cstheme="majorHAnsi"/>
          <w:sz w:val="20"/>
        </w:rPr>
      </w:pP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rPr>
        <w:t xml:space="preserve">Požiarnu odolnosť požiarneho stropu možno dosiahnuť aj použitím podhľadovej konštrukcie </w:t>
      </w:r>
      <w:r w:rsidRPr="00717E02">
        <w:rPr>
          <w:rFonts w:asciiTheme="majorHAnsi" w:hAnsiTheme="majorHAnsi" w:cstheme="majorHAnsi"/>
          <w:sz w:val="20"/>
          <w:lang w:eastAsia="cs-CZ"/>
        </w:rPr>
        <w:t xml:space="preserve">(v zmysle </w:t>
      </w:r>
      <w:r w:rsidRPr="00717E02">
        <w:rPr>
          <w:rFonts w:asciiTheme="majorHAnsi" w:hAnsiTheme="majorHAnsi" w:cstheme="majorHAnsi"/>
          <w:bCs/>
          <w:sz w:val="20"/>
        </w:rPr>
        <w:t>§ 42 ods.6 Vyhl. MV SR č. 94/2004 Z.z</w:t>
      </w:r>
      <w:r w:rsidRPr="00717E02">
        <w:rPr>
          <w:rFonts w:asciiTheme="majorHAnsi" w:hAnsiTheme="majorHAnsi" w:cstheme="majorHAnsi"/>
          <w:sz w:val="20"/>
        </w:rPr>
        <w:t xml:space="preserve">.). – </w:t>
      </w:r>
      <w:r w:rsidRPr="00717E02">
        <w:rPr>
          <w:rFonts w:asciiTheme="majorHAnsi" w:hAnsiTheme="majorHAnsi" w:cstheme="majorHAnsi"/>
          <w:b/>
          <w:sz w:val="20"/>
        </w:rPr>
        <w:t xml:space="preserve">zo spodnej strany celej strešnej konštrukcie (šikmej strechy) musí byť vytvorený protipožiarny podhľad na zabezpečenie požadovanej požiarnej odolnosti REI30 </w:t>
      </w:r>
      <w:r w:rsidRPr="00717E02">
        <w:rPr>
          <w:rFonts w:asciiTheme="majorHAnsi" w:hAnsiTheme="majorHAnsi" w:cstheme="majorHAnsi"/>
          <w:sz w:val="20"/>
        </w:rPr>
        <w:t xml:space="preserve">(v súlade s technickým listom a predpisom výrobcu). </w:t>
      </w:r>
    </w:p>
    <w:p w:rsidR="00717E02" w:rsidRPr="00717E02" w:rsidRDefault="00717E02" w:rsidP="00717E02">
      <w:pPr>
        <w:contextualSpacing/>
        <w:rPr>
          <w:rFonts w:asciiTheme="majorHAnsi" w:hAnsiTheme="majorHAnsi" w:cstheme="majorHAnsi"/>
          <w:sz w:val="20"/>
          <w:u w:val="single"/>
        </w:rPr>
      </w:pPr>
    </w:p>
    <w:p w:rsidR="00717E02" w:rsidRPr="00717E02" w:rsidRDefault="00717E02" w:rsidP="00717E02">
      <w:pPr>
        <w:contextualSpacing/>
        <w:rPr>
          <w:rFonts w:asciiTheme="majorHAnsi" w:hAnsiTheme="majorHAnsi" w:cstheme="majorHAnsi"/>
          <w:sz w:val="20"/>
          <w:u w:val="single"/>
        </w:rPr>
      </w:pPr>
      <w:r w:rsidRPr="00717E02">
        <w:rPr>
          <w:rFonts w:asciiTheme="majorHAnsi" w:hAnsiTheme="majorHAnsi" w:cstheme="majorHAnsi"/>
          <w:sz w:val="20"/>
          <w:u w:val="single"/>
        </w:rPr>
        <w:t>Požiadavky na požiarne pásy</w:t>
      </w:r>
      <w:r w:rsidRPr="00717E02">
        <w:rPr>
          <w:rFonts w:asciiTheme="majorHAnsi" w:hAnsiTheme="majorHAnsi" w:cstheme="majorHAnsi"/>
          <w:b/>
          <w:sz w:val="20"/>
          <w:bdr w:val="none" w:sz="0" w:space="0" w:color="auto" w:frame="1"/>
        </w:rPr>
        <w:tab/>
      </w:r>
    </w:p>
    <w:p w:rsidR="00717E02" w:rsidRPr="00717E02" w:rsidRDefault="00717E02" w:rsidP="00717E02">
      <w:pPr>
        <w:spacing w:line="0" w:lineRule="atLeast"/>
        <w:ind w:firstLine="708"/>
        <w:contextualSpacing/>
        <w:rPr>
          <w:rFonts w:asciiTheme="majorHAnsi" w:hAnsiTheme="majorHAnsi" w:cstheme="majorHAnsi"/>
          <w:bCs/>
          <w:sz w:val="20"/>
        </w:rPr>
      </w:pPr>
      <w:r w:rsidRPr="00717E02">
        <w:rPr>
          <w:rFonts w:asciiTheme="majorHAnsi" w:hAnsiTheme="majorHAnsi" w:cstheme="majorHAnsi"/>
          <w:sz w:val="20"/>
        </w:rPr>
        <w:t xml:space="preserve">Požiarne pásy medzi požiarnymi úsekmi v posudzovanej stavbe nie sú navrhnuté, nakoľko požiarna výška objektu je menej ako 12m v súlade s </w:t>
      </w:r>
      <w:r w:rsidRPr="00717E02">
        <w:rPr>
          <w:rFonts w:asciiTheme="majorHAnsi" w:hAnsiTheme="majorHAnsi" w:cstheme="majorHAnsi"/>
          <w:bCs/>
          <w:sz w:val="20"/>
        </w:rPr>
        <w:t>§ 44 ods.7c)  Vyhl. MV SR č.94/2004 Z.z.</w:t>
      </w:r>
    </w:p>
    <w:p w:rsidR="00717E02" w:rsidRPr="00717E02" w:rsidRDefault="00717E02" w:rsidP="00717E02">
      <w:pPr>
        <w:autoSpaceDE w:val="0"/>
        <w:autoSpaceDN w:val="0"/>
        <w:adjustRightInd w:val="0"/>
        <w:rPr>
          <w:rFonts w:asciiTheme="majorHAnsi" w:hAnsiTheme="majorHAnsi" w:cstheme="majorHAnsi"/>
          <w:b/>
          <w:sz w:val="20"/>
          <w:highlight w:val="yellow"/>
        </w:rPr>
      </w:pP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rPr>
        <w:t>Riešenie ukončenia strešného plášťa pri okape musí byť navrhnuté tak, aby sa zabránilo preneseniu požiaru do strešného plášťa -napr. zabezpečením protipožiarnymi doskami s triedou reakcie na oheň  A1, A2  napr. cetris hr. min. 2 x 12mm.</w:t>
      </w:r>
    </w:p>
    <w:p w:rsidR="00717E02" w:rsidRPr="00717E02" w:rsidRDefault="00717E02" w:rsidP="00717E02">
      <w:pPr>
        <w:contextualSpacing/>
        <w:rPr>
          <w:rFonts w:asciiTheme="majorHAnsi" w:hAnsiTheme="majorHAnsi" w:cstheme="majorHAnsi"/>
          <w:sz w:val="20"/>
        </w:rPr>
      </w:pPr>
    </w:p>
    <w:p w:rsidR="00717E02" w:rsidRPr="00717E02" w:rsidRDefault="00717E02" w:rsidP="00717E02">
      <w:pPr>
        <w:contextualSpacing/>
        <w:rPr>
          <w:rFonts w:asciiTheme="majorHAnsi" w:hAnsiTheme="majorHAnsi" w:cstheme="majorHAnsi"/>
          <w:sz w:val="20"/>
        </w:rPr>
      </w:pPr>
      <w:r w:rsidRPr="00717E02">
        <w:rPr>
          <w:rFonts w:asciiTheme="majorHAnsi" w:hAnsiTheme="majorHAnsi" w:cstheme="majorHAnsi"/>
          <w:sz w:val="20"/>
          <w:u w:val="single"/>
        </w:rPr>
        <w:t>Požiadavky na exteriérové povrchové úpravy v súlade s čl.5.14 STN 920201-2:</w:t>
      </w:r>
      <w:r w:rsidRPr="00717E02">
        <w:rPr>
          <w:rFonts w:asciiTheme="majorHAnsi" w:hAnsiTheme="majorHAnsi" w:cstheme="majorHAnsi"/>
          <w:sz w:val="20"/>
        </w:rPr>
        <w:tab/>
      </w:r>
    </w:p>
    <w:p w:rsidR="00717E02" w:rsidRPr="00717E02" w:rsidRDefault="00717E02" w:rsidP="00717E02">
      <w:pPr>
        <w:ind w:firstLine="709"/>
        <w:contextualSpacing/>
        <w:rPr>
          <w:rFonts w:asciiTheme="majorHAnsi" w:hAnsiTheme="majorHAnsi" w:cstheme="majorHAnsi"/>
          <w:sz w:val="20"/>
        </w:rPr>
      </w:pPr>
      <w:r w:rsidRPr="00717E02">
        <w:rPr>
          <w:rFonts w:asciiTheme="majorHAnsi" w:hAnsiTheme="majorHAnsi" w:cstheme="majorHAnsi"/>
          <w:sz w:val="20"/>
        </w:rPr>
        <w:t>Povrchové úpravy a exteriérové obklady obvodových stien z vonkajšej strany stavby (vrátane zateplenia) môžu obsahovať len materiály triedy reakcie na oheň A1 elbo A2-s1,d0 (napr. obklad cetris, omietka) ak:</w:t>
      </w:r>
    </w:p>
    <w:p w:rsidR="00717E02" w:rsidRPr="00717E02" w:rsidRDefault="00717E02" w:rsidP="00717E02">
      <w:pPr>
        <w:contextualSpacing/>
        <w:rPr>
          <w:rFonts w:asciiTheme="majorHAnsi" w:hAnsiTheme="majorHAnsi" w:cstheme="majorHAnsi"/>
          <w:sz w:val="20"/>
        </w:rPr>
      </w:pPr>
      <w:r w:rsidRPr="00717E02">
        <w:rPr>
          <w:rFonts w:asciiTheme="majorHAnsi" w:hAnsiTheme="majorHAnsi" w:cstheme="majorHAnsi"/>
          <w:sz w:val="20"/>
        </w:rPr>
        <w:t>- sú v požiarne nebezpečnom priestore susednej stavby (susedného požiarneho úseku)- jedná sa o štítovú stenu stavby</w:t>
      </w:r>
    </w:p>
    <w:p w:rsidR="00717E02" w:rsidRPr="00717E02" w:rsidRDefault="00717E02" w:rsidP="00717E02">
      <w:pPr>
        <w:spacing w:line="0" w:lineRule="atLeast"/>
        <w:ind w:firstLine="708"/>
        <w:contextualSpacing/>
        <w:rPr>
          <w:rFonts w:asciiTheme="majorHAnsi" w:hAnsiTheme="majorHAnsi" w:cstheme="majorHAnsi"/>
          <w:sz w:val="20"/>
        </w:rPr>
      </w:pPr>
    </w:p>
    <w:p w:rsidR="00717E02" w:rsidRPr="00717E02" w:rsidRDefault="00717E02" w:rsidP="00717E02">
      <w:pPr>
        <w:contextualSpacing/>
        <w:rPr>
          <w:rFonts w:asciiTheme="majorHAnsi" w:hAnsiTheme="majorHAnsi" w:cstheme="majorHAnsi"/>
          <w:sz w:val="20"/>
        </w:rPr>
      </w:pPr>
      <w:r w:rsidRPr="00717E02">
        <w:rPr>
          <w:rFonts w:asciiTheme="majorHAnsi" w:hAnsiTheme="majorHAnsi" w:cstheme="majorHAnsi"/>
          <w:sz w:val="20"/>
          <w:u w:val="single"/>
        </w:rPr>
        <w:t>Požiadavky na stavebné konštrukcie umiestnené v požiarne nebezpečnom priestore susednej stavby:</w:t>
      </w:r>
      <w:r w:rsidRPr="00717E02">
        <w:rPr>
          <w:rFonts w:asciiTheme="majorHAnsi" w:hAnsiTheme="majorHAnsi" w:cstheme="majorHAnsi"/>
          <w:sz w:val="20"/>
        </w:rPr>
        <w:tab/>
      </w:r>
    </w:p>
    <w:p w:rsidR="00717E02" w:rsidRPr="00717E02" w:rsidRDefault="00717E02" w:rsidP="00717E02">
      <w:pPr>
        <w:autoSpaceDE w:val="0"/>
        <w:autoSpaceDN w:val="0"/>
        <w:adjustRightInd w:val="0"/>
        <w:ind w:firstLine="708"/>
        <w:rPr>
          <w:rFonts w:asciiTheme="majorHAnsi" w:hAnsiTheme="majorHAnsi" w:cstheme="majorHAnsi"/>
          <w:sz w:val="20"/>
        </w:rPr>
      </w:pPr>
      <w:r w:rsidRPr="00717E02">
        <w:rPr>
          <w:rFonts w:asciiTheme="majorHAnsi" w:hAnsiTheme="majorHAnsi" w:cstheme="majorHAnsi"/>
          <w:sz w:val="20"/>
        </w:rPr>
        <w:t xml:space="preserve">--obvodová stena bez otvorov  (štítová stena pri lisovni) - musí spĺňať požiadavku na kritérium a požiarnu odolnosť v súlade s výkresovou časťou a musia byť druhu D1 (nehorľavá konštrukcia), v súlade s § 43 ods 5)  Vyhl. MV SR č. 94/2004 Z.z..,na jej povrchovú úpravu je možné použiť materiály triedy reakcie na oheň A1 alebo A2-s1,do (nehorľavú tepelnú izoláciu- napr. minerálnu vlnu vrátane nehorľavých povrchových úprav) </w:t>
      </w:r>
    </w:p>
    <w:p w:rsidR="00717E02" w:rsidRPr="00717E02" w:rsidRDefault="00717E02" w:rsidP="00717E02">
      <w:pPr>
        <w:autoSpaceDE w:val="0"/>
        <w:autoSpaceDN w:val="0"/>
        <w:adjustRightInd w:val="0"/>
        <w:ind w:firstLine="708"/>
        <w:rPr>
          <w:rFonts w:asciiTheme="majorHAnsi" w:hAnsiTheme="majorHAnsi" w:cstheme="majorHAnsi"/>
          <w:sz w:val="20"/>
        </w:rPr>
      </w:pPr>
      <w:bookmarkStart w:id="8" w:name="_Hlk515335735"/>
      <w:r w:rsidRPr="00717E02">
        <w:rPr>
          <w:rFonts w:asciiTheme="majorHAnsi" w:hAnsiTheme="majorHAnsi" w:cstheme="majorHAnsi"/>
          <w:sz w:val="20"/>
        </w:rPr>
        <w:t>-na povrchovú obvodových stien v požiarne nebezpečnom priestore iného požiarneho úseku (resp. susednej stavby) možno použiť iba materiály triedy reakcie na oheň A1 alt. A2-s1, d0 (v súlade s  čl. 15.4 STN920201-2 )a zároveň použitý kontaktný zatepľovací systém (etics) musí spĺňať aspoň A2-s1,d0- požadované vlastnosti musia byť dokladované pri kolaudácii certifikátom.</w:t>
      </w:r>
    </w:p>
    <w:bookmarkEnd w:id="8"/>
    <w:p w:rsidR="00717E02" w:rsidRPr="00717E02" w:rsidRDefault="00717E02" w:rsidP="00717E02">
      <w:pPr>
        <w:autoSpaceDE w:val="0"/>
        <w:autoSpaceDN w:val="0"/>
        <w:adjustRightInd w:val="0"/>
        <w:rPr>
          <w:rFonts w:asciiTheme="majorHAnsi" w:hAnsiTheme="majorHAnsi" w:cstheme="majorHAnsi"/>
          <w:b/>
          <w:sz w:val="20"/>
          <w:highlight w:val="yellow"/>
        </w:rPr>
      </w:pP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rPr>
        <w:t xml:space="preserve">Skutočné požiarnotechnické charakteristiky stavebných výrobkov a konštrukcií v posudzovanej stavbe </w:t>
      </w:r>
      <w:r w:rsidRPr="00717E02">
        <w:rPr>
          <w:rFonts w:asciiTheme="majorHAnsi" w:hAnsiTheme="majorHAnsi" w:cstheme="majorHAnsi"/>
          <w:bCs/>
          <w:sz w:val="20"/>
        </w:rPr>
        <w:t xml:space="preserve">( t.z. murovaných ako aj ostatných stavebných konštrukcií, výrobkov a materiálov), </w:t>
      </w:r>
      <w:r w:rsidRPr="00717E02">
        <w:rPr>
          <w:rFonts w:asciiTheme="majorHAnsi" w:hAnsiTheme="majorHAnsi" w:cstheme="majorHAnsi"/>
          <w:sz w:val="20"/>
        </w:rPr>
        <w:t xml:space="preserve">musia byť pri kolaudácii doložené </w:t>
      </w:r>
      <w:r w:rsidRPr="00717E02">
        <w:rPr>
          <w:rFonts w:asciiTheme="majorHAnsi" w:hAnsiTheme="majorHAnsi" w:cstheme="majorHAnsi"/>
          <w:bCs/>
          <w:sz w:val="20"/>
        </w:rPr>
        <w:t>certifikátmi preukázania zhody</w:t>
      </w:r>
      <w:r w:rsidRPr="00717E02">
        <w:rPr>
          <w:rFonts w:asciiTheme="majorHAnsi" w:hAnsiTheme="majorHAnsi" w:cstheme="majorHAnsi"/>
          <w:sz w:val="20"/>
        </w:rPr>
        <w:t xml:space="preserve"> doplneným ďaľšími dokladmi v zmysle zákona č. 133/2013 Z.z. v znení neskorších predpisov. Stavebné materiály použité na finálnu povrchovú úpravu stien a stropov (obklady a podhľady) musia byť pri kolaudačnom konaní dokladované atestami a certifikátmi, ktoré  preukážu požadovanú triedu reakcie na oheň.</w:t>
      </w:r>
    </w:p>
    <w:p w:rsidR="00717E02" w:rsidRPr="00717E02" w:rsidRDefault="00717E02" w:rsidP="00717E02">
      <w:pPr>
        <w:spacing w:line="0" w:lineRule="atLeast"/>
        <w:ind w:firstLine="708"/>
        <w:contextualSpacing/>
        <w:rPr>
          <w:rFonts w:asciiTheme="majorHAnsi" w:hAnsiTheme="majorHAnsi" w:cstheme="majorHAnsi"/>
          <w:sz w:val="20"/>
        </w:rPr>
      </w:pPr>
    </w:p>
    <w:p w:rsidR="00717E02" w:rsidRPr="00717E02" w:rsidRDefault="00717E02" w:rsidP="00165ED7">
      <w:pPr>
        <w:pStyle w:val="Nadpis1"/>
        <w:numPr>
          <w:ilvl w:val="0"/>
          <w:numId w:val="3"/>
        </w:numPr>
      </w:pPr>
      <w:r w:rsidRPr="00717E02">
        <w:t>Zabezpečenie evakuácie osôb</w:t>
      </w:r>
    </w:p>
    <w:p w:rsidR="00717E02" w:rsidRPr="00717E02" w:rsidRDefault="00717E02" w:rsidP="00717E02">
      <w:pPr>
        <w:rPr>
          <w:rFonts w:asciiTheme="majorHAnsi" w:hAnsiTheme="majorHAnsi" w:cstheme="majorHAnsi"/>
          <w:sz w:val="20"/>
        </w:rPr>
      </w:pP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Z požiarneho úseku P1.02 vedie jedna nechránená úniková cesta z každého príručného skladu, začiatok aj koniec nechránenej únikovej cesty je na osi požiarnych uzáverov z neho (v súlade s </w:t>
      </w:r>
      <w:r w:rsidRPr="00717E02">
        <w:rPr>
          <w:rFonts w:asciiTheme="majorHAnsi" w:hAnsiTheme="majorHAnsi" w:cstheme="majorHAnsi"/>
          <w:bCs/>
          <w:sz w:val="20"/>
        </w:rPr>
        <w:t xml:space="preserve">§ 65 ods.5c Vyhl. MV SR č. </w:t>
      </w:r>
      <w:r w:rsidRPr="00717E02">
        <w:rPr>
          <w:rFonts w:asciiTheme="majorHAnsi" w:hAnsiTheme="majorHAnsi" w:cstheme="majorHAnsi"/>
          <w:bCs/>
          <w:sz w:val="20"/>
        </w:rPr>
        <w:lastRenderedPageBreak/>
        <w:t>94/2004 Z.z)</w:t>
      </w:r>
      <w:r w:rsidRPr="00717E02">
        <w:rPr>
          <w:rFonts w:asciiTheme="majorHAnsi" w:hAnsiTheme="majorHAnsi" w:cstheme="majorHAnsi"/>
          <w:sz w:val="20"/>
        </w:rPr>
        <w:t xml:space="preserve">.  Ďalej pokračuje nechránenou únikovou cestou susedným požiarnym úsekom P1.01/N2 a z neho na voľné priestranstvo. Dovolené použitie jedinej únikovej cesty je v súlade s tab. 3  pol. 2  STN 92 0201-3.  </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 Z požiarneho úseku P1.04 (susedný objekt)  je začiatok nechránenej únikovej cesty na osi požiarneho uzáveru do P1.01/N2 (v súlade s </w:t>
      </w:r>
      <w:r w:rsidRPr="00717E02">
        <w:rPr>
          <w:rFonts w:asciiTheme="majorHAnsi" w:hAnsiTheme="majorHAnsi" w:cstheme="majorHAnsi"/>
          <w:bCs/>
          <w:sz w:val="20"/>
        </w:rPr>
        <w:t xml:space="preserve">§ 65 ods.5c Vyhl. MV SR č. 94/2004 Z.z) </w:t>
      </w:r>
      <w:r w:rsidRPr="00717E02">
        <w:rPr>
          <w:rFonts w:asciiTheme="majorHAnsi" w:hAnsiTheme="majorHAnsi" w:cstheme="majorHAnsi"/>
          <w:sz w:val="20"/>
        </w:rPr>
        <w:t xml:space="preserve"> a pokračuje susedným požiarnym úsekom P1.01/N2 (v požiarny úsek tvorí občasné pracovné miesto).</w:t>
      </w: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rPr>
        <w:t xml:space="preserve">V súlade s  </w:t>
      </w:r>
      <w:r w:rsidRPr="00717E02">
        <w:rPr>
          <w:rFonts w:asciiTheme="majorHAnsi" w:hAnsiTheme="majorHAnsi" w:cstheme="majorHAnsi"/>
          <w:bCs/>
          <w:sz w:val="20"/>
        </w:rPr>
        <w:t>§ 65 ods.5b Vyhl. MV SR č. 94/2004 Z.z</w:t>
      </w:r>
      <w:r w:rsidRPr="00717E02">
        <w:rPr>
          <w:rFonts w:asciiTheme="majorHAnsi" w:hAnsiTheme="majorHAnsi" w:cstheme="majorHAnsi"/>
          <w:sz w:val="20"/>
        </w:rPr>
        <w:t xml:space="preserve">. je začiatok nechránenej únikovej cesty  P1.01/N2 z nadzemných podlaží P1.01/N2  na vstupe z m.č. 2.05 do schodiska.  </w:t>
      </w: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rPr>
        <w:t xml:space="preserve">Koniec únikovej cesty je na osi exteriérových dverí na voľné priestranstvo. Z požiarneho úseku je riešených viac nechránených únikových ciest z nadzemného podlažia. </w:t>
      </w: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rPr>
        <w:t xml:space="preserve">Miestnosti č.2.04, 1.22, 1,19 tvoria ucelene funkčnú skupinu miestností s plochou do 100m2 a vzdialenosť najvzdialenejšieho bodu k východu na voľné priestranstvo je do 15m ( východ z m.č. 1.22) - začiatok aj koniec nechránenej únikovej cesty z tejto skupiny miestností je na východe na voľné priestranstvo z nej (lu=0m) v súlade s </w:t>
      </w:r>
      <w:r w:rsidRPr="00717E02">
        <w:rPr>
          <w:rFonts w:asciiTheme="majorHAnsi" w:hAnsiTheme="majorHAnsi" w:cstheme="majorHAnsi"/>
          <w:bCs/>
          <w:sz w:val="20"/>
        </w:rPr>
        <w:t>§ 65 ods.5c Vyhl. MV SR č. 94/2004 Z.z..</w:t>
      </w: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rPr>
        <w:t xml:space="preserve">V posudzovanej stavbe je uvažovaná súčasná evakuácia.  Počet. normových osôb pre posudzovanú stavbu bol stanovený v súlade s STN920241 vo výpočtovej prílohe. V stavbe  bolo stanovených  17 normových osôb. </w:t>
      </w:r>
    </w:p>
    <w:p w:rsidR="00717E02" w:rsidRDefault="00717E02" w:rsidP="00165ED7">
      <w:pPr>
        <w:pStyle w:val="Nadpis1"/>
      </w:pPr>
      <w:r w:rsidRPr="00717E02">
        <w:t xml:space="preserve"> </w:t>
      </w:r>
    </w:p>
    <w:p w:rsidR="00717E02" w:rsidRPr="00717E02" w:rsidRDefault="00717E02" w:rsidP="00165ED7">
      <w:pPr>
        <w:pStyle w:val="Nadpis1"/>
      </w:pPr>
      <w:r w:rsidRPr="00717E02">
        <w:t xml:space="preserve">Určenie požiadaviek na únikové cesty </w:t>
      </w:r>
    </w:p>
    <w:p w:rsidR="00717E02" w:rsidRPr="00717E02" w:rsidRDefault="00717E02" w:rsidP="00717E02">
      <w:pPr>
        <w:rPr>
          <w:rFonts w:asciiTheme="majorHAnsi" w:hAnsiTheme="majorHAnsi" w:cstheme="majorHAnsi"/>
          <w:sz w:val="20"/>
        </w:rPr>
      </w:pP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Dĺžka a šírka únikových ciest vyhovuje vyhláške Vyhl. MV SR č. 94/2004 Z.z. a STN 92 0201-3. Posúdenie únikových ciest je uvedené vo výpočtovej prílohe.</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 xml:space="preserve">Dvere na únikovej ceste z riešeného objektu sa  musia otvárať v súlade s §71 ods.2 Vyhl. MV SR č. 94/2004 Z.z. v smere úniku, s výnimkou dvier z miestnosti alebo funkčne ucelenej skupiny miestností, u ktorých úniková cesta začína a dvier, ktoré vedú na voľné priestranstvo, cez ktoré sa vykonáva evakuácia max. 100 osôb.  </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 xml:space="preserve">Dvere na únikovej ceste musia umožňovať bezpečný a rýchly prechod pri evakuácii osôb a nesmú brániť zásahu hasičskej jednotky v zmysle  §71 ods.1 Vyhl. MV SR č. 94/2004 Z.z.. </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 xml:space="preserve">Započítateľná šírka únikovej cesty sa nesmie zužovať v smere úniku v zmysle § 69 ods. 1 Vyhl. MV SR č. 94/2004 Z.z. </w:t>
      </w:r>
    </w:p>
    <w:p w:rsidR="00717E02" w:rsidRPr="00717E02" w:rsidRDefault="00717E02" w:rsidP="00717E02">
      <w:pPr>
        <w:ind w:firstLine="708"/>
        <w:contextualSpacing/>
        <w:rPr>
          <w:rFonts w:asciiTheme="majorHAnsi" w:hAnsiTheme="majorHAnsi" w:cstheme="majorHAnsi"/>
          <w:b/>
          <w:sz w:val="20"/>
        </w:rPr>
      </w:pPr>
      <w:r w:rsidRPr="00717E02">
        <w:rPr>
          <w:rFonts w:asciiTheme="majorHAnsi" w:hAnsiTheme="majorHAnsi" w:cstheme="majorHAnsi"/>
          <w:b/>
          <w:sz w:val="20"/>
        </w:rPr>
        <w:t>Dverové krídlo, ktoré sa započítava do šírky únikovej cesty a je pri prevádzke zabezpečené, musí byť na strane v smere úniku opatrené stavebným kovaním podľa technickej normy STN EN 179 – núdzovým východovým uzáverom ( v zmysle § 71, ods. 4 Vyhl. MV SR č. 94/2004 Z.z.).</w:t>
      </w:r>
    </w:p>
    <w:p w:rsidR="00717E02" w:rsidRPr="00717E02" w:rsidRDefault="00717E02" w:rsidP="00717E02">
      <w:pPr>
        <w:ind w:firstLine="708"/>
        <w:rPr>
          <w:rFonts w:asciiTheme="majorHAnsi" w:hAnsiTheme="majorHAnsi" w:cstheme="majorHAnsi"/>
          <w:b/>
          <w:sz w:val="20"/>
        </w:rPr>
      </w:pPr>
      <w:r w:rsidRPr="00717E02">
        <w:rPr>
          <w:rFonts w:asciiTheme="majorHAnsi" w:hAnsiTheme="majorHAnsi" w:cstheme="majorHAnsi"/>
          <w:sz w:val="20"/>
        </w:rPr>
        <w:t>Ak má dverné krídlo plochu väčšiu ako 4m2 a cez tieto dvere vedie len jediná úniková cesta prechod osôb musí byť zabezpečený ďalším krídlom dverovým krídlom s menším rozmerom, najmenej však s rozmerom šírky únikovej cesty (min.800m pre posudzovanú stavbu), dverové krídlo s menším rozmerom môže byť súčasťou väčšieho dverového krídla v zmysle  §71 ods.6 Vyhl. MV SR č. 94/2004 Z.z</w:t>
      </w:r>
      <w:r w:rsidRPr="00717E02">
        <w:rPr>
          <w:rFonts w:asciiTheme="majorHAnsi" w:hAnsiTheme="majorHAnsi" w:cstheme="majorHAnsi"/>
          <w:b/>
          <w:sz w:val="20"/>
        </w:rPr>
        <w:t>..</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Osvetlenie únikovej cesty je navrhované ako prirodzené a umelé. Nechránené únikové cesty slúžia na únik menej ako 50 osôb nemusia byť vybavené núdzovým osvetlením v zmysle  §73 ods.2 Vyhl. MV SR č. 94/2004 Z.z.</w:t>
      </w:r>
    </w:p>
    <w:p w:rsidR="00717E02" w:rsidRPr="00717E02" w:rsidRDefault="00717E02" w:rsidP="00717E02">
      <w:pPr>
        <w:ind w:firstLine="708"/>
        <w:rPr>
          <w:rFonts w:asciiTheme="majorHAnsi" w:hAnsiTheme="majorHAnsi" w:cstheme="majorHAnsi"/>
          <w:sz w:val="20"/>
          <w:u w:val="single"/>
        </w:rPr>
      </w:pPr>
      <w:r w:rsidRPr="00717E02">
        <w:rPr>
          <w:rFonts w:asciiTheme="majorHAnsi" w:hAnsiTheme="majorHAnsi" w:cstheme="majorHAnsi"/>
          <w:sz w:val="20"/>
          <w:u w:val="single"/>
        </w:rPr>
        <w:t xml:space="preserve">Z hľadiska zaistenia bezpečnosti úniku odporúčam inštaláciu núdzového osvetlenia aspoň nad požiarny uzáver v požiarnych úsekoch P1.03 a P1.04 a v požiarnom úseku P1.01/N2 v priestore schodiska na 1.ppp a na 1.npp aspoň nad únikové dvere zo stavby. </w:t>
      </w:r>
    </w:p>
    <w:p w:rsidR="00717E02" w:rsidRPr="00717E02" w:rsidRDefault="00717E02" w:rsidP="00717E02">
      <w:pPr>
        <w:ind w:firstLine="708"/>
        <w:rPr>
          <w:rFonts w:asciiTheme="majorHAnsi" w:hAnsiTheme="majorHAnsi" w:cstheme="majorHAnsi"/>
          <w:sz w:val="20"/>
        </w:rPr>
      </w:pP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Smer úniku musí byť vyznačený požiarnymi bezpečnostnými značkami (čl. 19.1 STN 92 0201-03). Podlaha po oboch stranách dverí, ktorými prechádza úniková cesta musí byť vo vzdialenosti rovnajúcej sa aspoň šírke únikovej cesty v rovnakej výškovej úrovni, to neplatí na podlahu pri dverách na voľné priestranstvo, na terasu v zmysle § 70 ods. 1 Vyhl. MV SR č. 94/2004 Z.z..</w:t>
      </w:r>
    </w:p>
    <w:p w:rsidR="00717E02" w:rsidRPr="00717E02" w:rsidRDefault="00717E02" w:rsidP="00717E02">
      <w:pPr>
        <w:rPr>
          <w:rFonts w:asciiTheme="majorHAnsi" w:hAnsiTheme="majorHAnsi" w:cstheme="majorHAnsi"/>
          <w:sz w:val="20"/>
        </w:rPr>
      </w:pPr>
    </w:p>
    <w:p w:rsidR="00717E02" w:rsidRPr="00717E02" w:rsidRDefault="00717E02" w:rsidP="00165ED7">
      <w:pPr>
        <w:pStyle w:val="Nadpis1"/>
        <w:numPr>
          <w:ilvl w:val="0"/>
          <w:numId w:val="3"/>
        </w:numPr>
        <w:rPr>
          <w:shd w:val="clear" w:color="auto" w:fill="FFFFFF"/>
        </w:rPr>
      </w:pPr>
      <w:r w:rsidRPr="00717E02">
        <w:rPr>
          <w:shd w:val="clear" w:color="auto" w:fill="FFFFFF"/>
        </w:rPr>
        <w:t xml:space="preserve">Odstupové vzdialenosti </w:t>
      </w:r>
    </w:p>
    <w:p w:rsidR="00717E02" w:rsidRPr="00717E02" w:rsidRDefault="00717E02" w:rsidP="00717E02">
      <w:pPr>
        <w:rPr>
          <w:rFonts w:asciiTheme="majorHAnsi" w:hAnsiTheme="majorHAnsi" w:cstheme="majorHAnsi"/>
          <w:sz w:val="20"/>
        </w:rPr>
      </w:pP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Odstupové vzdialenosti sú pre každú obvodovú stenu  požiarneho úseku počítané samostatne. </w:t>
      </w:r>
    </w:p>
    <w:p w:rsidR="00717E02" w:rsidRPr="00717E02" w:rsidRDefault="00717E02" w:rsidP="00717E02">
      <w:pPr>
        <w:rPr>
          <w:rFonts w:asciiTheme="majorHAnsi" w:hAnsiTheme="majorHAnsi" w:cstheme="majorHAnsi"/>
          <w:sz w:val="20"/>
        </w:rPr>
      </w:pPr>
      <w:r w:rsidRPr="00717E02">
        <w:rPr>
          <w:rFonts w:asciiTheme="majorHAnsi" w:hAnsiTheme="majorHAnsi" w:cstheme="majorHAnsi"/>
          <w:sz w:val="20"/>
        </w:rPr>
        <w:t>Požiarne nebezpečný priestor je okolo stavby vymedzený odstupovou vzdialenosťou v súlade s STN 92 0201-4 tab. 3.  Požiarne úseky v posudzovanej stavbe sa navzájom nenachádzajú v požiarne nebezpečných priestoroch.</w:t>
      </w:r>
    </w:p>
    <w:p w:rsidR="00717E02" w:rsidRPr="00717E02" w:rsidRDefault="00717E02" w:rsidP="00717E02">
      <w:pPr>
        <w:ind w:firstLine="709"/>
        <w:rPr>
          <w:rFonts w:asciiTheme="majorHAnsi" w:hAnsiTheme="majorHAnsi" w:cstheme="majorHAnsi"/>
          <w:b/>
          <w:bCs/>
          <w:sz w:val="20"/>
        </w:rPr>
      </w:pPr>
      <w:r w:rsidRPr="00717E02">
        <w:rPr>
          <w:rFonts w:asciiTheme="majorHAnsi" w:hAnsiTheme="majorHAnsi" w:cstheme="majorHAnsi"/>
          <w:sz w:val="20"/>
        </w:rPr>
        <w:t xml:space="preserve">V požiarne nebezpečnom priestore stavby sa nenachádzajú žiadne existujúce objekty ani plánované susedné objekty v rámci vinárstva S Strekov.  Požiarne nebezpečné priestory susedných objektov a ani iných navrhovaných objektov v rámci vinárstva S Strekov (požiarne nebezpečný priestor od navrhovaných objektov  je znázornený v situácii a posúdený v samostatnej časti pre príslušné objekty)  nezasahujú k posudzovanému </w:t>
      </w:r>
      <w:r w:rsidRPr="00717E02">
        <w:rPr>
          <w:rFonts w:asciiTheme="majorHAnsi" w:hAnsiTheme="majorHAnsi" w:cstheme="majorHAnsi"/>
          <w:sz w:val="20"/>
        </w:rPr>
        <w:lastRenderedPageBreak/>
        <w:t xml:space="preserve">objektu (okrem odstupovej vzdialenosti od susednej strany SO03, v ktorej sa nachádza štítová stena bez otvorov zateplená minerálnou vlnou s povrchovou úpravou omietkou).  </w:t>
      </w:r>
      <w:r w:rsidRPr="00717E02">
        <w:rPr>
          <w:rFonts w:asciiTheme="majorHAnsi" w:hAnsiTheme="majorHAnsi" w:cstheme="majorHAnsi"/>
          <w:b/>
          <w:bCs/>
          <w:sz w:val="20"/>
        </w:rPr>
        <w:t>Požiadavky na stavebné konštrukcie umiestnené v požiarne nebezpečnom priestore susednej stavby SO03 sú stanovené v pôdorysoch (SO02) a vyššie v technickej správe (časť “Požiarna odolnosť stavebných konštrukcií “.</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Odstupová vzdialenosť od odpadávania horľavých materiálov sa neurčuje nakoľko obvodové steny sú iba druhu D1 a ich povrchová úprava je navrhovaná zo stavebných materiálov triedy reakcie na oheň A1, alt. A2-s1, d0. </w:t>
      </w:r>
    </w:p>
    <w:p w:rsidR="00717E02" w:rsidRPr="00717E02" w:rsidRDefault="00717E02" w:rsidP="00717E02">
      <w:pPr>
        <w:autoSpaceDE w:val="0"/>
        <w:autoSpaceDN w:val="0"/>
        <w:adjustRightInd w:val="0"/>
        <w:ind w:firstLine="709"/>
        <w:rPr>
          <w:rFonts w:asciiTheme="majorHAnsi" w:hAnsiTheme="majorHAnsi" w:cstheme="majorHAnsi"/>
          <w:sz w:val="20"/>
        </w:rPr>
      </w:pPr>
      <w:r w:rsidRPr="00717E02">
        <w:rPr>
          <w:rFonts w:asciiTheme="majorHAnsi" w:hAnsiTheme="majorHAnsi" w:cstheme="majorHAnsi"/>
          <w:sz w:val="20"/>
        </w:rPr>
        <w:t>Stavba svojim umiestnením vyhovuje v plnom rozsahu ustanoveniam STN 92 0201-4. Podrobný výpočet stanovených odstupových vzdialeností je uvedený vo výpočtovej  prílohe.</w:t>
      </w:r>
    </w:p>
    <w:p w:rsidR="00717E02" w:rsidRPr="00717E02" w:rsidRDefault="00717E02" w:rsidP="00717E02">
      <w:pPr>
        <w:ind w:firstLine="709"/>
        <w:rPr>
          <w:rFonts w:asciiTheme="majorHAnsi" w:hAnsiTheme="majorHAnsi" w:cstheme="majorHAnsi"/>
          <w:sz w:val="20"/>
          <w:shd w:val="clear" w:color="auto" w:fill="FFFFFF"/>
        </w:rPr>
      </w:pPr>
    </w:p>
    <w:p w:rsidR="00717E02" w:rsidRPr="00717E02" w:rsidRDefault="00717E02" w:rsidP="00165ED7">
      <w:pPr>
        <w:pStyle w:val="Nadpis1"/>
        <w:numPr>
          <w:ilvl w:val="0"/>
          <w:numId w:val="3"/>
        </w:numPr>
      </w:pPr>
      <w:r w:rsidRPr="00717E02">
        <w:t xml:space="preserve">Zariadenia na zásah </w:t>
      </w:r>
    </w:p>
    <w:p w:rsidR="00717E02" w:rsidRPr="00717E02" w:rsidRDefault="00717E02" w:rsidP="00717E02">
      <w:pPr>
        <w:rPr>
          <w:rFonts w:asciiTheme="majorHAnsi" w:hAnsiTheme="majorHAnsi" w:cstheme="majorHAnsi"/>
          <w:sz w:val="20"/>
        </w:rPr>
      </w:pP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Za prístupovú komunikáciu možno považovať komunikáciu  k stavbe, ktorá v plnej miere spĺňa požiadavky § 82 Vyhl. MV SR č.94/2004 Z.z. t.j. široká minimálne </w:t>
      </w:r>
      <w:smartTag w:uri="urn:schemas-microsoft-com:office:smarttags" w:element="metricconverter">
        <w:smartTagPr>
          <w:attr w:name="ProductID" w:val="3,0 m"/>
        </w:smartTagPr>
        <w:r w:rsidRPr="00717E02">
          <w:rPr>
            <w:rFonts w:asciiTheme="majorHAnsi" w:hAnsiTheme="majorHAnsi" w:cstheme="majorHAnsi"/>
            <w:sz w:val="20"/>
          </w:rPr>
          <w:t>3,0 m</w:t>
        </w:r>
      </w:smartTag>
      <w:r w:rsidRPr="00717E02">
        <w:rPr>
          <w:rFonts w:asciiTheme="majorHAnsi" w:hAnsiTheme="majorHAnsi" w:cstheme="majorHAnsi"/>
          <w:sz w:val="20"/>
        </w:rPr>
        <w:t xml:space="preserve">, nachádzajúca sa do vzdialenosti 30m od vchodu do navrhovanej stavby  a dimenzovaná na tiaž 80 kN (zaťaženie jednou nápravou vozidla). </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Existujúca prístupová komunikácia, ktorá sa nachádza do 30m od vstupu do posudzovanej stavby a je prejazdná jednopruhová. Prístupová komunikácia pri navrhovanej stavbe spĺňa požiadavky § 82 Vyhl. MV SR č.94/2004 Z.z.. </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Nástupná plocha nemusí byť  zriadená v nadväznosti na ods. 1a) § 83 Vyhl. MV SR č. 94/2004 Z.z., nakoľko požiarna výška stavby je menej ako 9,0m. </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Vnútorná zásahová cesta nemusí byť  vybudovaná v súlade  s ods. 1) § 84 Vyhl. MV SR č.94/2004 Z.z..</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V zmysle ods.3 § 86 Vyhl. MV SR č.94/2004 Z.z. nemusí byť stavba vybavená požiarnym rebríkom a požiarnym schodiskom, nakoľko konštrukcia strešného plášťa nemá požadovanú požiarnu odolnosť 15min.  </w:t>
      </w:r>
    </w:p>
    <w:p w:rsidR="00717E02" w:rsidRPr="00717E02" w:rsidRDefault="00717E02" w:rsidP="00717E02">
      <w:pPr>
        <w:ind w:firstLine="709"/>
        <w:rPr>
          <w:rFonts w:asciiTheme="majorHAnsi" w:hAnsiTheme="majorHAnsi" w:cstheme="majorHAnsi"/>
          <w:sz w:val="20"/>
        </w:rPr>
      </w:pPr>
    </w:p>
    <w:p w:rsidR="00717E02" w:rsidRPr="00717E02" w:rsidRDefault="00717E02" w:rsidP="00165ED7">
      <w:pPr>
        <w:pStyle w:val="Nadpis1"/>
        <w:rPr>
          <w:shd w:val="clear" w:color="auto" w:fill="FFFFFF"/>
        </w:rPr>
      </w:pPr>
      <w:r w:rsidRPr="00717E02">
        <w:rPr>
          <w:shd w:val="clear" w:color="auto" w:fill="FFFFFF"/>
        </w:rPr>
        <w:t>Požiarnotechnické zariadenia</w:t>
      </w:r>
    </w:p>
    <w:p w:rsidR="00717E02" w:rsidRPr="00717E02" w:rsidRDefault="00717E02" w:rsidP="00717E02">
      <w:pPr>
        <w:autoSpaceDE w:val="0"/>
        <w:autoSpaceDN w:val="0"/>
        <w:adjustRightInd w:val="0"/>
        <w:ind w:firstLine="709"/>
        <w:rPr>
          <w:rFonts w:asciiTheme="majorHAnsi" w:hAnsiTheme="majorHAnsi" w:cstheme="majorHAnsi"/>
          <w:sz w:val="20"/>
        </w:rPr>
      </w:pPr>
    </w:p>
    <w:p w:rsidR="00717E02" w:rsidRPr="00717E02" w:rsidRDefault="00717E02" w:rsidP="00717E02">
      <w:pPr>
        <w:autoSpaceDE w:val="0"/>
        <w:autoSpaceDN w:val="0"/>
        <w:adjustRightInd w:val="0"/>
        <w:ind w:firstLine="709"/>
        <w:rPr>
          <w:rFonts w:asciiTheme="majorHAnsi" w:hAnsiTheme="majorHAnsi" w:cstheme="majorHAnsi"/>
          <w:sz w:val="20"/>
        </w:rPr>
      </w:pPr>
      <w:r w:rsidRPr="00717E02">
        <w:rPr>
          <w:rFonts w:asciiTheme="majorHAnsi" w:hAnsiTheme="majorHAnsi" w:cstheme="majorHAnsi"/>
          <w:sz w:val="20"/>
        </w:rPr>
        <w:t>Stavebný objekt nemusí byť vybavený stabilným hasiacim zariadením, elektrickou požiarnou signalizáciou a zariadením na odvod tepla a splodín horenia, hlasovou signalizáciou požiaru ( podľa § 88, § 87 , § 90 vyhl. MV SR č. 94/2004 Z.z ).</w:t>
      </w:r>
    </w:p>
    <w:p w:rsidR="00717E02" w:rsidRPr="00717E02" w:rsidRDefault="00717E02" w:rsidP="00717E02">
      <w:pPr>
        <w:pStyle w:val="Nadpis3"/>
        <w:numPr>
          <w:ilvl w:val="0"/>
          <w:numId w:val="0"/>
        </w:numPr>
        <w:spacing w:before="0"/>
        <w:rPr>
          <w:rFonts w:asciiTheme="majorHAnsi" w:hAnsiTheme="majorHAnsi" w:cstheme="majorHAnsi"/>
          <w:shd w:val="clear" w:color="auto" w:fill="FFFFFF"/>
        </w:rPr>
      </w:pPr>
    </w:p>
    <w:p w:rsidR="00717E02" w:rsidRPr="00717E02" w:rsidRDefault="00717E02" w:rsidP="00717E02">
      <w:pPr>
        <w:pStyle w:val="Nadpis3"/>
        <w:numPr>
          <w:ilvl w:val="2"/>
          <w:numId w:val="3"/>
        </w:numPr>
        <w:suppressAutoHyphens/>
        <w:overflowPunct/>
        <w:autoSpaceDE/>
        <w:autoSpaceDN/>
        <w:adjustRightInd/>
        <w:spacing w:before="0" w:after="0"/>
        <w:textAlignment w:val="auto"/>
        <w:rPr>
          <w:rFonts w:asciiTheme="majorHAnsi" w:hAnsiTheme="majorHAnsi" w:cstheme="majorHAnsi"/>
          <w:shd w:val="clear" w:color="auto" w:fill="FFFFFF"/>
        </w:rPr>
      </w:pPr>
      <w:r w:rsidRPr="00717E02">
        <w:rPr>
          <w:rFonts w:asciiTheme="majorHAnsi" w:hAnsiTheme="majorHAnsi" w:cstheme="majorHAnsi"/>
          <w:shd w:val="clear" w:color="auto" w:fill="FFFFFF"/>
        </w:rPr>
        <w:t>Zabezpečenie stavby vodou na hasenie požiarov</w:t>
      </w:r>
    </w:p>
    <w:p w:rsidR="00717E02" w:rsidRPr="00717E02" w:rsidRDefault="00717E02" w:rsidP="00717E02">
      <w:pPr>
        <w:pStyle w:val="Zkladntext24"/>
        <w:ind w:firstLine="709"/>
        <w:rPr>
          <w:rFonts w:asciiTheme="majorHAnsi" w:eastAsia="Calibri" w:hAnsiTheme="majorHAnsi" w:cstheme="majorHAnsi"/>
          <w:bCs/>
          <w:sz w:val="20"/>
          <w:lang w:eastAsia="en-US"/>
        </w:rPr>
      </w:pPr>
    </w:p>
    <w:p w:rsidR="00717E02" w:rsidRPr="00717E02" w:rsidRDefault="00717E02" w:rsidP="00717E02">
      <w:pPr>
        <w:pStyle w:val="Zkladntext24"/>
        <w:ind w:firstLine="709"/>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 xml:space="preserve">Podľa § 6 ods. 1 Vyhl. MV SR č. 699/2004 Z.z. a STN 92 0400 čl. 4.1 sa potreba vody na hasenie rovná maximálne Q = 12 l.s-1 pre v= </w:t>
      </w:r>
      <w:smartTag w:uri="urn:schemas-microsoft-com:office:smarttags" w:element="metricconverter">
        <w:smartTagPr>
          <w:attr w:name="ProductID" w:val="1,5 m"/>
        </w:smartTagPr>
        <w:r w:rsidRPr="00717E02">
          <w:rPr>
            <w:rFonts w:asciiTheme="majorHAnsi" w:eastAsia="Calibri" w:hAnsiTheme="majorHAnsi" w:cstheme="majorHAnsi"/>
            <w:bCs/>
            <w:sz w:val="20"/>
            <w:lang w:eastAsia="en-US"/>
          </w:rPr>
          <w:t>1,5 m</w:t>
        </w:r>
      </w:smartTag>
      <w:r w:rsidRPr="00717E02">
        <w:rPr>
          <w:rFonts w:asciiTheme="majorHAnsi" w:eastAsia="Calibri" w:hAnsiTheme="majorHAnsi" w:cstheme="majorHAnsi"/>
          <w:bCs/>
          <w:sz w:val="20"/>
          <w:lang w:eastAsia="en-US"/>
        </w:rPr>
        <w:t xml:space="preserve">.s-1 alt. 22m3. </w:t>
      </w:r>
      <w:r w:rsidRPr="00717E02">
        <w:rPr>
          <w:rFonts w:asciiTheme="majorHAnsi" w:eastAsia="Calibri" w:hAnsiTheme="majorHAnsi" w:cstheme="majorHAnsi"/>
          <w:bCs/>
          <w:sz w:val="20"/>
          <w:u w:val="single"/>
          <w:lang w:eastAsia="en-US"/>
        </w:rPr>
        <w:t xml:space="preserve">V zmysle </w:t>
      </w:r>
      <w:r w:rsidRPr="00717E02">
        <w:rPr>
          <w:rFonts w:asciiTheme="majorHAnsi" w:hAnsiTheme="majorHAnsi" w:cstheme="majorHAnsi"/>
          <w:sz w:val="20"/>
          <w:u w:val="single"/>
        </w:rPr>
        <w:t xml:space="preserve">§3  vyhl. </w:t>
      </w:r>
      <w:r w:rsidRPr="00717E02">
        <w:rPr>
          <w:rFonts w:asciiTheme="majorHAnsi" w:eastAsia="Calibri" w:hAnsiTheme="majorHAnsi" w:cstheme="majorHAnsi"/>
          <w:bCs/>
          <w:sz w:val="20"/>
          <w:u w:val="single"/>
          <w:lang w:eastAsia="en-US"/>
        </w:rPr>
        <w:t>MV 699/2004 Z.z musí byť stavba pre prípad vzniku požiaru zabezpečená vodou na hasenie požiarov.</w:t>
      </w:r>
      <w:r w:rsidRPr="00717E02">
        <w:rPr>
          <w:rFonts w:asciiTheme="majorHAnsi" w:eastAsia="Calibri" w:hAnsiTheme="majorHAnsi" w:cstheme="majorHAnsi"/>
          <w:bCs/>
          <w:sz w:val="20"/>
          <w:lang w:eastAsia="en-US"/>
        </w:rPr>
        <w:t xml:space="preserve"> </w:t>
      </w:r>
    </w:p>
    <w:p w:rsidR="00717E02" w:rsidRPr="00717E02" w:rsidRDefault="00717E02" w:rsidP="00717E02">
      <w:pPr>
        <w:pStyle w:val="Zkladntext24"/>
        <w:rPr>
          <w:rFonts w:asciiTheme="majorHAnsi" w:eastAsia="Calibri" w:hAnsiTheme="majorHAnsi" w:cstheme="majorHAnsi"/>
          <w:b w:val="0"/>
          <w:bCs/>
          <w:sz w:val="20"/>
          <w:lang w:eastAsia="en-US"/>
        </w:rPr>
      </w:pPr>
      <w:r w:rsidRPr="00717E02">
        <w:rPr>
          <w:rFonts w:asciiTheme="majorHAnsi" w:eastAsia="Calibri" w:hAnsiTheme="majorHAnsi" w:cstheme="majorHAnsi"/>
          <w:b w:val="0"/>
          <w:bCs/>
          <w:sz w:val="20"/>
          <w:lang w:eastAsia="en-US"/>
        </w:rPr>
        <w:t xml:space="preserve">Potreba vody na hasenie bude zabezpečená z navrhovanej podzemnej požiarnej nádrže s min. objemom vody 22m3, ktorá bude slúžiť ako zdroj vody na hasenie v rámci areálu. </w:t>
      </w:r>
    </w:p>
    <w:p w:rsidR="00717E02" w:rsidRPr="00717E02" w:rsidRDefault="00717E02" w:rsidP="00717E02">
      <w:pPr>
        <w:pStyle w:val="Zkladntext24"/>
        <w:ind w:firstLine="709"/>
        <w:rPr>
          <w:rFonts w:asciiTheme="majorHAnsi" w:hAnsiTheme="majorHAnsi" w:cstheme="majorHAnsi"/>
          <w:sz w:val="20"/>
        </w:rPr>
      </w:pPr>
      <w:r w:rsidRPr="00717E02">
        <w:rPr>
          <w:rFonts w:asciiTheme="majorHAnsi" w:eastAsia="Calibri" w:hAnsiTheme="majorHAnsi" w:cstheme="majorHAnsi"/>
          <w:bCs/>
          <w:sz w:val="20"/>
          <w:lang w:eastAsia="en-US"/>
        </w:rPr>
        <w:t>Požiarna nádrž  vrátane odberného miesta bude umiestnená mimo požiarne nebezpečného priestoru stavby, do vzdialenosti 80m od riešenej stavby  pri prístupovej komunikácii.</w:t>
      </w:r>
      <w:r w:rsidRPr="00717E02">
        <w:rPr>
          <w:rFonts w:asciiTheme="majorHAnsi" w:hAnsiTheme="majorHAnsi" w:cstheme="majorHAnsi"/>
          <w:sz w:val="20"/>
        </w:rPr>
        <w:t xml:space="preserve"> Odberné miesta z nádrže nesmú byť vyústené v mieste parkovacích státí pre motorové vozidlá, ktoré by mohli prípadne obmedziť prístup hasičských vozidiel k odberným miestam.</w:t>
      </w:r>
    </w:p>
    <w:p w:rsidR="00717E02" w:rsidRPr="00717E02" w:rsidRDefault="00717E02" w:rsidP="00717E02">
      <w:pPr>
        <w:pStyle w:val="Zkladntext24"/>
        <w:ind w:firstLine="709"/>
        <w:rPr>
          <w:rFonts w:asciiTheme="majorHAnsi" w:eastAsia="Calibri" w:hAnsiTheme="majorHAnsi" w:cstheme="majorHAnsi"/>
          <w:b w:val="0"/>
          <w:bCs/>
          <w:sz w:val="20"/>
          <w:lang w:eastAsia="en-US"/>
        </w:rPr>
      </w:pPr>
      <w:r w:rsidRPr="00717E02">
        <w:rPr>
          <w:rFonts w:asciiTheme="majorHAnsi" w:hAnsiTheme="majorHAnsi" w:cstheme="majorHAnsi"/>
          <w:b w:val="0"/>
          <w:bCs/>
          <w:sz w:val="20"/>
        </w:rPr>
        <w:t>Poloha požiarnej nádrže vrátane odberného miesta z nej je znázornená v situácii.</w:t>
      </w:r>
    </w:p>
    <w:p w:rsidR="00717E02" w:rsidRPr="00717E02" w:rsidRDefault="00717E02" w:rsidP="00717E02">
      <w:pPr>
        <w:rPr>
          <w:rFonts w:asciiTheme="majorHAnsi" w:hAnsiTheme="majorHAnsi" w:cstheme="majorHAnsi"/>
          <w:bCs/>
          <w:sz w:val="20"/>
          <w:u w:val="single"/>
        </w:rPr>
      </w:pPr>
      <w:r w:rsidRPr="00717E02">
        <w:rPr>
          <w:rFonts w:asciiTheme="majorHAnsi" w:hAnsiTheme="majorHAnsi" w:cstheme="majorHAnsi"/>
          <w:bCs/>
          <w:sz w:val="20"/>
          <w:u w:val="single"/>
        </w:rPr>
        <w:t>Požiadavky na požiarnu nádrž:</w:t>
      </w:r>
    </w:p>
    <w:p w:rsidR="00717E02" w:rsidRPr="00717E02" w:rsidRDefault="00717E02" w:rsidP="00717E02">
      <w:pPr>
        <w:pStyle w:val="Zkladntext24"/>
        <w:numPr>
          <w:ilvl w:val="0"/>
          <w:numId w:val="4"/>
        </w:numPr>
        <w:suppressAutoHyphens/>
        <w:overflowPunct/>
        <w:autoSpaceDE/>
        <w:autoSpaceDN/>
        <w:adjustRightInd/>
        <w:textAlignment w:val="auto"/>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 xml:space="preserve">stály objem  vody v nádrži musí byť </w:t>
      </w:r>
      <w:r w:rsidRPr="00717E02">
        <w:rPr>
          <w:rFonts w:asciiTheme="majorHAnsi" w:eastAsia="Calibri" w:hAnsiTheme="majorHAnsi" w:cstheme="majorHAnsi"/>
          <w:b w:val="0"/>
          <w:bCs/>
          <w:sz w:val="20"/>
          <w:lang w:eastAsia="en-US"/>
        </w:rPr>
        <w:t>22m3</w:t>
      </w:r>
    </w:p>
    <w:p w:rsidR="00717E02" w:rsidRPr="00717E02" w:rsidRDefault="00717E02" w:rsidP="00717E02">
      <w:pPr>
        <w:pStyle w:val="Zkladntext24"/>
        <w:numPr>
          <w:ilvl w:val="0"/>
          <w:numId w:val="4"/>
        </w:numPr>
        <w:suppressAutoHyphens/>
        <w:overflowPunct/>
        <w:autoSpaceDE/>
        <w:autoSpaceDN/>
        <w:adjustRightInd/>
        <w:textAlignment w:val="auto"/>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voda v nádrži musí byť dostatočne čistá, ktorá nepôsobí chemicky na murivo nádrže a je bez piesku a iných splavenín alebo plávajúcich látok</w:t>
      </w:r>
    </w:p>
    <w:p w:rsidR="00717E02" w:rsidRPr="00717E02" w:rsidRDefault="00717E02" w:rsidP="00717E02">
      <w:pPr>
        <w:pStyle w:val="Zkladntext24"/>
        <w:numPr>
          <w:ilvl w:val="0"/>
          <w:numId w:val="4"/>
        </w:numPr>
        <w:suppressAutoHyphens/>
        <w:overflowPunct/>
        <w:autoSpaceDE/>
        <w:autoSpaceDN/>
        <w:adjustRightInd/>
        <w:textAlignment w:val="auto"/>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 xml:space="preserve">musí byť zabezpečená proti nekontrolovateľnému prítoku nečistých povrchových vôd z okolia </w:t>
      </w:r>
    </w:p>
    <w:p w:rsidR="00717E02" w:rsidRPr="00717E02" w:rsidRDefault="00717E02" w:rsidP="00717E02">
      <w:pPr>
        <w:pStyle w:val="Zkladntext24"/>
        <w:numPr>
          <w:ilvl w:val="0"/>
          <w:numId w:val="4"/>
        </w:numPr>
        <w:suppressAutoHyphens/>
        <w:overflowPunct/>
        <w:autoSpaceDE/>
        <w:autoSpaceDN/>
        <w:adjustRightInd/>
        <w:textAlignment w:val="auto"/>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požiarna nádrž bude plnená vodou z vodovodnej siete (aby bol zabezpečený požadovaný objem vody) a jej steny musia byť nepriepustné (vodovodné potrubie DN40 viď situácia)</w:t>
      </w:r>
    </w:p>
    <w:p w:rsidR="00717E02" w:rsidRPr="00717E02" w:rsidRDefault="00717E02" w:rsidP="00717E02">
      <w:pPr>
        <w:pStyle w:val="Zkladntext24"/>
        <w:numPr>
          <w:ilvl w:val="0"/>
          <w:numId w:val="4"/>
        </w:numPr>
        <w:suppressAutoHyphens/>
        <w:overflowPunct/>
        <w:autoSpaceDE/>
        <w:autoSpaceDN/>
        <w:adjustRightInd/>
        <w:textAlignment w:val="auto"/>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najmenšia hĺbka dna nádrže pod terénom je 170cm.</w:t>
      </w:r>
    </w:p>
    <w:p w:rsidR="00717E02" w:rsidRPr="00717E02" w:rsidRDefault="00717E02" w:rsidP="00717E02">
      <w:pPr>
        <w:pStyle w:val="Zkladntext24"/>
        <w:numPr>
          <w:ilvl w:val="0"/>
          <w:numId w:val="4"/>
        </w:numPr>
        <w:suppressAutoHyphens/>
        <w:overflowPunct/>
        <w:autoSpaceDE/>
        <w:autoSpaceDN/>
        <w:adjustRightInd/>
        <w:textAlignment w:val="auto"/>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dno nádrže musí mať spád zo všetkých strán ku kalovej jímke, musí byť tak upravená, aby bolo možné vypustiť a vyčerpať celý obsah nádrže</w:t>
      </w:r>
    </w:p>
    <w:p w:rsidR="00717E02" w:rsidRPr="00717E02" w:rsidRDefault="00717E02" w:rsidP="00717E02">
      <w:pPr>
        <w:pStyle w:val="Zkladntext24"/>
        <w:numPr>
          <w:ilvl w:val="0"/>
          <w:numId w:val="4"/>
        </w:numPr>
        <w:suppressAutoHyphens/>
        <w:overflowPunct/>
        <w:autoSpaceDE/>
        <w:autoSpaceDN/>
        <w:adjustRightInd/>
        <w:textAlignment w:val="auto"/>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podľa STN 92400 nádrž bude opatrená trvalo zabudovaným zariadením na dodávku vody v súlade s STN 73 6639</w:t>
      </w:r>
    </w:p>
    <w:p w:rsidR="00717E02" w:rsidRPr="00717E02" w:rsidRDefault="00717E02" w:rsidP="00717E02">
      <w:pPr>
        <w:pStyle w:val="Zkladntext24"/>
        <w:numPr>
          <w:ilvl w:val="0"/>
          <w:numId w:val="4"/>
        </w:numPr>
        <w:suppressAutoHyphens/>
        <w:overflowPunct/>
        <w:autoSpaceDE/>
        <w:autoSpaceDN/>
        <w:adjustRightInd/>
        <w:textAlignment w:val="auto"/>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dimenzia  hadicovej spojky na napojenie čerpadla hasičského vozidla je DN 110 podľa STN 92 400,</w:t>
      </w:r>
    </w:p>
    <w:p w:rsidR="00717E02" w:rsidRPr="00717E02" w:rsidRDefault="00717E02" w:rsidP="00717E02">
      <w:pPr>
        <w:pStyle w:val="Zkladntext24"/>
        <w:numPr>
          <w:ilvl w:val="0"/>
          <w:numId w:val="4"/>
        </w:numPr>
        <w:suppressAutoHyphens/>
        <w:overflowPunct/>
        <w:autoSpaceDE/>
        <w:autoSpaceDN/>
        <w:adjustRightInd/>
        <w:textAlignment w:val="auto"/>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lastRenderedPageBreak/>
        <w:t xml:space="preserve">čas dopĺňania zdroja vody na požadované množstvo po jeho vyčerpaní </w:t>
      </w:r>
      <w:r w:rsidRPr="00717E02">
        <w:rPr>
          <w:rFonts w:asciiTheme="majorHAnsi" w:eastAsia="Calibri" w:hAnsiTheme="majorHAnsi" w:cstheme="majorHAnsi"/>
          <w:b w:val="0"/>
          <w:sz w:val="20"/>
          <w:lang w:eastAsia="en-US"/>
        </w:rPr>
        <w:t xml:space="preserve">nemá byť dlhší ako 36 hodín </w:t>
      </w:r>
    </w:p>
    <w:p w:rsidR="00717E02" w:rsidRPr="00717E02" w:rsidRDefault="00717E02" w:rsidP="00717E02">
      <w:pPr>
        <w:pStyle w:val="Zkladntext24"/>
        <w:numPr>
          <w:ilvl w:val="0"/>
          <w:numId w:val="4"/>
        </w:numPr>
        <w:suppressAutoHyphens/>
        <w:overflowPunct/>
        <w:autoSpaceDE/>
        <w:autoSpaceDN/>
        <w:adjustRightInd/>
        <w:textAlignment w:val="auto"/>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do nádrže musí byť zriadený vstup s rebríkom cez podklop</w:t>
      </w:r>
    </w:p>
    <w:p w:rsidR="00717E02" w:rsidRPr="00717E02" w:rsidRDefault="00717E02" w:rsidP="00717E02">
      <w:pPr>
        <w:ind w:left="1080" w:hanging="1080"/>
        <w:rPr>
          <w:rFonts w:asciiTheme="majorHAnsi" w:hAnsiTheme="majorHAnsi" w:cstheme="majorHAnsi"/>
          <w:bCs/>
          <w:sz w:val="20"/>
          <w:u w:val="single"/>
        </w:rPr>
      </w:pPr>
      <w:r w:rsidRPr="00717E02">
        <w:rPr>
          <w:rFonts w:asciiTheme="majorHAnsi" w:hAnsiTheme="majorHAnsi" w:cstheme="majorHAnsi"/>
          <w:bCs/>
          <w:sz w:val="20"/>
          <w:u w:val="single"/>
        </w:rPr>
        <w:t xml:space="preserve">Zdroj vody </w:t>
      </w:r>
      <w:r w:rsidRPr="00717E02">
        <w:rPr>
          <w:rFonts w:asciiTheme="majorHAnsi" w:hAnsiTheme="majorHAnsi" w:cstheme="majorHAnsi"/>
          <w:sz w:val="20"/>
          <w:u w:val="single"/>
        </w:rPr>
        <w:t>na hasenie požiarov</w:t>
      </w:r>
      <w:r w:rsidRPr="00717E02">
        <w:rPr>
          <w:rFonts w:asciiTheme="majorHAnsi" w:hAnsiTheme="majorHAnsi" w:cstheme="majorHAnsi"/>
          <w:bCs/>
          <w:sz w:val="20"/>
          <w:u w:val="single"/>
        </w:rPr>
        <w:t xml:space="preserve"> (požiarna nádrž) musí spĺňať nasledovné požiadavky ( v zmysle </w:t>
      </w:r>
      <w:r w:rsidRPr="00717E02">
        <w:rPr>
          <w:rFonts w:asciiTheme="majorHAnsi" w:hAnsiTheme="majorHAnsi" w:cstheme="majorHAnsi"/>
          <w:sz w:val="20"/>
          <w:u w:val="single"/>
        </w:rPr>
        <w:t xml:space="preserve">§ 4 </w:t>
      </w:r>
      <w:r w:rsidRPr="00717E02">
        <w:rPr>
          <w:rFonts w:asciiTheme="majorHAnsi" w:hAnsiTheme="majorHAnsi" w:cstheme="majorHAnsi"/>
          <w:bCs/>
          <w:sz w:val="20"/>
          <w:u w:val="single"/>
        </w:rPr>
        <w:t>ods.1 , ods. 3  vyhl. MV 699/2004 Z.z. a STN 73 6639, STN92 0400) :</w:t>
      </w:r>
    </w:p>
    <w:p w:rsidR="00717E02" w:rsidRPr="00717E02" w:rsidRDefault="00717E02" w:rsidP="00717E02">
      <w:pPr>
        <w:numPr>
          <w:ilvl w:val="0"/>
          <w:numId w:val="4"/>
        </w:numPr>
        <w:suppressAutoHyphens/>
        <w:rPr>
          <w:rFonts w:asciiTheme="majorHAnsi" w:hAnsiTheme="majorHAnsi" w:cstheme="majorHAnsi"/>
          <w:bCs/>
          <w:sz w:val="20"/>
        </w:rPr>
      </w:pPr>
      <w:r w:rsidRPr="00717E02">
        <w:rPr>
          <w:rFonts w:asciiTheme="majorHAnsi" w:hAnsiTheme="majorHAnsi" w:cstheme="majorHAnsi"/>
          <w:bCs/>
          <w:sz w:val="20"/>
        </w:rPr>
        <w:t xml:space="preserve">1. zdroj vody musí byť schopný trvalo zabezpečovať potrebu vody na hasenie požiarov najmenej po dobu 30 minút </w:t>
      </w:r>
    </w:p>
    <w:p w:rsidR="00717E02" w:rsidRPr="00717E02" w:rsidRDefault="00717E02" w:rsidP="00717E02">
      <w:pPr>
        <w:numPr>
          <w:ilvl w:val="0"/>
          <w:numId w:val="4"/>
        </w:numPr>
        <w:suppressAutoHyphens/>
        <w:rPr>
          <w:rFonts w:asciiTheme="majorHAnsi" w:hAnsiTheme="majorHAnsi" w:cstheme="majorHAnsi"/>
          <w:bCs/>
          <w:sz w:val="20"/>
        </w:rPr>
      </w:pPr>
      <w:r w:rsidRPr="00717E02">
        <w:rPr>
          <w:rFonts w:asciiTheme="majorHAnsi" w:hAnsiTheme="majorHAnsi" w:cstheme="majorHAnsi"/>
          <w:bCs/>
          <w:sz w:val="20"/>
        </w:rPr>
        <w:t>2. musí mať vyhovujúce podmienky na čerpanie vody t. z.:</w:t>
      </w:r>
      <w:r w:rsidRPr="00717E02">
        <w:rPr>
          <w:rFonts w:asciiTheme="majorHAnsi" w:hAnsiTheme="majorHAnsi" w:cstheme="majorHAnsi"/>
          <w:bCs/>
          <w:sz w:val="20"/>
        </w:rPr>
        <w:br/>
        <w:t>- je k nemu vybudovaná prístupová komunikácia (v zmysle §82 ods. 3 Vyhl. MV 94/2004 Z.z- viď. časť správy zariadenia na zásah),</w:t>
      </w:r>
    </w:p>
    <w:p w:rsidR="00717E02" w:rsidRPr="00717E02" w:rsidRDefault="00717E02" w:rsidP="00717E02">
      <w:pPr>
        <w:ind w:left="1080"/>
        <w:rPr>
          <w:rFonts w:asciiTheme="majorHAnsi" w:hAnsiTheme="majorHAnsi" w:cstheme="majorHAnsi"/>
          <w:bCs/>
          <w:sz w:val="20"/>
        </w:rPr>
      </w:pPr>
      <w:r w:rsidRPr="00717E02">
        <w:rPr>
          <w:rFonts w:asciiTheme="majorHAnsi" w:hAnsiTheme="majorHAnsi" w:cstheme="majorHAnsi"/>
          <w:bCs/>
          <w:sz w:val="20"/>
        </w:rPr>
        <w:t>-je vytvorené čerpacie miesto vhodné pre používanú hasičskú techniku, ktoré je označené dopravnou značkou ZÁKAZ STÁTIA</w:t>
      </w:r>
      <w:r w:rsidRPr="00717E02">
        <w:rPr>
          <w:rFonts w:asciiTheme="majorHAnsi" w:hAnsiTheme="majorHAnsi" w:cstheme="majorHAnsi"/>
          <w:bCs/>
          <w:sz w:val="20"/>
        </w:rPr>
        <w:br/>
        <w:t>- podmienky zdroja vody musia zodpovedať technickým možnostiam používanej hasičskej techniky</w:t>
      </w:r>
    </w:p>
    <w:p w:rsidR="00717E02" w:rsidRPr="00717E02" w:rsidRDefault="00717E02" w:rsidP="00717E02">
      <w:pPr>
        <w:ind w:left="1080"/>
        <w:rPr>
          <w:rFonts w:asciiTheme="majorHAnsi" w:hAnsiTheme="majorHAnsi" w:cstheme="majorHAnsi"/>
          <w:bCs/>
          <w:sz w:val="20"/>
        </w:rPr>
      </w:pPr>
      <w:r w:rsidRPr="00717E02">
        <w:rPr>
          <w:rFonts w:asciiTheme="majorHAnsi" w:hAnsiTheme="majorHAnsi" w:cstheme="majorHAnsi"/>
          <w:bCs/>
          <w:sz w:val="20"/>
        </w:rPr>
        <w:t>-vzdialenosť od stavby je najviac 200 m</w:t>
      </w:r>
    </w:p>
    <w:p w:rsidR="00717E02" w:rsidRPr="00717E02" w:rsidRDefault="00717E02" w:rsidP="00717E02">
      <w:pPr>
        <w:pStyle w:val="Zkladntext24"/>
        <w:ind w:firstLine="709"/>
        <w:rPr>
          <w:rFonts w:asciiTheme="majorHAnsi" w:hAnsiTheme="majorHAnsi" w:cstheme="majorHAnsi"/>
          <w:b w:val="0"/>
          <w:color w:val="000000"/>
          <w:kern w:val="1"/>
          <w:sz w:val="20"/>
          <w:shd w:val="clear" w:color="auto" w:fill="FFFFFF"/>
        </w:rPr>
      </w:pPr>
      <w:r w:rsidRPr="00717E02">
        <w:rPr>
          <w:rFonts w:asciiTheme="majorHAnsi" w:eastAsia="Calibri" w:hAnsiTheme="majorHAnsi" w:cstheme="majorHAnsi"/>
          <w:b w:val="0"/>
          <w:sz w:val="20"/>
          <w:u w:val="single"/>
          <w:lang w:eastAsia="en-US"/>
        </w:rPr>
        <w:t xml:space="preserve">Odberné miesto musí byť viditeľne označené červenou farbou a umiestnené tak, aby bolo vždy prístupné pre hasičskú techniku a prevádzkyschopné (v zmysle ods. 7 </w:t>
      </w:r>
      <w:r w:rsidRPr="00717E02">
        <w:rPr>
          <w:rFonts w:asciiTheme="majorHAnsi" w:hAnsiTheme="majorHAnsi" w:cstheme="majorHAnsi"/>
          <w:b w:val="0"/>
          <w:sz w:val="20"/>
          <w:u w:val="single"/>
        </w:rPr>
        <w:t xml:space="preserve">§ 8  vyhl. </w:t>
      </w:r>
      <w:r w:rsidRPr="00717E02">
        <w:rPr>
          <w:rFonts w:asciiTheme="majorHAnsi" w:eastAsia="Calibri" w:hAnsiTheme="majorHAnsi" w:cstheme="majorHAnsi"/>
          <w:b w:val="0"/>
          <w:sz w:val="20"/>
          <w:u w:val="single"/>
          <w:lang w:eastAsia="en-US"/>
        </w:rPr>
        <w:t xml:space="preserve">MV 699/2004 Z.z..). </w:t>
      </w:r>
      <w:r w:rsidRPr="00717E02">
        <w:rPr>
          <w:rFonts w:asciiTheme="majorHAnsi" w:eastAsia="Calibri" w:hAnsiTheme="majorHAnsi" w:cstheme="majorHAnsi"/>
          <w:b w:val="0"/>
          <w:sz w:val="20"/>
          <w:lang w:eastAsia="en-US"/>
        </w:rPr>
        <w:tab/>
      </w:r>
    </w:p>
    <w:p w:rsidR="00717E02" w:rsidRPr="00717E02" w:rsidRDefault="00717E02" w:rsidP="00717E02">
      <w:pPr>
        <w:pStyle w:val="Zkladntext220"/>
        <w:ind w:firstLine="709"/>
        <w:rPr>
          <w:rFonts w:asciiTheme="majorHAnsi" w:eastAsia="Calibri" w:hAnsiTheme="majorHAnsi" w:cstheme="majorHAnsi"/>
          <w:bCs/>
          <w:sz w:val="20"/>
          <w:u w:val="single"/>
          <w:lang w:eastAsia="en-US"/>
        </w:rPr>
      </w:pPr>
      <w:r w:rsidRPr="00717E02">
        <w:rPr>
          <w:rFonts w:asciiTheme="majorHAnsi" w:eastAsia="Calibri" w:hAnsiTheme="majorHAnsi" w:cstheme="majorHAnsi"/>
          <w:bCs/>
          <w:sz w:val="20"/>
          <w:u w:val="single"/>
          <w:lang w:eastAsia="en-US"/>
        </w:rPr>
        <w:t>Hadicové zariadenie musí byť v posudzovanej stavbe inštalované podľa čl. 3.4.2 a)  STN 92 0400 a v zmysle vyhl. MV 699/2004 Z.z. (viď výpočtová príloha).</w:t>
      </w:r>
    </w:p>
    <w:p w:rsidR="00717E02" w:rsidRPr="00717E02" w:rsidRDefault="00717E02" w:rsidP="00717E02">
      <w:pPr>
        <w:pStyle w:val="Zkladntext220"/>
        <w:ind w:firstLine="0"/>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Hadicové zariadenie musí byť navrhnuté v zmysle vyhl. MV 699/2004 Z.z a čl.5.5.2 STN 920400- hadicový navijak s tvarovo stálou hadicou (DN25/dl.30m) s menovitou svetlosťou 25mm s minimálnym priemerom hubice alebo ekvivalentným priemerom 10mm s min. prietokom 59l/min pri tlaku 0,2 MPA .</w:t>
      </w:r>
    </w:p>
    <w:p w:rsidR="00717E02" w:rsidRPr="00717E02" w:rsidRDefault="00717E02" w:rsidP="00717E02">
      <w:pPr>
        <w:rPr>
          <w:rFonts w:asciiTheme="majorHAnsi" w:hAnsiTheme="majorHAnsi" w:cstheme="majorHAnsi"/>
          <w:b/>
          <w:bCs/>
          <w:kern w:val="1"/>
          <w:sz w:val="20"/>
          <w:shd w:val="clear" w:color="auto" w:fill="FFFFFF"/>
        </w:rPr>
      </w:pPr>
      <w:r w:rsidRPr="00717E02">
        <w:rPr>
          <w:rFonts w:asciiTheme="majorHAnsi" w:eastAsia="Calibri" w:hAnsiTheme="majorHAnsi" w:cstheme="majorHAnsi"/>
          <w:bCs/>
          <w:sz w:val="20"/>
          <w:lang w:eastAsia="en-US"/>
        </w:rPr>
        <w:tab/>
        <w:t xml:space="preserve">Hadicové zariadenie musí byť umiestnené tak, </w:t>
      </w:r>
      <w:r w:rsidRPr="00717E02">
        <w:rPr>
          <w:rFonts w:asciiTheme="majorHAnsi" w:eastAsia="Calibri" w:hAnsiTheme="majorHAnsi" w:cstheme="majorHAnsi"/>
          <w:bCs/>
          <w:sz w:val="20"/>
          <w:u w:val="single"/>
          <w:lang w:eastAsia="en-US"/>
        </w:rPr>
        <w:t xml:space="preserve">aby jeho uzatváracia armatúra alebo uzatvárací ventil bol najviac vo výške 1,3 m </w:t>
      </w:r>
      <w:r w:rsidRPr="00717E02">
        <w:rPr>
          <w:rFonts w:asciiTheme="majorHAnsi" w:eastAsia="Calibri" w:hAnsiTheme="majorHAnsi" w:cstheme="majorHAnsi"/>
          <w:bCs/>
          <w:sz w:val="20"/>
          <w:lang w:eastAsia="en-US"/>
        </w:rPr>
        <w:t xml:space="preserve">nad podlahou a aby bol k nim umožnený ľahký prístup a nezužovali trvale voľný komunikačný priestor  v zmysle </w:t>
      </w:r>
      <w:r w:rsidRPr="00717E02">
        <w:rPr>
          <w:rFonts w:asciiTheme="majorHAnsi" w:hAnsiTheme="majorHAnsi" w:cstheme="majorHAnsi"/>
          <w:sz w:val="20"/>
        </w:rPr>
        <w:t>§ 12 ods.6 Vyhl. MV SR č.94/2004 Z.z..</w:t>
      </w:r>
      <w:r w:rsidRPr="00717E02">
        <w:rPr>
          <w:rFonts w:asciiTheme="majorHAnsi" w:hAnsiTheme="majorHAnsi" w:cstheme="majorHAnsi"/>
          <w:b/>
          <w:bCs/>
          <w:kern w:val="1"/>
          <w:sz w:val="20"/>
          <w:shd w:val="clear" w:color="auto" w:fill="FFFFFF"/>
        </w:rPr>
        <w:t xml:space="preserve"> </w:t>
      </w:r>
    </w:p>
    <w:p w:rsidR="00717E02" w:rsidRPr="00717E02" w:rsidRDefault="00717E02" w:rsidP="00717E02">
      <w:pPr>
        <w:pStyle w:val="Zkladntext24"/>
        <w:rPr>
          <w:rFonts w:asciiTheme="majorHAnsi" w:hAnsiTheme="majorHAnsi" w:cstheme="majorHAnsi"/>
          <w:bCs/>
          <w:kern w:val="1"/>
          <w:sz w:val="20"/>
          <w:shd w:val="clear" w:color="auto" w:fill="FFFFFF"/>
        </w:rPr>
      </w:pPr>
      <w:r w:rsidRPr="00717E02">
        <w:rPr>
          <w:rFonts w:asciiTheme="majorHAnsi" w:hAnsiTheme="majorHAnsi" w:cstheme="majorHAnsi"/>
          <w:bCs/>
          <w:kern w:val="1"/>
          <w:sz w:val="20"/>
          <w:shd w:val="clear" w:color="auto" w:fill="FFFFFF"/>
        </w:rPr>
        <w:t xml:space="preserve">Podľa § 12 ods.3 Vyhl. MV SR č.699/2004 Z.z. musia byť hadicové zariadenia situované tak, aby v každom mieste požiarneho úseku, v ktorom sa predpokladá hasenie, bolo možné hasiť najmenej jedným prúdom vody a aby bol umožnený zásah v každom mieste stavby. </w:t>
      </w:r>
    </w:p>
    <w:p w:rsidR="00717E02" w:rsidRPr="00717E02" w:rsidRDefault="00717E02" w:rsidP="00717E02">
      <w:pPr>
        <w:rPr>
          <w:rFonts w:asciiTheme="majorHAnsi" w:hAnsiTheme="majorHAnsi" w:cstheme="majorHAnsi"/>
          <w:bCs/>
          <w:kern w:val="1"/>
          <w:sz w:val="20"/>
          <w:shd w:val="clear" w:color="auto" w:fill="FFFFFF"/>
        </w:rPr>
      </w:pPr>
      <w:r w:rsidRPr="00717E02">
        <w:rPr>
          <w:rFonts w:asciiTheme="majorHAnsi" w:hAnsiTheme="majorHAnsi" w:cstheme="majorHAnsi"/>
          <w:bCs/>
          <w:kern w:val="1"/>
          <w:sz w:val="20"/>
          <w:shd w:val="clear" w:color="auto" w:fill="FFFFFF"/>
        </w:rPr>
        <w:tab/>
        <w:t>Najodľahlejšie miesto požiarneho úseku môže byť od hadicového zariadenia vzdialené najviac</w:t>
      </w:r>
      <w:bookmarkStart w:id="9" w:name="p_12.4.a"/>
      <w:bookmarkStart w:id="10" w:name="p_12.4.b"/>
      <w:bookmarkEnd w:id="9"/>
      <w:bookmarkEnd w:id="10"/>
      <w:r w:rsidRPr="00717E02">
        <w:rPr>
          <w:rFonts w:asciiTheme="majorHAnsi" w:hAnsiTheme="majorHAnsi" w:cstheme="majorHAnsi"/>
          <w:bCs/>
          <w:kern w:val="1"/>
          <w:sz w:val="20"/>
          <w:shd w:val="clear" w:color="auto" w:fill="FFFFFF"/>
        </w:rPr>
        <w:t xml:space="preserve"> 30 m pre hadicové navijaky s tvarovo stálou hadicou (v súlade s § 12 ods.4b Vyhl. MV SR č.699/2004 Z.z.)- bolo zohľadnené pri ich rozmiestnení v pôdoryse. </w:t>
      </w:r>
    </w:p>
    <w:p w:rsidR="00717E02" w:rsidRPr="00717E02" w:rsidRDefault="00717E02" w:rsidP="00717E02">
      <w:pPr>
        <w:pStyle w:val="Zkladntext220"/>
        <w:ind w:firstLine="708"/>
        <w:jc w:val="left"/>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Vnútorné rozvodné potrubia pre hadicové zariadenie musia byť nehorľavé so závitovými spojkami alebo podľa č.l. 5.9 STN  92 0400 s požadovanou tlakovou odolnosťou. Vnútorný požiarny vodovod musí byť navrhnutý tak, aby aj na najnepriaznivejšie položenom výtoku hadicového zariadenia bol najmenší hydrodynamický pretlak 0,2 MPa (§10 ods.4 Vyhl.č.699/2004 z.z.).</w:t>
      </w:r>
    </w:p>
    <w:p w:rsidR="00717E02" w:rsidRPr="00717E02" w:rsidRDefault="00717E02" w:rsidP="00717E02">
      <w:pPr>
        <w:autoSpaceDE w:val="0"/>
        <w:autoSpaceDN w:val="0"/>
        <w:adjustRightInd w:val="0"/>
        <w:ind w:firstLine="709"/>
        <w:rPr>
          <w:rFonts w:asciiTheme="majorHAnsi" w:hAnsiTheme="majorHAnsi" w:cstheme="majorHAnsi"/>
          <w:sz w:val="20"/>
        </w:rPr>
      </w:pPr>
    </w:p>
    <w:p w:rsidR="00717E02" w:rsidRPr="00717E02" w:rsidRDefault="00717E02" w:rsidP="00717E02">
      <w:pPr>
        <w:pStyle w:val="Nadpis3"/>
        <w:numPr>
          <w:ilvl w:val="2"/>
          <w:numId w:val="3"/>
        </w:numPr>
        <w:suppressAutoHyphens/>
        <w:overflowPunct/>
        <w:autoSpaceDE/>
        <w:autoSpaceDN/>
        <w:adjustRightInd/>
        <w:spacing w:before="120" w:after="0"/>
        <w:textAlignment w:val="auto"/>
        <w:rPr>
          <w:rFonts w:asciiTheme="majorHAnsi" w:hAnsiTheme="majorHAnsi" w:cstheme="majorHAnsi"/>
          <w:shd w:val="clear" w:color="auto" w:fill="FFFFFF"/>
        </w:rPr>
      </w:pPr>
      <w:r w:rsidRPr="00717E02">
        <w:rPr>
          <w:rFonts w:asciiTheme="majorHAnsi" w:hAnsiTheme="majorHAnsi" w:cstheme="majorHAnsi"/>
          <w:shd w:val="clear" w:color="auto" w:fill="FFFFFF"/>
        </w:rPr>
        <w:t>Prenosné hasiace prístroje</w:t>
      </w:r>
    </w:p>
    <w:p w:rsidR="00717E02" w:rsidRPr="00717E02" w:rsidRDefault="00717E02" w:rsidP="00717E02">
      <w:pPr>
        <w:rPr>
          <w:rFonts w:asciiTheme="majorHAnsi" w:hAnsiTheme="majorHAnsi" w:cstheme="majorHAnsi"/>
          <w:sz w:val="20"/>
        </w:rPr>
      </w:pPr>
    </w:p>
    <w:p w:rsidR="00717E02" w:rsidRPr="00717E02" w:rsidRDefault="00717E02" w:rsidP="00717E02">
      <w:pPr>
        <w:ind w:firstLine="708"/>
        <w:rPr>
          <w:rFonts w:asciiTheme="majorHAnsi" w:hAnsiTheme="majorHAnsi" w:cstheme="majorHAnsi"/>
          <w:bCs/>
          <w:sz w:val="20"/>
        </w:rPr>
      </w:pPr>
      <w:bookmarkStart w:id="11" w:name="_Hlk2284719"/>
      <w:r w:rsidRPr="00717E02">
        <w:rPr>
          <w:rFonts w:asciiTheme="majorHAnsi" w:hAnsiTheme="majorHAnsi" w:cstheme="majorHAnsi"/>
          <w:bCs/>
          <w:sz w:val="20"/>
        </w:rPr>
        <w:t xml:space="preserve">Pre rýchly zásah proti požiaru musia byť požiarne úseky v objekte vybavené prenosnými hasiacimi prístrojmi. Navrhované sú práškové hasiace prístroje s náplňou </w:t>
      </w:r>
      <w:smartTag w:uri="urn:schemas-microsoft-com:office:smarttags" w:element="metricconverter">
        <w:smartTagPr>
          <w:attr w:name="ProductID" w:val="6 kg"/>
        </w:smartTagPr>
        <w:r w:rsidRPr="00717E02">
          <w:rPr>
            <w:rFonts w:asciiTheme="majorHAnsi" w:hAnsiTheme="majorHAnsi" w:cstheme="majorHAnsi"/>
            <w:bCs/>
            <w:sz w:val="20"/>
          </w:rPr>
          <w:t>6 kg</w:t>
        </w:r>
      </w:smartTag>
      <w:r w:rsidRPr="00717E02">
        <w:rPr>
          <w:rFonts w:asciiTheme="majorHAnsi" w:hAnsiTheme="majorHAnsi" w:cstheme="majorHAnsi"/>
          <w:bCs/>
          <w:sz w:val="20"/>
        </w:rPr>
        <w:t xml:space="preserve"> prášku ABC.  </w:t>
      </w:r>
    </w:p>
    <w:p w:rsidR="00717E02" w:rsidRPr="00717E02" w:rsidRDefault="00717E02" w:rsidP="00717E02">
      <w:pPr>
        <w:pStyle w:val="Zkladntext24"/>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 xml:space="preserve">Práškové hasiace prístroje môžu byť pre hasenie prípadného požiaru citlivej elektroniky v plnom rozsahu nahradené CO2 hasiacimi prístrojmi s hmotnosťou hasiacej látky min. </w:t>
      </w:r>
      <w:smartTag w:uri="urn:schemas-microsoft-com:office:smarttags" w:element="metricconverter">
        <w:smartTagPr>
          <w:attr w:name="ProductID" w:val="5 kg"/>
        </w:smartTagPr>
        <w:r w:rsidRPr="00717E02">
          <w:rPr>
            <w:rFonts w:asciiTheme="majorHAnsi" w:eastAsia="Calibri" w:hAnsiTheme="majorHAnsi" w:cstheme="majorHAnsi"/>
            <w:bCs/>
            <w:sz w:val="20"/>
            <w:lang w:eastAsia="en-US"/>
          </w:rPr>
          <w:t>5 kg</w:t>
        </w:r>
      </w:smartTag>
      <w:r w:rsidRPr="00717E02">
        <w:rPr>
          <w:rFonts w:asciiTheme="majorHAnsi" w:eastAsia="Calibri" w:hAnsiTheme="majorHAnsi" w:cstheme="majorHAnsi"/>
          <w:bCs/>
          <w:sz w:val="20"/>
          <w:lang w:eastAsia="en-US"/>
        </w:rPr>
        <w:t xml:space="preserve">. </w:t>
      </w:r>
    </w:p>
    <w:p w:rsidR="00717E02" w:rsidRPr="00717E02" w:rsidRDefault="00717E02" w:rsidP="00717E02">
      <w:pPr>
        <w:pStyle w:val="Zkladntext24"/>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 xml:space="preserve">Pre zámenu každého prenosného hasiaceho prístroja práškového ABC </w:t>
      </w:r>
      <w:smartTag w:uri="urn:schemas-microsoft-com:office:smarttags" w:element="metricconverter">
        <w:smartTagPr>
          <w:attr w:name="ProductID" w:val="6 kg"/>
        </w:smartTagPr>
        <w:r w:rsidRPr="00717E02">
          <w:rPr>
            <w:rFonts w:asciiTheme="majorHAnsi" w:eastAsia="Calibri" w:hAnsiTheme="majorHAnsi" w:cstheme="majorHAnsi"/>
            <w:bCs/>
            <w:sz w:val="20"/>
            <w:lang w:eastAsia="en-US"/>
          </w:rPr>
          <w:t>6 kg</w:t>
        </w:r>
      </w:smartTag>
      <w:r w:rsidRPr="00717E02">
        <w:rPr>
          <w:rFonts w:asciiTheme="majorHAnsi" w:eastAsia="Calibri" w:hAnsiTheme="majorHAnsi" w:cstheme="majorHAnsi"/>
          <w:bCs/>
          <w:sz w:val="20"/>
          <w:lang w:eastAsia="en-US"/>
        </w:rPr>
        <w:t xml:space="preserve"> za CO2 hasiace prístroje </w:t>
      </w:r>
      <w:smartTag w:uri="urn:schemas-microsoft-com:office:smarttags" w:element="metricconverter">
        <w:smartTagPr>
          <w:attr w:name="ProductID" w:val="5 kg"/>
        </w:smartTagPr>
        <w:r w:rsidRPr="00717E02">
          <w:rPr>
            <w:rFonts w:asciiTheme="majorHAnsi" w:eastAsia="Calibri" w:hAnsiTheme="majorHAnsi" w:cstheme="majorHAnsi"/>
            <w:bCs/>
            <w:sz w:val="20"/>
            <w:lang w:eastAsia="en-US"/>
          </w:rPr>
          <w:t>5 kg</w:t>
        </w:r>
      </w:smartTag>
      <w:r w:rsidRPr="00717E02">
        <w:rPr>
          <w:rFonts w:asciiTheme="majorHAnsi" w:eastAsia="Calibri" w:hAnsiTheme="majorHAnsi" w:cstheme="majorHAnsi"/>
          <w:bCs/>
          <w:sz w:val="20"/>
          <w:lang w:eastAsia="en-US"/>
        </w:rPr>
        <w:t xml:space="preserve"> platí, že 1 kus hasiaci prístroj ABC </w:t>
      </w:r>
      <w:smartTag w:uri="urn:schemas-microsoft-com:office:smarttags" w:element="metricconverter">
        <w:smartTagPr>
          <w:attr w:name="ProductID" w:val="6 kg"/>
        </w:smartTagPr>
        <w:r w:rsidRPr="00717E02">
          <w:rPr>
            <w:rFonts w:asciiTheme="majorHAnsi" w:eastAsia="Calibri" w:hAnsiTheme="majorHAnsi" w:cstheme="majorHAnsi"/>
            <w:bCs/>
            <w:sz w:val="20"/>
            <w:lang w:eastAsia="en-US"/>
          </w:rPr>
          <w:t>6 kg</w:t>
        </w:r>
      </w:smartTag>
      <w:r w:rsidRPr="00717E02">
        <w:rPr>
          <w:rFonts w:asciiTheme="majorHAnsi" w:eastAsia="Calibri" w:hAnsiTheme="majorHAnsi" w:cstheme="majorHAnsi"/>
          <w:bCs/>
          <w:sz w:val="20"/>
          <w:lang w:eastAsia="en-US"/>
        </w:rPr>
        <w:t xml:space="preserve"> musí byť nahradený vždy 2 kusmi hasiacich prístrojov CO2 5 kg.</w:t>
      </w:r>
    </w:p>
    <w:p w:rsidR="00717E02" w:rsidRPr="00717E02" w:rsidRDefault="00717E02" w:rsidP="00717E02">
      <w:pPr>
        <w:pStyle w:val="Zkladntext24"/>
        <w:rPr>
          <w:rFonts w:asciiTheme="majorHAnsi" w:eastAsia="Calibri" w:hAnsiTheme="majorHAnsi" w:cstheme="majorHAnsi"/>
          <w:bCs/>
          <w:sz w:val="20"/>
          <w:lang w:eastAsia="en-US"/>
        </w:rPr>
      </w:pPr>
      <w:r w:rsidRPr="00717E02">
        <w:rPr>
          <w:rFonts w:asciiTheme="majorHAnsi" w:eastAsia="Calibri" w:hAnsiTheme="majorHAnsi" w:cstheme="majorHAnsi"/>
          <w:bCs/>
          <w:sz w:val="20"/>
          <w:lang w:eastAsia="en-US"/>
        </w:rPr>
        <w:t xml:space="preserve">Hasiace prístroje je potrebné umiestniť tak, aby rukoväť prístroja bola najviac </w:t>
      </w:r>
      <w:smartTag w:uri="urn:schemas-microsoft-com:office:smarttags" w:element="metricconverter">
        <w:smartTagPr>
          <w:attr w:name="ProductID" w:val="1,5 m"/>
        </w:smartTagPr>
        <w:r w:rsidRPr="00717E02">
          <w:rPr>
            <w:rFonts w:asciiTheme="majorHAnsi" w:eastAsia="Calibri" w:hAnsiTheme="majorHAnsi" w:cstheme="majorHAnsi"/>
            <w:bCs/>
            <w:sz w:val="20"/>
            <w:lang w:eastAsia="en-US"/>
          </w:rPr>
          <w:t>1,5 m</w:t>
        </w:r>
      </w:smartTag>
      <w:r w:rsidRPr="00717E02">
        <w:rPr>
          <w:rFonts w:asciiTheme="majorHAnsi" w:eastAsia="Calibri" w:hAnsiTheme="majorHAnsi" w:cstheme="majorHAnsi"/>
          <w:bCs/>
          <w:sz w:val="20"/>
          <w:lang w:eastAsia="en-US"/>
        </w:rPr>
        <w:t xml:space="preserve"> nad podlahou a vo vzájomných vzdialenostiach max. 30m. K prenosným hasiacim prístrojom musí byť zabezpečený trvale voľný prístup. Hasiace prístroje nesmú byť vystavené sálavému teplu ani priamemu slnečnému žiareniu, ktoré by mohlo spôsobiť zvýšenie ich teploty nad povolenú teplotu uvedenú výrobcom v súlade s STN 920202-1. Miesta osadenia musia byť  označené piktogramami podľa nariadenia vlády SR č.387/2006 Z.z.</w:t>
      </w:r>
    </w:p>
    <w:p w:rsidR="00717E02" w:rsidRPr="00717E02" w:rsidRDefault="00717E02" w:rsidP="00717E02">
      <w:pPr>
        <w:ind w:firstLine="709"/>
        <w:rPr>
          <w:rFonts w:asciiTheme="majorHAnsi" w:hAnsiTheme="majorHAnsi" w:cstheme="majorHAnsi"/>
          <w:sz w:val="20"/>
          <w:u w:val="single"/>
        </w:rPr>
      </w:pPr>
      <w:r w:rsidRPr="00717E02">
        <w:rPr>
          <w:rFonts w:asciiTheme="majorHAnsi" w:hAnsiTheme="majorHAnsi" w:cstheme="majorHAnsi"/>
          <w:sz w:val="20"/>
          <w:u w:val="single"/>
        </w:rPr>
        <w:t xml:space="preserve">Rozmiestnenie hasiacich prístrojov je znázornené vo výkresovej časti a stanovenie počtu je uvedené vo výpočtovej prílohe. </w:t>
      </w:r>
    </w:p>
    <w:bookmarkEnd w:id="11"/>
    <w:p w:rsidR="00717E02" w:rsidRPr="00717E02" w:rsidRDefault="00717E02" w:rsidP="00717E02">
      <w:pPr>
        <w:ind w:firstLine="708"/>
        <w:rPr>
          <w:rFonts w:asciiTheme="majorHAnsi" w:hAnsiTheme="majorHAnsi" w:cstheme="majorHAnsi"/>
          <w:sz w:val="20"/>
        </w:rPr>
      </w:pPr>
    </w:p>
    <w:p w:rsidR="00717E02" w:rsidRPr="00717E02" w:rsidRDefault="00717E02" w:rsidP="00165ED7">
      <w:pPr>
        <w:pStyle w:val="Nadpis1"/>
      </w:pPr>
      <w:r w:rsidRPr="00717E02">
        <w:t>Elektroinštalácie ( Silnoprúd, slaboprúd)</w:t>
      </w:r>
    </w:p>
    <w:p w:rsidR="00717E02" w:rsidRPr="00717E02" w:rsidRDefault="00717E02" w:rsidP="00717E02">
      <w:pPr>
        <w:ind w:firstLine="709"/>
        <w:rPr>
          <w:rFonts w:asciiTheme="majorHAnsi" w:hAnsiTheme="majorHAnsi" w:cstheme="majorHAnsi"/>
          <w:sz w:val="20"/>
        </w:rPr>
      </w:pPr>
    </w:p>
    <w:p w:rsidR="00717E02" w:rsidRPr="00717E02" w:rsidRDefault="00717E02" w:rsidP="00717E02">
      <w:pPr>
        <w:ind w:firstLine="709"/>
        <w:rPr>
          <w:rFonts w:asciiTheme="majorHAnsi" w:hAnsiTheme="majorHAnsi" w:cstheme="majorHAnsi"/>
          <w:sz w:val="20"/>
        </w:rPr>
      </w:pPr>
      <w:r w:rsidRPr="00717E02">
        <w:rPr>
          <w:rFonts w:asciiTheme="majorHAnsi" w:eastAsia="Calibri" w:hAnsiTheme="majorHAnsi" w:cstheme="majorHAnsi"/>
          <w:sz w:val="20"/>
          <w:lang w:eastAsia="en-US"/>
        </w:rPr>
        <w:t xml:space="preserve">Budova je napájaná na elektrickú energiou prípojkou vedenou v zemi. </w:t>
      </w:r>
      <w:r w:rsidRPr="00717E02">
        <w:rPr>
          <w:rFonts w:asciiTheme="majorHAnsi" w:hAnsiTheme="majorHAnsi" w:cstheme="majorHAnsi"/>
          <w:sz w:val="20"/>
        </w:rPr>
        <w:t xml:space="preserve">Pre budovu bude spracovaný Protokol o určení prostredia a o určení vonkajších vplyvov. Rozvody a zariadenia sa navrhujú v súlade s príslušnými predpismi a normami. </w:t>
      </w:r>
    </w:p>
    <w:p w:rsidR="00717E02" w:rsidRPr="00717E02" w:rsidRDefault="00717E02" w:rsidP="00717E02">
      <w:pPr>
        <w:ind w:firstLine="709"/>
        <w:rPr>
          <w:rFonts w:asciiTheme="majorHAnsi" w:eastAsia="Calibri" w:hAnsiTheme="majorHAnsi" w:cstheme="majorHAnsi"/>
          <w:bCs/>
          <w:sz w:val="20"/>
          <w:lang w:eastAsia="en-US"/>
        </w:rPr>
      </w:pPr>
      <w:r w:rsidRPr="00717E02">
        <w:rPr>
          <w:rFonts w:asciiTheme="majorHAnsi" w:hAnsiTheme="majorHAnsi" w:cstheme="majorHAnsi"/>
          <w:sz w:val="20"/>
        </w:rPr>
        <w:lastRenderedPageBreak/>
        <w:t xml:space="preserve">Ochrana proti atmosférickým výbojom je navrhnutá v súlade s príslušnými STN EN 62305-1 až 4. </w:t>
      </w:r>
      <w:r w:rsidRPr="00717E02">
        <w:rPr>
          <w:rFonts w:asciiTheme="majorHAnsi" w:eastAsia="Calibri" w:hAnsiTheme="majorHAnsi" w:cstheme="majorHAnsi"/>
          <w:bCs/>
          <w:sz w:val="20"/>
          <w:lang w:eastAsia="en-US"/>
        </w:rPr>
        <w:t>Bleskozvod (zariadenie na ochranu pred účinkami atmosférickej elektriny) bude mať vedenia a zvody upevnené tak, aby boli dodržané požiadavky STN EN 62305-1 až 4.</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V stavbe je odporúčaná inštalácia svietidiel núdzového osvetlenia s vlastným batériovým zdrojom, kvôli zaisteniu bezpečnosti úniku. Funkčná odolnosť trasy káblov na trvalú dodávku elektrickej energie pre núdzové osvetlenie je min. 60minút. Vzhľadom nato, že núdzové osvetlenie nie je napojené na náhradný zdroj ale má vlastné akumulátory, nie je potrebné naň použiť káble B2ca-s1, d1, a1.</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V budove bude označenie v súlade s NV č. 387/2006 Z. z..</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Stavba musí byť vybavená ovládacím prvkom CENTRAL STOP, ktorý slúži na zabezpečenie vypnutia dodávky elektrickej energie pre elektrické zariadenia v stavbe alebo jej časti (zóne), ktoré nie sú elektrickými zariadeniami v prevádzke počas požiaru v zmysle ods. 4.3.2 STN920203.  </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Vypínací prvok CENTRAL STOP musí byť chránený proti neoprávnenému či náhodnému použitiu v zmysle 4.3.5 STN 920203 - bude umiestnený v exteriéri pri hlavnom vstupe do stavby. V budove bude označenie v súlade s NV č. 387/2006 Z. z..</w:t>
      </w:r>
    </w:p>
    <w:p w:rsidR="00717E02" w:rsidRPr="00717E02" w:rsidRDefault="00717E02" w:rsidP="00717E02">
      <w:pPr>
        <w:rPr>
          <w:rFonts w:asciiTheme="majorHAnsi" w:hAnsiTheme="majorHAnsi" w:cstheme="majorHAnsi"/>
          <w:sz w:val="20"/>
        </w:rPr>
      </w:pPr>
    </w:p>
    <w:p w:rsidR="00717E02" w:rsidRPr="00717E02" w:rsidRDefault="00717E02" w:rsidP="00165ED7">
      <w:pPr>
        <w:pStyle w:val="Nadpis1"/>
        <w:numPr>
          <w:ilvl w:val="0"/>
          <w:numId w:val="3"/>
        </w:numPr>
      </w:pPr>
      <w:r w:rsidRPr="00717E02">
        <w:t>Vykurovanie</w:t>
      </w:r>
    </w:p>
    <w:p w:rsidR="00717E02" w:rsidRPr="00717E02" w:rsidRDefault="00717E02" w:rsidP="00717E02">
      <w:pPr>
        <w:rPr>
          <w:rFonts w:asciiTheme="majorHAnsi" w:hAnsiTheme="majorHAnsi" w:cstheme="majorHAnsi"/>
          <w:sz w:val="20"/>
        </w:rPr>
      </w:pP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 xml:space="preserve">Miestnosti na 1.ppp a na 2.npp sú navrhnuté ako nevykurované. Priestory na 1.npp budú vykurované elektrickými doskovými vykurovacími telesami. V hygienických miestnostiach budú namontované elektrické rebríkové vykurovacie telesá a elektrické podlahové vykurovanie- devi rohože. </w:t>
      </w: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Stavebné konštrukcie z materiálov triedy reakcie na oheň B, C, D, E alebo F, horľavé predmety a horľavé látky možno umiestniť v bezpečnej vzdialenosti minimálne 200mm vo všetkých smeroch od  elektrotepelného spotrebiča  podľa prílohy 1 Vyhl. MV SR 401/2007 Z.z..</w:t>
      </w:r>
    </w:p>
    <w:p w:rsidR="00717E02" w:rsidRPr="00717E02" w:rsidRDefault="00717E02" w:rsidP="00717E02">
      <w:pPr>
        <w:autoSpaceDE w:val="0"/>
        <w:autoSpaceDN w:val="0"/>
        <w:adjustRightInd w:val="0"/>
        <w:rPr>
          <w:rFonts w:asciiTheme="majorHAnsi" w:hAnsiTheme="majorHAnsi" w:cstheme="majorHAnsi"/>
          <w:sz w:val="20"/>
        </w:rPr>
      </w:pPr>
      <w:r w:rsidRPr="00717E02">
        <w:rPr>
          <w:rFonts w:asciiTheme="majorHAnsi" w:hAnsiTheme="majorHAnsi" w:cstheme="majorHAnsi"/>
          <w:sz w:val="20"/>
        </w:rPr>
        <w:tab/>
      </w:r>
    </w:p>
    <w:p w:rsidR="00717E02" w:rsidRPr="00717E02" w:rsidRDefault="00717E02" w:rsidP="00165ED7">
      <w:pPr>
        <w:pStyle w:val="Nadpis1"/>
        <w:numPr>
          <w:ilvl w:val="0"/>
          <w:numId w:val="3"/>
        </w:numPr>
      </w:pPr>
      <w:r w:rsidRPr="00717E02">
        <w:t>Klimatizácia, Vetranie objektu</w:t>
      </w:r>
    </w:p>
    <w:p w:rsidR="00717E02" w:rsidRPr="00717E02" w:rsidRDefault="00717E02" w:rsidP="00717E02">
      <w:pPr>
        <w:rPr>
          <w:rFonts w:asciiTheme="majorHAnsi" w:hAnsiTheme="majorHAnsi" w:cstheme="majorHAnsi"/>
          <w:sz w:val="20"/>
        </w:rPr>
      </w:pPr>
    </w:p>
    <w:p w:rsidR="00717E02" w:rsidRPr="00717E02" w:rsidRDefault="00717E02" w:rsidP="00717E02">
      <w:pPr>
        <w:ind w:firstLine="708"/>
        <w:rPr>
          <w:rFonts w:asciiTheme="majorHAnsi" w:hAnsiTheme="majorHAnsi" w:cstheme="majorHAnsi"/>
          <w:sz w:val="20"/>
          <w:highlight w:val="yellow"/>
        </w:rPr>
      </w:pPr>
      <w:r w:rsidRPr="00717E02">
        <w:rPr>
          <w:rFonts w:asciiTheme="majorHAnsi" w:hAnsiTheme="majorHAnsi" w:cstheme="majorHAnsi"/>
          <w:sz w:val="20"/>
        </w:rPr>
        <w:tab/>
        <w:t>Vetranie je riešené ako prirodzené- okennými a dvernými otvormi. V stavbe sú navrhnuté vzduchotechnické potrubia s prierezom do 0,04m2 (priemer navrhnutého potrubia je max. 200mm- jedná sa o odvetracie potrubia hygienických miestností na 1.np, elektrorozvodne, príručného skladu cukru a etikiet, fľaškovne/lisovne, príručných skladov na 1.pp, podstrešného príručného skladu na 2.np). Samostatné odvetranie je skladu laboratória cez obvodovú stenu (priemer potrubia 100mm).</w:t>
      </w:r>
    </w:p>
    <w:p w:rsidR="00717E02" w:rsidRPr="00717E02" w:rsidRDefault="00717E02" w:rsidP="00717E02">
      <w:pPr>
        <w:ind w:firstLine="709"/>
        <w:rPr>
          <w:rFonts w:asciiTheme="majorHAnsi" w:hAnsiTheme="majorHAnsi" w:cstheme="majorHAnsi"/>
          <w:sz w:val="20"/>
          <w:u w:val="single"/>
        </w:rPr>
      </w:pPr>
      <w:r w:rsidRPr="00717E02">
        <w:rPr>
          <w:rFonts w:asciiTheme="majorHAnsi" w:hAnsiTheme="majorHAnsi" w:cstheme="majorHAnsi"/>
          <w:sz w:val="20"/>
          <w:u w:val="single"/>
        </w:rPr>
        <w:t xml:space="preserve">Systém vzduchotechnických potrubí musí z hľadiska protipožiarnej bezpečnosti spĺňať STN 73 0872. Vzduchotechnické a klimatizačné zariadenia musia byť vyhotovené tak, aby  sa nimi alebo po nich nemohol šíriť požiar alebo jeho splodiny do iných požiarnych úsekov v súlade s STN 730872. </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Vzduchotechnické potrubia s prierezovou plochou najviac 0,04 m2 môžu prestupovať požiarne deliacimi konštrukciami bez požiarnych uzáverov; ich vzájomná vzdialenosť musí byť najmenej 0,5 m (merané medzi vonkajšími okrajmi potrubí) v súlade s čl 6a) STN 730872. </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V mieste prestupu požiarne deliacou konštrukciu musí byť vzduchotechnické zariadenie z nehorľavých materiálov vrátane izolácie potrubia  a to do vzdialenosti 0,5m od prestupu. Do tejto vzdialenosti nesmú byť osadené na potrubí výustky.v súlade čl. 7 STN 730872.      </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bCs/>
          <w:sz w:val="20"/>
          <w:bdr w:val="none" w:sz="0" w:space="0" w:color="auto" w:frame="1"/>
        </w:rPr>
        <w:t>Otvory pre výfuk odpadného vzduchu musia byť vzdialené najmenej 1,5m od nasávacích otvorov vzduchotechnických zariadení (vzájomná vzdialenosť sa meria medzi najbližšími okrajmi jednotlivých otvorov) v súlade s čl. 9 STN730802.</w:t>
      </w:r>
      <w:r w:rsidRPr="00717E02">
        <w:rPr>
          <w:rFonts w:asciiTheme="majorHAnsi" w:hAnsiTheme="majorHAnsi" w:cstheme="majorHAnsi"/>
          <w:sz w:val="20"/>
        </w:rPr>
        <w:t xml:space="preserve"> </w:t>
      </w: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rPr>
        <w:t xml:space="preserve">Prestupy rozvodov a prestupy inštalácií cez požiarne deliace konštrukcie musia byť utesnené konštrukčnými prvkami takého druhu, ako sú požiarne deliace konštrukcie cez ktoré prestupujú. </w:t>
      </w:r>
    </w:p>
    <w:p w:rsidR="00717E02" w:rsidRPr="00717E02" w:rsidRDefault="00717E02" w:rsidP="00717E02">
      <w:pPr>
        <w:ind w:firstLine="708"/>
        <w:rPr>
          <w:rFonts w:asciiTheme="majorHAnsi" w:hAnsiTheme="majorHAnsi" w:cstheme="majorHAnsi"/>
          <w:sz w:val="20"/>
          <w:highlight w:val="yellow"/>
        </w:rPr>
      </w:pPr>
      <w:r w:rsidRPr="00717E02">
        <w:rPr>
          <w:rFonts w:asciiTheme="majorHAnsi" w:hAnsiTheme="majorHAnsi" w:cstheme="majorHAnsi"/>
          <w:sz w:val="20"/>
        </w:rPr>
        <w:t xml:space="preserve">Utesnený prestup musí spĺňať požiadavky na požiarnu odolnosť požiarne deliacej konštrukcie, ktorou prestupuje, najviac však </w:t>
      </w:r>
      <w:r w:rsidRPr="00717E02">
        <w:rPr>
          <w:rFonts w:asciiTheme="majorHAnsi" w:hAnsiTheme="majorHAnsi" w:cstheme="majorHAnsi"/>
          <w:b/>
          <w:sz w:val="20"/>
        </w:rPr>
        <w:t>EI 90</w:t>
      </w:r>
      <w:r w:rsidRPr="00717E02">
        <w:rPr>
          <w:rFonts w:asciiTheme="majorHAnsi" w:hAnsiTheme="majorHAnsi" w:cstheme="majorHAnsi"/>
          <w:sz w:val="20"/>
        </w:rPr>
        <w:t xml:space="preserve"> ( v zmysle § 40, ods. 3 Vyhl. MV SR č. 94/2004 Z.z. v znení neskorších predpisov).  </w:t>
      </w:r>
    </w:p>
    <w:p w:rsidR="00717E02" w:rsidRPr="00717E02" w:rsidRDefault="00717E02" w:rsidP="00717E02">
      <w:pPr>
        <w:ind w:firstLine="709"/>
        <w:contextualSpacing/>
        <w:rPr>
          <w:rFonts w:asciiTheme="majorHAnsi" w:hAnsiTheme="majorHAnsi" w:cstheme="majorHAnsi"/>
          <w:sz w:val="20"/>
        </w:rPr>
      </w:pPr>
      <w:r w:rsidRPr="00717E02">
        <w:rPr>
          <w:rFonts w:asciiTheme="majorHAnsi" w:hAnsiTheme="majorHAnsi" w:cstheme="majorHAnsi"/>
          <w:sz w:val="20"/>
          <w:u w:val="single"/>
        </w:rPr>
        <w:t>Vzduchotechnické potrubia s prierezovou plochou najviac 0,04 m2, ktoré prestupujú cez požiarne deliace konštrukcie a  ktorých vzájomná vzdialenosť je menej 0,5 m</w:t>
      </w:r>
      <w:r w:rsidRPr="00717E02">
        <w:rPr>
          <w:rFonts w:asciiTheme="majorHAnsi" w:hAnsiTheme="majorHAnsi" w:cstheme="majorHAnsi"/>
          <w:sz w:val="20"/>
        </w:rPr>
        <w:t xml:space="preserve"> (merané medzi vonkajšími okrajmi potrubí) – musia byť </w:t>
      </w:r>
      <w:r w:rsidRPr="00717E02">
        <w:rPr>
          <w:rFonts w:asciiTheme="majorHAnsi" w:hAnsiTheme="majorHAnsi" w:cstheme="majorHAnsi"/>
          <w:sz w:val="20"/>
          <w:u w:val="single"/>
        </w:rPr>
        <w:t>opatrené v súlade s  STN 73 0872 požiarnymi klapkami s požadovanou požiarnou odolnosťou, alebo budú VZT potrubia prestupujúce inými požiarnymi úsekmi chránené po celej dĺžke až po obvodovú stenu, cez ktorú vyúsťujú do exteriéru a aj v mieste prestupu (EIS30/D1) a na tomto chránenom vzt potrubí nesmú byť výustky</w:t>
      </w:r>
      <w:r w:rsidRPr="00717E02">
        <w:rPr>
          <w:rFonts w:asciiTheme="majorHAnsi" w:hAnsiTheme="majorHAnsi" w:cstheme="majorHAnsi"/>
          <w:sz w:val="20"/>
        </w:rPr>
        <w:t>.- v posudzovanej stavbe sú polohy všetkých prestupujúcich vzt potrubí min. 500mm od ich okrajov.</w:t>
      </w:r>
    </w:p>
    <w:p w:rsidR="00717E02" w:rsidRPr="00717E02" w:rsidRDefault="00717E02" w:rsidP="00717E02">
      <w:pPr>
        <w:ind w:firstLine="709"/>
        <w:rPr>
          <w:rFonts w:asciiTheme="majorHAnsi" w:hAnsiTheme="majorHAnsi" w:cstheme="majorHAnsi"/>
          <w:sz w:val="20"/>
        </w:rPr>
      </w:pPr>
      <w:r w:rsidRPr="00717E02">
        <w:rPr>
          <w:rFonts w:asciiTheme="majorHAnsi" w:hAnsiTheme="majorHAnsi" w:cstheme="majorHAnsi"/>
          <w:sz w:val="20"/>
        </w:rPr>
        <w:t xml:space="preserve">  </w:t>
      </w:r>
    </w:p>
    <w:p w:rsidR="009F7606" w:rsidRDefault="009F7606" w:rsidP="00717E02">
      <w:pPr>
        <w:autoSpaceDE w:val="0"/>
        <w:autoSpaceDN w:val="0"/>
        <w:adjustRightInd w:val="0"/>
        <w:rPr>
          <w:rFonts w:asciiTheme="majorHAnsi" w:hAnsiTheme="majorHAnsi" w:cstheme="majorHAnsi"/>
          <w:b/>
          <w:sz w:val="20"/>
        </w:rPr>
      </w:pPr>
    </w:p>
    <w:p w:rsidR="009F7606" w:rsidRDefault="009F7606" w:rsidP="00717E02">
      <w:pPr>
        <w:autoSpaceDE w:val="0"/>
        <w:autoSpaceDN w:val="0"/>
        <w:adjustRightInd w:val="0"/>
        <w:rPr>
          <w:rFonts w:asciiTheme="majorHAnsi" w:hAnsiTheme="majorHAnsi" w:cstheme="majorHAnsi"/>
          <w:b/>
          <w:sz w:val="20"/>
        </w:rPr>
      </w:pPr>
    </w:p>
    <w:p w:rsidR="009F7606" w:rsidRDefault="009F7606" w:rsidP="00717E02">
      <w:pPr>
        <w:autoSpaceDE w:val="0"/>
        <w:autoSpaceDN w:val="0"/>
        <w:adjustRightInd w:val="0"/>
        <w:rPr>
          <w:rFonts w:asciiTheme="majorHAnsi" w:hAnsiTheme="majorHAnsi" w:cstheme="majorHAnsi"/>
          <w:b/>
          <w:sz w:val="20"/>
        </w:rPr>
      </w:pPr>
    </w:p>
    <w:p w:rsidR="00717E02" w:rsidRPr="00717E02" w:rsidRDefault="00717E02" w:rsidP="00717E02">
      <w:pPr>
        <w:autoSpaceDE w:val="0"/>
        <w:autoSpaceDN w:val="0"/>
        <w:adjustRightInd w:val="0"/>
        <w:rPr>
          <w:rFonts w:asciiTheme="majorHAnsi" w:hAnsiTheme="majorHAnsi" w:cstheme="majorHAnsi"/>
          <w:b/>
          <w:sz w:val="20"/>
        </w:rPr>
      </w:pPr>
      <w:r w:rsidRPr="00717E02">
        <w:rPr>
          <w:rFonts w:asciiTheme="majorHAnsi" w:hAnsiTheme="majorHAnsi" w:cstheme="majorHAnsi"/>
          <w:b/>
          <w:sz w:val="20"/>
        </w:rPr>
        <w:lastRenderedPageBreak/>
        <w:t>Zdravotechnika</w:t>
      </w:r>
    </w:p>
    <w:p w:rsidR="00717E02" w:rsidRPr="00717E02" w:rsidRDefault="00717E02" w:rsidP="00717E02">
      <w:pPr>
        <w:autoSpaceDE w:val="0"/>
        <w:autoSpaceDN w:val="0"/>
        <w:adjustRightInd w:val="0"/>
        <w:rPr>
          <w:rFonts w:asciiTheme="majorHAnsi" w:hAnsiTheme="majorHAnsi" w:cstheme="majorHAnsi"/>
          <w:b/>
          <w:sz w:val="20"/>
        </w:rPr>
      </w:pPr>
    </w:p>
    <w:p w:rsidR="00717E02" w:rsidRPr="00717E02" w:rsidRDefault="00717E02" w:rsidP="00717E02">
      <w:pPr>
        <w:ind w:firstLine="708"/>
        <w:contextualSpacing/>
        <w:rPr>
          <w:rFonts w:asciiTheme="majorHAnsi" w:hAnsiTheme="majorHAnsi" w:cstheme="majorHAnsi"/>
          <w:sz w:val="20"/>
        </w:rPr>
      </w:pPr>
      <w:r w:rsidRPr="00717E02">
        <w:rPr>
          <w:rFonts w:asciiTheme="majorHAnsi" w:hAnsiTheme="majorHAnsi" w:cstheme="majorHAnsi"/>
          <w:sz w:val="20"/>
        </w:rPr>
        <w:t xml:space="preserve">Studená voda bude privádzaná do budovy vodovodnou prípojkou  z verejného vodovodného potrubia. Prestupy rozvodov a prestupy inštalácií cez požiarne deliace konštrukcie musia byť utesnené konštrukčnými prvkami takého druhu, ako sú požiarne deliace konštrukcie cez ktoré prestupujú. </w:t>
      </w:r>
    </w:p>
    <w:p w:rsidR="00717E02" w:rsidRPr="00717E02" w:rsidRDefault="00717E02" w:rsidP="00717E02">
      <w:pPr>
        <w:ind w:firstLine="708"/>
        <w:rPr>
          <w:rFonts w:asciiTheme="majorHAnsi" w:hAnsiTheme="majorHAnsi" w:cstheme="majorHAnsi"/>
          <w:sz w:val="20"/>
          <w:highlight w:val="yellow"/>
        </w:rPr>
      </w:pPr>
      <w:r w:rsidRPr="00717E02">
        <w:rPr>
          <w:rFonts w:asciiTheme="majorHAnsi" w:hAnsiTheme="majorHAnsi" w:cstheme="majorHAnsi"/>
          <w:sz w:val="20"/>
        </w:rPr>
        <w:t xml:space="preserve">Utesnený prestup musí spĺňať požiadavky na požiarnu odolnosť požiarne deliacej konštrukcie, ktorou prestupuje, najviac však </w:t>
      </w:r>
      <w:r w:rsidRPr="00717E02">
        <w:rPr>
          <w:rFonts w:asciiTheme="majorHAnsi" w:hAnsiTheme="majorHAnsi" w:cstheme="majorHAnsi"/>
          <w:b/>
          <w:sz w:val="20"/>
        </w:rPr>
        <w:t>EI 90</w:t>
      </w:r>
      <w:r w:rsidRPr="00717E02">
        <w:rPr>
          <w:rFonts w:asciiTheme="majorHAnsi" w:hAnsiTheme="majorHAnsi" w:cstheme="majorHAnsi"/>
          <w:sz w:val="20"/>
        </w:rPr>
        <w:t xml:space="preserve"> ( v zmysle § 40, ods. 3 Vyhl. MV SR č. 94/2004 Z.z. v znení neskorších predpisov).  </w:t>
      </w:r>
    </w:p>
    <w:p w:rsidR="00717E02" w:rsidRPr="00717E02" w:rsidRDefault="00717E02" w:rsidP="00717E02">
      <w:pPr>
        <w:ind w:firstLine="709"/>
        <w:rPr>
          <w:rFonts w:asciiTheme="majorHAnsi" w:hAnsiTheme="majorHAnsi" w:cstheme="majorHAnsi"/>
          <w:sz w:val="20"/>
        </w:rPr>
      </w:pPr>
    </w:p>
    <w:p w:rsidR="00717E02" w:rsidRPr="00717E02" w:rsidRDefault="00717E02" w:rsidP="00717E02">
      <w:pPr>
        <w:spacing w:line="0" w:lineRule="atLeast"/>
        <w:rPr>
          <w:rFonts w:asciiTheme="majorHAnsi" w:hAnsiTheme="majorHAnsi" w:cstheme="majorHAnsi"/>
          <w:b/>
          <w:sz w:val="20"/>
        </w:rPr>
      </w:pPr>
      <w:r w:rsidRPr="00717E02">
        <w:rPr>
          <w:rFonts w:asciiTheme="majorHAnsi" w:hAnsiTheme="majorHAnsi" w:cstheme="majorHAnsi"/>
          <w:b/>
          <w:sz w:val="20"/>
        </w:rPr>
        <w:t>Zoznam použitých noriem a predpisov</w:t>
      </w:r>
    </w:p>
    <w:p w:rsidR="00717E02" w:rsidRPr="00717E02" w:rsidRDefault="00717E02" w:rsidP="00717E02">
      <w:pPr>
        <w:spacing w:line="0" w:lineRule="atLeast"/>
        <w:rPr>
          <w:rFonts w:asciiTheme="majorHAnsi" w:hAnsiTheme="majorHAnsi" w:cstheme="majorHAnsi"/>
          <w:b/>
          <w:sz w:val="20"/>
        </w:rPr>
      </w:pPr>
    </w:p>
    <w:p w:rsidR="00717E02" w:rsidRPr="00717E02" w:rsidRDefault="00717E02" w:rsidP="00717E02">
      <w:pPr>
        <w:rPr>
          <w:rFonts w:asciiTheme="majorHAnsi" w:hAnsiTheme="majorHAnsi" w:cstheme="majorHAnsi"/>
          <w:sz w:val="20"/>
        </w:rPr>
      </w:pPr>
      <w:r w:rsidRPr="00717E02">
        <w:rPr>
          <w:rFonts w:asciiTheme="majorHAnsi" w:hAnsiTheme="majorHAnsi" w:cstheme="majorHAnsi"/>
          <w:bCs/>
          <w:sz w:val="20"/>
          <w:u w:val="single"/>
        </w:rPr>
        <w:t xml:space="preserve">Vyhl. MV SR č.94/2004 Z.z., </w:t>
      </w:r>
      <w:r w:rsidRPr="00717E02">
        <w:rPr>
          <w:rFonts w:asciiTheme="majorHAnsi" w:hAnsiTheme="majorHAnsi" w:cstheme="majorHAnsi"/>
          <w:sz w:val="20"/>
          <w:u w:val="single"/>
          <w:shd w:val="clear" w:color="auto" w:fill="FFFFFF"/>
        </w:rPr>
        <w:t xml:space="preserve">s novelami </w:t>
      </w:r>
      <w:r w:rsidRPr="00717E02">
        <w:rPr>
          <w:rFonts w:asciiTheme="majorHAnsi" w:hAnsiTheme="majorHAnsi" w:cstheme="majorHAnsi"/>
          <w:iCs/>
          <w:sz w:val="20"/>
          <w:u w:val="single"/>
        </w:rPr>
        <w:t>č.307/2007 Z.z.</w:t>
      </w:r>
      <w:r w:rsidRPr="00717E02">
        <w:rPr>
          <w:rFonts w:asciiTheme="majorHAnsi" w:hAnsiTheme="majorHAnsi" w:cstheme="majorHAnsi"/>
          <w:sz w:val="20"/>
          <w:u w:val="single"/>
          <w:shd w:val="clear" w:color="auto" w:fill="FFFFFF"/>
        </w:rPr>
        <w:t xml:space="preserve"> a </w:t>
      </w:r>
      <w:r w:rsidRPr="00717E02">
        <w:rPr>
          <w:rFonts w:asciiTheme="majorHAnsi" w:hAnsiTheme="majorHAnsi" w:cstheme="majorHAnsi"/>
          <w:iCs/>
          <w:sz w:val="20"/>
          <w:u w:val="single"/>
        </w:rPr>
        <w:t xml:space="preserve">č.225/2012 Z.z, č. 334/2018 Z.z. </w:t>
      </w:r>
      <w:r w:rsidRPr="00717E02">
        <w:rPr>
          <w:rFonts w:asciiTheme="majorHAnsi" w:hAnsiTheme="majorHAnsi" w:cstheme="majorHAnsi"/>
          <w:b/>
          <w:bCs/>
          <w:sz w:val="20"/>
        </w:rPr>
        <w:t xml:space="preserve"> </w:t>
      </w:r>
      <w:r w:rsidRPr="00717E02">
        <w:rPr>
          <w:rFonts w:asciiTheme="majorHAnsi" w:hAnsiTheme="majorHAnsi" w:cstheme="majorHAnsi"/>
          <w:sz w:val="20"/>
        </w:rPr>
        <w:t>ktorou sa vykonávajú technické požiadavky na požiarnu bezpečnosť pri výstavbe a pri užívaní stavieb</w:t>
      </w:r>
      <w:r w:rsidRPr="00717E02">
        <w:rPr>
          <w:rFonts w:asciiTheme="majorHAnsi" w:hAnsiTheme="majorHAnsi" w:cstheme="majorHAnsi"/>
          <w:kern w:val="1"/>
          <w:sz w:val="20"/>
        </w:rPr>
        <w:t>,</w:t>
      </w:r>
    </w:p>
    <w:p w:rsidR="00717E02" w:rsidRPr="00717E02" w:rsidRDefault="00717E02" w:rsidP="00717E02">
      <w:pPr>
        <w:rPr>
          <w:rFonts w:asciiTheme="majorHAnsi" w:hAnsiTheme="majorHAnsi" w:cstheme="majorHAnsi"/>
          <w:sz w:val="20"/>
        </w:rPr>
      </w:pPr>
      <w:r w:rsidRPr="00717E02">
        <w:rPr>
          <w:rFonts w:asciiTheme="majorHAnsi" w:hAnsiTheme="majorHAnsi" w:cstheme="majorHAnsi"/>
          <w:bCs/>
          <w:sz w:val="20"/>
          <w:u w:val="single"/>
        </w:rPr>
        <w:t>Vyhl. MV SR č.699/2004 Z.z.,</w:t>
      </w:r>
      <w:r w:rsidRPr="00717E02">
        <w:rPr>
          <w:rFonts w:asciiTheme="majorHAnsi" w:hAnsiTheme="majorHAnsi" w:cstheme="majorHAnsi"/>
          <w:bCs/>
          <w:sz w:val="20"/>
        </w:rPr>
        <w:t xml:space="preserve"> </w:t>
      </w:r>
      <w:r w:rsidRPr="00717E02">
        <w:rPr>
          <w:rFonts w:asciiTheme="majorHAnsi" w:hAnsiTheme="majorHAnsi" w:cstheme="majorHAnsi"/>
          <w:sz w:val="20"/>
        </w:rPr>
        <w:t>o zabezpečení stavieb vodou na hasenie požiarov,</w:t>
      </w:r>
    </w:p>
    <w:p w:rsidR="00717E02" w:rsidRPr="00717E02" w:rsidRDefault="00717E02" w:rsidP="00717E02">
      <w:pPr>
        <w:tabs>
          <w:tab w:val="left" w:pos="2127"/>
        </w:tabs>
        <w:rPr>
          <w:rFonts w:asciiTheme="majorHAnsi" w:hAnsiTheme="majorHAnsi" w:cstheme="majorHAnsi"/>
          <w:iCs/>
          <w:sz w:val="20"/>
        </w:rPr>
      </w:pPr>
      <w:r w:rsidRPr="00717E02">
        <w:rPr>
          <w:rFonts w:asciiTheme="majorHAnsi" w:hAnsiTheme="majorHAnsi" w:cstheme="majorHAnsi"/>
          <w:bCs/>
          <w:iCs/>
          <w:sz w:val="20"/>
          <w:u w:val="single"/>
        </w:rPr>
        <w:t>STN 92 0201-1</w:t>
      </w:r>
      <w:r w:rsidRPr="00717E02">
        <w:rPr>
          <w:rFonts w:asciiTheme="majorHAnsi" w:hAnsiTheme="majorHAnsi" w:cstheme="majorHAnsi"/>
          <w:bCs/>
          <w:iCs/>
          <w:sz w:val="20"/>
        </w:rPr>
        <w:t xml:space="preserve">  </w:t>
      </w:r>
      <w:r w:rsidRPr="00717E02">
        <w:rPr>
          <w:rFonts w:asciiTheme="majorHAnsi" w:hAnsiTheme="majorHAnsi" w:cstheme="majorHAnsi"/>
          <w:iCs/>
          <w:sz w:val="20"/>
        </w:rPr>
        <w:t>Požiarna bezpečnosť stavieb. Spoločné ustanovenia. Časť 1 : Požiarne riziko, veľkosť požiarneho úseku,</w:t>
      </w:r>
    </w:p>
    <w:p w:rsidR="00717E02" w:rsidRPr="00717E02" w:rsidRDefault="00717E02" w:rsidP="00717E02">
      <w:pPr>
        <w:rPr>
          <w:rFonts w:asciiTheme="majorHAnsi" w:hAnsiTheme="majorHAnsi" w:cstheme="majorHAnsi"/>
          <w:sz w:val="20"/>
        </w:rPr>
      </w:pPr>
      <w:bookmarkStart w:id="12" w:name="_Hlk2255179"/>
      <w:r w:rsidRPr="00717E02">
        <w:rPr>
          <w:rFonts w:asciiTheme="majorHAnsi" w:hAnsiTheme="majorHAnsi" w:cstheme="majorHAnsi"/>
          <w:sz w:val="20"/>
          <w:u w:val="single"/>
        </w:rPr>
        <w:t>Vyhl. MV SR č.401/2007 Z.z.</w:t>
      </w:r>
      <w:r w:rsidRPr="00717E02">
        <w:rPr>
          <w:rFonts w:asciiTheme="majorHAnsi" w:hAnsiTheme="majorHAnsi" w:cstheme="majorHAnsi"/>
          <w:sz w:val="20"/>
        </w:rPr>
        <w:t xml:space="preserve"> o technických podmienkach a požiadavkách na protipožiarnu bezpečnosť pri inštalácii a prevádzkovaní palivového spotrebiča, eletrotepelného spotrebiča a zariadenia ústredného vykurovania a pri výstavbe a pri používaní komína a dymovodu a o lehotách ich čistenia a vykonávania kontrol,</w:t>
      </w:r>
    </w:p>
    <w:bookmarkEnd w:id="12"/>
    <w:p w:rsidR="00717E02" w:rsidRPr="00717E02" w:rsidRDefault="00717E02" w:rsidP="00717E02">
      <w:pPr>
        <w:rPr>
          <w:rFonts w:asciiTheme="majorHAnsi" w:hAnsiTheme="majorHAnsi" w:cstheme="majorHAnsi"/>
          <w:iCs/>
          <w:sz w:val="20"/>
        </w:rPr>
      </w:pPr>
      <w:r w:rsidRPr="00717E02">
        <w:rPr>
          <w:rFonts w:asciiTheme="majorHAnsi" w:hAnsiTheme="majorHAnsi" w:cstheme="majorHAnsi"/>
          <w:bCs/>
          <w:iCs/>
          <w:sz w:val="20"/>
          <w:u w:val="single"/>
        </w:rPr>
        <w:t>STN 92 0201-2</w:t>
      </w:r>
      <w:r w:rsidRPr="00717E02">
        <w:rPr>
          <w:rFonts w:asciiTheme="majorHAnsi" w:hAnsiTheme="majorHAnsi" w:cstheme="majorHAnsi"/>
          <w:bCs/>
          <w:iCs/>
          <w:sz w:val="20"/>
        </w:rPr>
        <w:t xml:space="preserve">   </w:t>
      </w:r>
      <w:r w:rsidRPr="00717E02">
        <w:rPr>
          <w:rFonts w:asciiTheme="majorHAnsi" w:hAnsiTheme="majorHAnsi" w:cstheme="majorHAnsi"/>
          <w:iCs/>
          <w:sz w:val="20"/>
        </w:rPr>
        <w:t>Požiarna bezpečnosť stavieb. Spoločné ustanovenia. Časť 2 : Stavebné konštrukcie,</w:t>
      </w:r>
    </w:p>
    <w:p w:rsidR="00717E02" w:rsidRPr="00717E02" w:rsidRDefault="00717E02" w:rsidP="00717E02">
      <w:pPr>
        <w:rPr>
          <w:rFonts w:asciiTheme="majorHAnsi" w:hAnsiTheme="majorHAnsi" w:cstheme="majorHAnsi"/>
          <w:iCs/>
          <w:sz w:val="20"/>
        </w:rPr>
      </w:pPr>
      <w:r w:rsidRPr="00717E02">
        <w:rPr>
          <w:rFonts w:asciiTheme="majorHAnsi" w:hAnsiTheme="majorHAnsi" w:cstheme="majorHAnsi"/>
          <w:bCs/>
          <w:iCs/>
          <w:sz w:val="20"/>
          <w:u w:val="single"/>
        </w:rPr>
        <w:t>STN 92 0201-3</w:t>
      </w:r>
      <w:r w:rsidRPr="00717E02">
        <w:rPr>
          <w:rFonts w:asciiTheme="majorHAnsi" w:hAnsiTheme="majorHAnsi" w:cstheme="majorHAnsi"/>
          <w:bCs/>
          <w:iCs/>
          <w:sz w:val="20"/>
        </w:rPr>
        <w:t xml:space="preserve">   </w:t>
      </w:r>
      <w:r w:rsidRPr="00717E02">
        <w:rPr>
          <w:rFonts w:asciiTheme="majorHAnsi" w:hAnsiTheme="majorHAnsi" w:cstheme="majorHAnsi"/>
          <w:iCs/>
          <w:sz w:val="20"/>
        </w:rPr>
        <w:t>Požiarna bezpečnosť stavieb. Spoločné ustanovenia. Časť 3 : Únikové cesty a evakuácia osôb,</w:t>
      </w:r>
    </w:p>
    <w:p w:rsidR="00717E02" w:rsidRPr="00717E02" w:rsidRDefault="00717E02" w:rsidP="00717E02">
      <w:pPr>
        <w:rPr>
          <w:rFonts w:asciiTheme="majorHAnsi" w:hAnsiTheme="majorHAnsi" w:cstheme="majorHAnsi"/>
          <w:iCs/>
          <w:sz w:val="20"/>
        </w:rPr>
      </w:pPr>
      <w:r w:rsidRPr="00717E02">
        <w:rPr>
          <w:rFonts w:asciiTheme="majorHAnsi" w:hAnsiTheme="majorHAnsi" w:cstheme="majorHAnsi"/>
          <w:bCs/>
          <w:iCs/>
          <w:sz w:val="20"/>
          <w:u w:val="single"/>
        </w:rPr>
        <w:t>STN 92 0201-4</w:t>
      </w:r>
      <w:r w:rsidRPr="00717E02">
        <w:rPr>
          <w:rFonts w:asciiTheme="majorHAnsi" w:hAnsiTheme="majorHAnsi" w:cstheme="majorHAnsi"/>
          <w:bCs/>
          <w:iCs/>
          <w:sz w:val="20"/>
        </w:rPr>
        <w:t xml:space="preserve">   </w:t>
      </w:r>
      <w:r w:rsidRPr="00717E02">
        <w:rPr>
          <w:rFonts w:asciiTheme="majorHAnsi" w:hAnsiTheme="majorHAnsi" w:cstheme="majorHAnsi"/>
          <w:iCs/>
          <w:sz w:val="20"/>
        </w:rPr>
        <w:t>Požiarna bezpečnosť stavieb. Spoločné ustanovenia. Časť 4 : Odstupové vzdialenosti,</w:t>
      </w:r>
    </w:p>
    <w:p w:rsidR="00717E02" w:rsidRPr="00717E02" w:rsidRDefault="00717E02" w:rsidP="00717E02">
      <w:pPr>
        <w:rPr>
          <w:rFonts w:asciiTheme="majorHAnsi" w:hAnsiTheme="majorHAnsi" w:cstheme="majorHAnsi"/>
          <w:sz w:val="20"/>
        </w:rPr>
      </w:pPr>
      <w:r w:rsidRPr="00717E02">
        <w:rPr>
          <w:rFonts w:asciiTheme="majorHAnsi" w:hAnsiTheme="majorHAnsi" w:cstheme="majorHAnsi"/>
          <w:bCs/>
          <w:sz w:val="20"/>
          <w:u w:val="single"/>
        </w:rPr>
        <w:t xml:space="preserve">STN 92 02 41 </w:t>
      </w:r>
      <w:r w:rsidRPr="00717E02">
        <w:rPr>
          <w:rFonts w:asciiTheme="majorHAnsi" w:hAnsiTheme="majorHAnsi" w:cstheme="majorHAnsi"/>
          <w:bCs/>
          <w:sz w:val="20"/>
        </w:rPr>
        <w:t xml:space="preserve">  </w:t>
      </w:r>
      <w:r w:rsidRPr="00717E02">
        <w:rPr>
          <w:rFonts w:asciiTheme="majorHAnsi" w:hAnsiTheme="majorHAnsi" w:cstheme="majorHAnsi"/>
          <w:sz w:val="20"/>
        </w:rPr>
        <w:t>Požiarna bezpečnosť stavieb</w:t>
      </w:r>
      <w:r w:rsidRPr="00717E02">
        <w:rPr>
          <w:rFonts w:asciiTheme="majorHAnsi" w:hAnsiTheme="majorHAnsi" w:cstheme="majorHAnsi"/>
          <w:bCs/>
          <w:sz w:val="20"/>
        </w:rPr>
        <w:t xml:space="preserve"> / </w:t>
      </w:r>
      <w:r w:rsidRPr="00717E02">
        <w:rPr>
          <w:rFonts w:asciiTheme="majorHAnsi" w:hAnsiTheme="majorHAnsi" w:cstheme="majorHAnsi"/>
          <w:sz w:val="20"/>
        </w:rPr>
        <w:t>Obsadenie objektov osobami,</w:t>
      </w:r>
    </w:p>
    <w:p w:rsidR="00717E02" w:rsidRPr="00717E02" w:rsidRDefault="00717E02" w:rsidP="00717E02">
      <w:pPr>
        <w:rPr>
          <w:rFonts w:asciiTheme="majorHAnsi" w:hAnsiTheme="majorHAnsi" w:cstheme="majorHAnsi"/>
          <w:sz w:val="20"/>
        </w:rPr>
      </w:pPr>
      <w:r w:rsidRPr="00717E02">
        <w:rPr>
          <w:rFonts w:asciiTheme="majorHAnsi" w:hAnsiTheme="majorHAnsi" w:cstheme="majorHAnsi"/>
          <w:bCs/>
          <w:iCs/>
          <w:sz w:val="20"/>
          <w:u w:val="single"/>
        </w:rPr>
        <w:t>STN 92 0400</w:t>
      </w:r>
      <w:r w:rsidRPr="00717E02">
        <w:rPr>
          <w:rFonts w:asciiTheme="majorHAnsi" w:hAnsiTheme="majorHAnsi" w:cstheme="majorHAnsi"/>
          <w:bCs/>
          <w:iCs/>
          <w:sz w:val="20"/>
        </w:rPr>
        <w:tab/>
      </w:r>
      <w:r w:rsidRPr="00717E02">
        <w:rPr>
          <w:rFonts w:asciiTheme="majorHAnsi" w:hAnsiTheme="majorHAnsi" w:cstheme="majorHAnsi"/>
          <w:iCs/>
          <w:sz w:val="20"/>
        </w:rPr>
        <w:t>Požiarna bezpečnosť stavieb. Zásobovanie vodou na hasenie požiarov,</w:t>
      </w:r>
    </w:p>
    <w:p w:rsidR="00717E02" w:rsidRPr="00717E02" w:rsidRDefault="00717E02" w:rsidP="00717E02">
      <w:pPr>
        <w:rPr>
          <w:rFonts w:asciiTheme="majorHAnsi" w:hAnsiTheme="majorHAnsi" w:cstheme="majorHAnsi"/>
          <w:sz w:val="20"/>
        </w:rPr>
      </w:pPr>
      <w:r w:rsidRPr="00717E02">
        <w:rPr>
          <w:rFonts w:asciiTheme="majorHAnsi" w:hAnsiTheme="majorHAnsi" w:cstheme="majorHAnsi"/>
          <w:bCs/>
          <w:iCs/>
          <w:sz w:val="20"/>
          <w:u w:val="single"/>
        </w:rPr>
        <w:t>STN  92 0202-1</w:t>
      </w:r>
      <w:r w:rsidRPr="00717E02">
        <w:rPr>
          <w:rFonts w:asciiTheme="majorHAnsi" w:hAnsiTheme="majorHAnsi" w:cstheme="majorHAnsi"/>
          <w:b/>
          <w:bCs/>
          <w:iCs/>
          <w:sz w:val="20"/>
        </w:rPr>
        <w:t xml:space="preserve"> </w:t>
      </w:r>
      <w:r w:rsidRPr="00717E02">
        <w:rPr>
          <w:rFonts w:asciiTheme="majorHAnsi" w:hAnsiTheme="majorHAnsi" w:cstheme="majorHAnsi"/>
          <w:iCs/>
          <w:sz w:val="20"/>
        </w:rPr>
        <w:t>Požiarna bezpečnosť stavieb. Vybavovanie stavieb hasiacimi prístrojmi.</w:t>
      </w:r>
      <w:r w:rsidRPr="00717E02">
        <w:rPr>
          <w:rFonts w:asciiTheme="majorHAnsi" w:hAnsiTheme="majorHAnsi" w:cstheme="majorHAnsi"/>
          <w:sz w:val="20"/>
        </w:rPr>
        <w:t xml:space="preserve"> </w:t>
      </w:r>
    </w:p>
    <w:p w:rsidR="00717E02" w:rsidRPr="00717E02" w:rsidRDefault="00717E02" w:rsidP="00717E02">
      <w:pPr>
        <w:rPr>
          <w:rFonts w:asciiTheme="majorHAnsi" w:hAnsiTheme="majorHAnsi" w:cstheme="majorHAnsi"/>
          <w:sz w:val="20"/>
        </w:rPr>
      </w:pPr>
    </w:p>
    <w:p w:rsidR="00717E02" w:rsidRPr="00717E02" w:rsidRDefault="00717E02" w:rsidP="00717E02">
      <w:pPr>
        <w:ind w:firstLine="708"/>
        <w:rPr>
          <w:rFonts w:asciiTheme="majorHAnsi" w:hAnsiTheme="majorHAnsi" w:cstheme="majorHAnsi"/>
          <w:sz w:val="20"/>
        </w:rPr>
      </w:pPr>
      <w:r w:rsidRPr="00717E02">
        <w:rPr>
          <w:rFonts w:asciiTheme="majorHAnsi" w:hAnsiTheme="majorHAnsi" w:cstheme="majorHAnsi"/>
          <w:sz w:val="20"/>
        </w:rPr>
        <w:t>Projektová  dokumentácia protipožiarnej bezpečnosti stavby je vypracovaná v súlade s citovanými STN a predpismi. Preventívne opatrenia požiarnej ochrany musí zabezpečovať majiteľ a užívateľ v zmysle príslušných vyhlášok a smerníc. Upozorňujem, že v prípade zmeny dispozície, účelu využitia, zmeny stavebných konštrukcií, technických zariadení, požiarnych uzáverov, materiálov a pod. je nutné opätovné preriešenie projektu špecialistom požiarnej ochrany.</w:t>
      </w:r>
    </w:p>
    <w:p w:rsidR="00B473D2" w:rsidRPr="000D00F5" w:rsidRDefault="00B473D2" w:rsidP="00B473D2">
      <w:pPr>
        <w:autoSpaceDE w:val="0"/>
        <w:autoSpaceDN w:val="0"/>
        <w:adjustRightInd w:val="0"/>
        <w:jc w:val="both"/>
        <w:rPr>
          <w:rFonts w:ascii="Calibri" w:hAnsi="Calibri" w:cs="Calibri"/>
          <w:b/>
          <w:iCs/>
          <w:sz w:val="24"/>
          <w:highlight w:val="lightGray"/>
        </w:rPr>
      </w:pPr>
    </w:p>
    <w:p w:rsidR="00B473D2" w:rsidRPr="000D00F5" w:rsidRDefault="00B473D2" w:rsidP="00B473D2">
      <w:pPr>
        <w:autoSpaceDE w:val="0"/>
        <w:autoSpaceDN w:val="0"/>
        <w:adjustRightInd w:val="0"/>
        <w:jc w:val="both"/>
        <w:rPr>
          <w:rFonts w:ascii="Calibri" w:hAnsi="Calibri" w:cs="Calibri"/>
          <w:b/>
          <w:iCs/>
          <w:sz w:val="24"/>
          <w:highlight w:val="lightGray"/>
        </w:rPr>
      </w:pPr>
    </w:p>
    <w:p w:rsidR="009371A4" w:rsidRPr="00964D77" w:rsidRDefault="009371A4" w:rsidP="009371A4">
      <w:pPr>
        <w:autoSpaceDE w:val="0"/>
        <w:autoSpaceDN w:val="0"/>
        <w:adjustRightInd w:val="0"/>
        <w:jc w:val="both"/>
        <w:rPr>
          <w:rFonts w:ascii="Calibri" w:hAnsi="Calibri" w:cs="Calibri"/>
          <w:b/>
          <w:iCs/>
          <w:sz w:val="20"/>
        </w:rPr>
      </w:pPr>
      <w:r w:rsidRPr="00964D77">
        <w:rPr>
          <w:rFonts w:ascii="Calibri" w:hAnsi="Calibri" w:cs="Calibri"/>
          <w:b/>
          <w:iCs/>
          <w:sz w:val="24"/>
        </w:rPr>
        <w:t>PROTIPOŽIARNA BEZPEČNOSŤ STAVBY ( SO 03 )</w:t>
      </w:r>
    </w:p>
    <w:p w:rsidR="00B473D2" w:rsidRPr="000D00F5" w:rsidRDefault="00B473D2" w:rsidP="00B473D2">
      <w:pPr>
        <w:autoSpaceDE w:val="0"/>
        <w:autoSpaceDN w:val="0"/>
        <w:adjustRightInd w:val="0"/>
        <w:jc w:val="both"/>
        <w:rPr>
          <w:rFonts w:ascii="Calibri" w:hAnsi="Calibri" w:cs="Calibri"/>
          <w:b/>
          <w:iCs/>
          <w:sz w:val="24"/>
          <w:highlight w:val="lightGray"/>
        </w:rPr>
      </w:pPr>
    </w:p>
    <w:p w:rsidR="00964D77" w:rsidRPr="00964D77" w:rsidRDefault="00964D77" w:rsidP="00964D77">
      <w:pPr>
        <w:ind w:firstLine="576"/>
        <w:rPr>
          <w:rFonts w:asciiTheme="majorHAnsi" w:hAnsiTheme="majorHAnsi" w:cstheme="majorHAnsi"/>
          <w:sz w:val="20"/>
        </w:rPr>
      </w:pPr>
      <w:r w:rsidRPr="00964D77">
        <w:rPr>
          <w:rFonts w:asciiTheme="majorHAnsi" w:hAnsiTheme="majorHAnsi" w:cstheme="majorHAnsi"/>
          <w:sz w:val="20"/>
        </w:rPr>
        <w:t>Predmetom riešenia protipožiarnej bezpečnosti je SO03-Hospodársky objekt (garáž sk.3 pre malotraktor, poľnohospodárske stroje).</w:t>
      </w:r>
    </w:p>
    <w:p w:rsidR="00964D77" w:rsidRPr="00964D77" w:rsidRDefault="00964D77" w:rsidP="00964D77">
      <w:pPr>
        <w:ind w:firstLine="576"/>
        <w:rPr>
          <w:rFonts w:asciiTheme="majorHAnsi" w:hAnsiTheme="majorHAnsi" w:cstheme="majorHAnsi"/>
          <w:b/>
          <w:sz w:val="20"/>
          <w:u w:val="single"/>
        </w:rPr>
      </w:pPr>
      <w:r w:rsidRPr="00964D77">
        <w:rPr>
          <w:rFonts w:asciiTheme="majorHAnsi" w:hAnsiTheme="majorHAnsi" w:cstheme="majorHAnsi"/>
          <w:b/>
          <w:sz w:val="20"/>
          <w:u w:val="single"/>
        </w:rPr>
        <w:t xml:space="preserve">Nasledovné riešenie je vypracované v rozsahu projektu stavby prikladaného k žiadosti o vydanie stavebného povolenia. </w:t>
      </w:r>
    </w:p>
    <w:p w:rsidR="00964D77" w:rsidRPr="00964D77" w:rsidRDefault="00964D77" w:rsidP="00964D77">
      <w:pPr>
        <w:ind w:firstLine="576"/>
        <w:rPr>
          <w:rFonts w:asciiTheme="majorHAnsi" w:hAnsiTheme="majorHAnsi" w:cstheme="majorHAnsi"/>
          <w:iCs/>
          <w:sz w:val="20"/>
        </w:rPr>
      </w:pPr>
      <w:r w:rsidRPr="00964D77">
        <w:rPr>
          <w:rFonts w:asciiTheme="majorHAnsi" w:hAnsiTheme="majorHAnsi" w:cstheme="majorHAnsi"/>
          <w:sz w:val="20"/>
        </w:rPr>
        <w:t xml:space="preserve"> </w:t>
      </w:r>
      <w:r w:rsidRPr="00964D77">
        <w:rPr>
          <w:rFonts w:asciiTheme="majorHAnsi" w:hAnsiTheme="majorHAnsi" w:cstheme="majorHAnsi"/>
          <w:sz w:val="20"/>
          <w:shd w:val="clear" w:color="auto" w:fill="FFFFFF"/>
        </w:rPr>
        <w:t xml:space="preserve">Riešenie protipožiarnej bezpečnosti je spracované v zmysle Vyhl. MV SR č.94/2004 Z.z. s novelami </w:t>
      </w:r>
      <w:r w:rsidRPr="00964D77">
        <w:rPr>
          <w:rFonts w:asciiTheme="majorHAnsi" w:hAnsiTheme="majorHAnsi" w:cstheme="majorHAnsi"/>
          <w:iCs/>
          <w:sz w:val="20"/>
        </w:rPr>
        <w:t>č.307/2007 Z.z.</w:t>
      </w:r>
      <w:r w:rsidRPr="00964D77">
        <w:rPr>
          <w:rFonts w:asciiTheme="majorHAnsi" w:hAnsiTheme="majorHAnsi" w:cstheme="majorHAnsi"/>
          <w:sz w:val="20"/>
          <w:shd w:val="clear" w:color="auto" w:fill="FFFFFF"/>
        </w:rPr>
        <w:t xml:space="preserve">, </w:t>
      </w:r>
      <w:r w:rsidRPr="00964D77">
        <w:rPr>
          <w:rFonts w:asciiTheme="majorHAnsi" w:hAnsiTheme="majorHAnsi" w:cstheme="majorHAnsi"/>
          <w:iCs/>
          <w:sz w:val="20"/>
        </w:rPr>
        <w:t>č.225/2012 Z.z</w:t>
      </w:r>
      <w:r w:rsidRPr="00964D77">
        <w:rPr>
          <w:rFonts w:asciiTheme="majorHAnsi" w:hAnsiTheme="majorHAnsi" w:cstheme="majorHAnsi"/>
          <w:sz w:val="20"/>
          <w:shd w:val="clear" w:color="auto" w:fill="FFFFFF"/>
        </w:rPr>
        <w:t xml:space="preserve">  a </w:t>
      </w:r>
      <w:r w:rsidRPr="00964D77">
        <w:rPr>
          <w:rFonts w:asciiTheme="majorHAnsi" w:hAnsiTheme="majorHAnsi" w:cstheme="majorHAnsi"/>
          <w:iCs/>
          <w:sz w:val="20"/>
        </w:rPr>
        <w:t>č.334/2018 Z.z</w:t>
      </w:r>
      <w:r w:rsidRPr="00964D77">
        <w:rPr>
          <w:rFonts w:asciiTheme="majorHAnsi" w:hAnsiTheme="majorHAnsi" w:cstheme="majorHAnsi"/>
          <w:sz w:val="20"/>
          <w:shd w:val="clear" w:color="auto" w:fill="FFFFFF"/>
        </w:rPr>
        <w:t xml:space="preserve"> ,  ktorou sa</w:t>
      </w:r>
      <w:r w:rsidRPr="00964D77">
        <w:rPr>
          <w:rFonts w:asciiTheme="majorHAnsi" w:hAnsiTheme="majorHAnsi" w:cstheme="majorHAnsi"/>
          <w:sz w:val="20"/>
        </w:rPr>
        <w:t xml:space="preserve"> ustanovujú technické požiadavky na protipožiarnu bezpečnosť pri výstavbe a pri užívaní stavieb</w:t>
      </w:r>
      <w:r w:rsidRPr="00964D77">
        <w:rPr>
          <w:rFonts w:asciiTheme="majorHAnsi" w:hAnsiTheme="majorHAnsi" w:cstheme="majorHAnsi"/>
          <w:iCs/>
          <w:sz w:val="20"/>
        </w:rPr>
        <w:t xml:space="preserve">, </w:t>
      </w:r>
      <w:r w:rsidRPr="00964D77">
        <w:rPr>
          <w:rFonts w:asciiTheme="majorHAnsi" w:hAnsiTheme="majorHAnsi" w:cstheme="majorHAnsi"/>
          <w:sz w:val="20"/>
        </w:rPr>
        <w:t xml:space="preserve">Vyhl. MV SR č.699/2004 Z.z. o zabezpečení stavieb vodou na hasenie požiarov, </w:t>
      </w:r>
      <w:r w:rsidRPr="00964D77">
        <w:rPr>
          <w:rFonts w:asciiTheme="majorHAnsi" w:hAnsiTheme="majorHAnsi" w:cstheme="majorHAnsi"/>
          <w:iCs/>
          <w:sz w:val="20"/>
        </w:rPr>
        <w:t xml:space="preserve">STN 92 0201-1, STN 92 0201-2, STN 92 0201-3, STN 92 0201-4, STN 92 </w:t>
      </w:r>
      <w:smartTag w:uri="urn:schemas-microsoft-com:office:smarttags" w:element="metricconverter">
        <w:smartTagPr>
          <w:attr w:name="ProductID" w:val="0400 a"/>
        </w:smartTagPr>
        <w:r w:rsidRPr="00964D77">
          <w:rPr>
            <w:rFonts w:asciiTheme="majorHAnsi" w:hAnsiTheme="majorHAnsi" w:cstheme="majorHAnsi"/>
            <w:iCs/>
            <w:sz w:val="20"/>
          </w:rPr>
          <w:t>0400 a</w:t>
        </w:r>
      </w:smartTag>
      <w:r w:rsidRPr="00964D77">
        <w:rPr>
          <w:rFonts w:asciiTheme="majorHAnsi" w:hAnsiTheme="majorHAnsi" w:cstheme="majorHAnsi"/>
          <w:iCs/>
          <w:sz w:val="20"/>
        </w:rPr>
        <w:t xml:space="preserve"> ďalších nadväzných STN z oboru ochrany pred požiarmi.</w:t>
      </w:r>
    </w:p>
    <w:p w:rsidR="00964D77" w:rsidRPr="00964D77" w:rsidRDefault="00964D77" w:rsidP="00964D77">
      <w:pPr>
        <w:ind w:firstLine="576"/>
        <w:rPr>
          <w:rFonts w:asciiTheme="majorHAnsi" w:hAnsiTheme="majorHAnsi" w:cstheme="majorHAnsi"/>
          <w:iCs/>
          <w:sz w:val="20"/>
        </w:rPr>
      </w:pPr>
    </w:p>
    <w:p w:rsidR="00964D77" w:rsidRPr="00964D77" w:rsidRDefault="00964D77" w:rsidP="00964D77">
      <w:pPr>
        <w:contextualSpacing/>
        <w:rPr>
          <w:rFonts w:asciiTheme="majorHAnsi" w:hAnsiTheme="majorHAnsi" w:cstheme="majorHAnsi"/>
          <w:bCs/>
          <w:sz w:val="20"/>
          <w:u w:val="single"/>
        </w:rPr>
      </w:pPr>
      <w:r w:rsidRPr="00964D77">
        <w:rPr>
          <w:rFonts w:asciiTheme="majorHAnsi" w:hAnsiTheme="majorHAnsi" w:cstheme="majorHAnsi"/>
          <w:bCs/>
          <w:sz w:val="20"/>
          <w:u w:val="single"/>
        </w:rPr>
        <w:t>Stavba je z hľadiska protipožiarnej bezpečnosti navrhnutá tak, aby v prípade vzniku požiaru :</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t xml:space="preserve">a) zostala na čas určený technickými špecifikáciami zachovaná jej nosnosť a stabilita,                                                                                                                             </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t xml:space="preserve">b) bola umožnená bezpečná evakuácia osôb z horiacej alebo požiarom </w:t>
      </w:r>
      <w:r w:rsidRPr="00964D77">
        <w:rPr>
          <w:rFonts w:asciiTheme="majorHAnsi" w:hAnsiTheme="majorHAnsi" w:cstheme="majorHAnsi"/>
          <w:sz w:val="20"/>
        </w:rPr>
        <w:br/>
        <w:t xml:space="preserve">    ohrozenej stavby na voľné priestranstvo alebo do iného požiarom neohrozeného </w:t>
      </w:r>
      <w:r w:rsidRPr="00964D77">
        <w:rPr>
          <w:rFonts w:asciiTheme="majorHAnsi" w:hAnsiTheme="majorHAnsi" w:cstheme="majorHAnsi"/>
          <w:sz w:val="20"/>
        </w:rPr>
        <w:br/>
        <w:t xml:space="preserve">    priestoru,                                                                                                                                          </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t xml:space="preserve">c) sa zabránilo šíreniu požiaru a dymu medzi jednotlivými požiarnymi úsekmi vnútri </w:t>
      </w:r>
      <w:r w:rsidRPr="00964D77">
        <w:rPr>
          <w:rFonts w:asciiTheme="majorHAnsi" w:hAnsiTheme="majorHAnsi" w:cstheme="majorHAnsi"/>
          <w:sz w:val="20"/>
        </w:rPr>
        <w:br/>
        <w:t xml:space="preserve">    stavby alebo na inú stavbu,</w:t>
      </w:r>
      <w:r w:rsidRPr="00964D77">
        <w:rPr>
          <w:rFonts w:asciiTheme="majorHAnsi" w:hAnsiTheme="majorHAnsi" w:cstheme="majorHAnsi"/>
          <w:sz w:val="20"/>
        </w:rPr>
        <w:br/>
        <w:t>d) bol umožnený odvod splodín horenia mimo stavby,</w:t>
      </w:r>
    </w:p>
    <w:p w:rsidR="00964D77" w:rsidRPr="00964D77" w:rsidRDefault="00964D77" w:rsidP="00964D77">
      <w:pPr>
        <w:rPr>
          <w:rFonts w:asciiTheme="majorHAnsi" w:hAnsiTheme="majorHAnsi" w:cstheme="majorHAnsi"/>
          <w:sz w:val="20"/>
        </w:rPr>
      </w:pPr>
      <w:r w:rsidRPr="00964D77">
        <w:rPr>
          <w:rFonts w:asciiTheme="majorHAnsi" w:hAnsiTheme="majorHAnsi" w:cstheme="majorHAnsi"/>
          <w:sz w:val="20"/>
        </w:rPr>
        <w:t xml:space="preserve">e) bol umožnený účinný a bezpečný zásah jednotky požiarnej ochrany pri zdolávaní </w:t>
      </w:r>
      <w:r w:rsidRPr="00964D77">
        <w:rPr>
          <w:rFonts w:asciiTheme="majorHAnsi" w:hAnsiTheme="majorHAnsi" w:cstheme="majorHAnsi"/>
          <w:sz w:val="20"/>
        </w:rPr>
        <w:br/>
        <w:t xml:space="preserve">    požiaru a vykonávaní záchranných prác.</w:t>
      </w:r>
    </w:p>
    <w:p w:rsidR="00964D77" w:rsidRPr="00964D77" w:rsidRDefault="00964D77" w:rsidP="00964D77">
      <w:pPr>
        <w:contextualSpacing/>
        <w:rPr>
          <w:rFonts w:asciiTheme="majorHAnsi" w:hAnsiTheme="majorHAnsi" w:cstheme="majorHAnsi"/>
          <w:sz w:val="20"/>
        </w:rPr>
      </w:pPr>
    </w:p>
    <w:p w:rsidR="00964D77" w:rsidRPr="00964D77" w:rsidRDefault="00964D77" w:rsidP="00964D77">
      <w:pPr>
        <w:contextualSpacing/>
        <w:rPr>
          <w:rFonts w:asciiTheme="majorHAnsi" w:hAnsiTheme="majorHAnsi" w:cstheme="majorHAnsi"/>
          <w:sz w:val="20"/>
          <w:u w:val="single"/>
        </w:rPr>
      </w:pPr>
      <w:r w:rsidRPr="00964D77">
        <w:rPr>
          <w:rFonts w:asciiTheme="majorHAnsi" w:hAnsiTheme="majorHAnsi" w:cstheme="majorHAnsi"/>
          <w:sz w:val="20"/>
          <w:u w:val="single"/>
        </w:rPr>
        <w:t>Riešenie požiarnej bezpečnosti obsahuje :</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lastRenderedPageBreak/>
        <w:t>a) členenie stavby na požiarne úseky</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t>b) určenie požiarneho rizika</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t>c) určenie požiadaviek na konštrukcie stavby</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t>d) zabezpečenie evakuácie osôb</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t>e) určenie požiadaviek na únikové cesty</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t>f) určenie odstupových vzdialeností</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t>g) určenie požiarnobezpečnostných opatrení</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t>h) určenie zariadení na zásah</w:t>
      </w:r>
    </w:p>
    <w:p w:rsidR="00964D77" w:rsidRPr="00964D77" w:rsidRDefault="00964D77" w:rsidP="00964D77">
      <w:pPr>
        <w:contextualSpacing/>
        <w:rPr>
          <w:rFonts w:asciiTheme="majorHAnsi" w:hAnsiTheme="majorHAnsi" w:cstheme="majorHAnsi"/>
          <w:b/>
          <w:sz w:val="20"/>
        </w:rPr>
      </w:pPr>
    </w:p>
    <w:p w:rsidR="00964D77" w:rsidRPr="00964D77" w:rsidRDefault="00964D77" w:rsidP="00964D77">
      <w:pPr>
        <w:contextualSpacing/>
        <w:rPr>
          <w:rFonts w:asciiTheme="majorHAnsi" w:hAnsiTheme="majorHAnsi" w:cstheme="majorHAnsi"/>
          <w:b/>
          <w:sz w:val="20"/>
        </w:rPr>
      </w:pPr>
      <w:r w:rsidRPr="00964D77">
        <w:rPr>
          <w:rFonts w:asciiTheme="majorHAnsi" w:hAnsiTheme="majorHAnsi" w:cstheme="majorHAnsi"/>
          <w:b/>
          <w:sz w:val="20"/>
        </w:rPr>
        <w:t>SO03 HOSPODÁRSKY OBJEKT</w:t>
      </w:r>
    </w:p>
    <w:p w:rsidR="00964D77" w:rsidRPr="00964D77" w:rsidRDefault="00964D77" w:rsidP="00964D77">
      <w:pPr>
        <w:contextualSpacing/>
        <w:rPr>
          <w:rFonts w:asciiTheme="majorHAnsi" w:hAnsiTheme="majorHAnsi" w:cstheme="majorHAnsi"/>
          <w:b/>
          <w:sz w:val="20"/>
        </w:rPr>
      </w:pPr>
      <w:r w:rsidRPr="00964D77">
        <w:rPr>
          <w:rFonts w:asciiTheme="majorHAnsi" w:hAnsiTheme="majorHAnsi" w:cstheme="majorHAnsi"/>
          <w:b/>
          <w:sz w:val="20"/>
        </w:rPr>
        <w:t xml:space="preserve">Konštrukčné a dispozičné riešenie </w:t>
      </w:r>
    </w:p>
    <w:p w:rsidR="00964D77" w:rsidRPr="00964D77" w:rsidRDefault="00964D77" w:rsidP="00964D77">
      <w:pPr>
        <w:contextualSpacing/>
        <w:rPr>
          <w:rFonts w:asciiTheme="majorHAnsi" w:hAnsiTheme="majorHAnsi" w:cstheme="majorHAnsi"/>
          <w:b/>
          <w:sz w:val="20"/>
        </w:rPr>
      </w:pP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objekt je navrhovaný ako jednopodlažný</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 xml:space="preserve">hlavný vstup do stavby je cez garáž pre poľnohospodárske stroje  m.č. 1.24 </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v stavbe sú navrhnuté nasledovné miestnosti- garáž pre poľn. stroje (malotraktor, príves, stroj na mulčovanie, stroj na postreky, kultivátor, kombinovaný stroj), príručný sklad na chemikálie (budú v ňom uložené iba potreky na vinič- nehorľavé v prepravných obaloch do 1l/bal napr. Chitopron, nehorľavé roztoky hnojiva v prepravných obaloch napr. do 1l/bal napr.Cuprotonic, Imunofol, Ferrumoil, Boroil, Power of-K a nehorľavé hnojivá v prepravných obaloch 1kg/bal napr. Trifender), sklad pre fotovoltaické batérie (5,53m2), príručný sklad odpadov</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 xml:space="preserve">nosný systém tvoria obvodové nosné steny a oceľové stĺpy </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obvodové steny sú navrhnuté z debniacich tvárnic a bez zateplenia</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priečky sú murované z debniacich tvárnic hr. 150mm</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povrchovú úpravu tvorí obvodových stien zo strany exteriéru  tvorí drevený obklad hr. 25mm na kovovej podkonštrukcii</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podlahy sú navrhnuté ako betónové</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objekt je zastrešený šikmou sedlovou strechou, ktorej nosnú konštrukciu tvorí drevená krokvová sústava,  zo spodnej strany strechy  je navrhnutý podhľad tvorený cetris doskami</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na krokvách je navrhnutý záklop z cetris dosiek, na ktorom je latovanie a kontralatovanie z pozinkovaných profilov</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 xml:space="preserve">strešná krytina je navrhnutá ako drevený obklad a na celej juhozápadnej strane strechy je navrhnuté umiestnenie slnečných kolektorov namiesto drevenej krytiny </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strecha je navrhnutá bez zateplenia</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 xml:space="preserve">nad m.č. 1.25, 1.26, 1.27 je navrhnutá železobetónová stropná doska </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 xml:space="preserve">v streche nie sú navrhované strešné okná </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 xml:space="preserve">výška stavby je cca. 5,93m od najnižšej úrovne terénu, stavba je navrhnutá ako polozapustená z troch strán </w:t>
      </w:r>
    </w:p>
    <w:p w:rsidR="00964D77" w:rsidRPr="00964D77" w:rsidRDefault="00964D77" w:rsidP="00964D77">
      <w:pPr>
        <w:numPr>
          <w:ilvl w:val="0"/>
          <w:numId w:val="9"/>
        </w:numPr>
        <w:suppressAutoHyphens/>
        <w:spacing w:line="0" w:lineRule="atLeast"/>
        <w:contextualSpacing/>
        <w:rPr>
          <w:rFonts w:asciiTheme="majorHAnsi" w:hAnsiTheme="majorHAnsi" w:cstheme="majorHAnsi"/>
          <w:sz w:val="20"/>
        </w:rPr>
      </w:pPr>
      <w:r w:rsidRPr="00964D77">
        <w:rPr>
          <w:rFonts w:asciiTheme="majorHAnsi" w:hAnsiTheme="majorHAnsi" w:cstheme="majorHAnsi"/>
          <w:sz w:val="20"/>
        </w:rPr>
        <w:t xml:space="preserve">pôdorysné  rozmery objektu sú 15,35m x 5,8m </w:t>
      </w:r>
    </w:p>
    <w:p w:rsidR="00964D77" w:rsidRPr="00964D77" w:rsidRDefault="00964D77" w:rsidP="00964D77">
      <w:pPr>
        <w:spacing w:line="0" w:lineRule="atLeast"/>
        <w:rPr>
          <w:rFonts w:asciiTheme="majorHAnsi" w:hAnsiTheme="majorHAnsi" w:cstheme="majorHAnsi"/>
          <w:b/>
          <w:sz w:val="20"/>
        </w:rPr>
      </w:pPr>
    </w:p>
    <w:p w:rsidR="00A16A0B" w:rsidRDefault="00A16A0B">
      <w:pPr>
        <w:rPr>
          <w:rFonts w:asciiTheme="majorHAnsi" w:hAnsiTheme="majorHAnsi" w:cstheme="majorHAnsi"/>
          <w:b/>
          <w:sz w:val="20"/>
        </w:rPr>
      </w:pPr>
      <w:r>
        <w:rPr>
          <w:rFonts w:asciiTheme="majorHAnsi" w:hAnsiTheme="majorHAnsi" w:cstheme="majorHAnsi"/>
          <w:b/>
          <w:sz w:val="20"/>
        </w:rPr>
        <w:br w:type="page"/>
      </w:r>
    </w:p>
    <w:p w:rsidR="00964D77" w:rsidRPr="00964D77" w:rsidRDefault="00964D77" w:rsidP="00964D77">
      <w:pPr>
        <w:spacing w:line="0" w:lineRule="atLeast"/>
        <w:rPr>
          <w:rFonts w:asciiTheme="majorHAnsi" w:hAnsiTheme="majorHAnsi" w:cstheme="majorHAnsi"/>
          <w:b/>
          <w:sz w:val="20"/>
        </w:rPr>
      </w:pPr>
      <w:r w:rsidRPr="00964D77">
        <w:rPr>
          <w:rFonts w:asciiTheme="majorHAnsi" w:hAnsiTheme="majorHAnsi" w:cstheme="majorHAnsi"/>
          <w:b/>
          <w:sz w:val="20"/>
        </w:rPr>
        <w:lastRenderedPageBreak/>
        <w:t xml:space="preserve">Riešenie protipožiarnej bezpečnosti </w:t>
      </w:r>
    </w:p>
    <w:p w:rsidR="00964D77" w:rsidRPr="00964D77" w:rsidRDefault="00964D77" w:rsidP="00964D77">
      <w:pPr>
        <w:spacing w:line="0" w:lineRule="atLeast"/>
        <w:ind w:firstLine="720"/>
        <w:contextualSpacing/>
        <w:rPr>
          <w:rFonts w:asciiTheme="majorHAnsi" w:hAnsiTheme="majorHAnsi" w:cstheme="majorHAnsi"/>
          <w:sz w:val="20"/>
        </w:rPr>
      </w:pPr>
    </w:p>
    <w:p w:rsidR="00964D77" w:rsidRPr="00964D77" w:rsidRDefault="00964D77" w:rsidP="00964D77">
      <w:pPr>
        <w:spacing w:line="0" w:lineRule="atLeast"/>
        <w:ind w:firstLine="720"/>
        <w:contextualSpacing/>
        <w:rPr>
          <w:rFonts w:asciiTheme="majorHAnsi" w:hAnsiTheme="majorHAnsi" w:cstheme="majorHAnsi"/>
          <w:sz w:val="20"/>
        </w:rPr>
      </w:pPr>
      <w:r w:rsidRPr="00964D77">
        <w:rPr>
          <w:rFonts w:asciiTheme="majorHAnsi" w:hAnsiTheme="majorHAnsi" w:cstheme="majorHAnsi"/>
          <w:sz w:val="20"/>
        </w:rPr>
        <w:t>Riešenie protipožiarnej bezpečnosti je vykonané podľa Vyhl. MV SR č. 94/2004 Z.z.</w:t>
      </w:r>
      <w:r w:rsidRPr="00964D77">
        <w:rPr>
          <w:rFonts w:asciiTheme="majorHAnsi" w:hAnsiTheme="majorHAnsi" w:cstheme="majorHAnsi"/>
          <w:sz w:val="20"/>
          <w:shd w:val="clear" w:color="auto" w:fill="FFFFFF"/>
        </w:rPr>
        <w:t xml:space="preserve"> s novelami </w:t>
      </w:r>
      <w:r w:rsidRPr="00964D77">
        <w:rPr>
          <w:rFonts w:asciiTheme="majorHAnsi" w:hAnsiTheme="majorHAnsi" w:cstheme="majorHAnsi"/>
          <w:iCs/>
          <w:sz w:val="20"/>
        </w:rPr>
        <w:t>č.307/2007 Z.z.</w:t>
      </w:r>
      <w:r w:rsidRPr="00964D77">
        <w:rPr>
          <w:rFonts w:asciiTheme="majorHAnsi" w:hAnsiTheme="majorHAnsi" w:cstheme="majorHAnsi"/>
          <w:sz w:val="20"/>
          <w:shd w:val="clear" w:color="auto" w:fill="FFFFFF"/>
        </w:rPr>
        <w:t xml:space="preserve"> a </w:t>
      </w:r>
      <w:r w:rsidRPr="00964D77">
        <w:rPr>
          <w:rFonts w:asciiTheme="majorHAnsi" w:hAnsiTheme="majorHAnsi" w:cstheme="majorHAnsi"/>
          <w:iCs/>
          <w:sz w:val="20"/>
        </w:rPr>
        <w:t>č.225/2012 Z.z a</w:t>
      </w:r>
      <w:r w:rsidRPr="00964D77">
        <w:rPr>
          <w:rFonts w:asciiTheme="majorHAnsi" w:hAnsiTheme="majorHAnsi" w:cstheme="majorHAnsi"/>
          <w:sz w:val="20"/>
        </w:rPr>
        <w:t xml:space="preserve"> </w:t>
      </w:r>
      <w:r w:rsidRPr="00964D77">
        <w:rPr>
          <w:rFonts w:asciiTheme="majorHAnsi" w:hAnsiTheme="majorHAnsi" w:cstheme="majorHAnsi"/>
          <w:iCs/>
          <w:sz w:val="20"/>
        </w:rPr>
        <w:t>č.334/2018 Z.z</w:t>
      </w:r>
      <w:r w:rsidRPr="00964D77">
        <w:rPr>
          <w:rFonts w:asciiTheme="majorHAnsi" w:hAnsiTheme="majorHAnsi" w:cstheme="majorHAnsi"/>
          <w:sz w:val="20"/>
          <w:shd w:val="clear" w:color="auto" w:fill="FFFFFF"/>
        </w:rPr>
        <w:t xml:space="preserve">, </w:t>
      </w:r>
      <w:r w:rsidRPr="00964D77">
        <w:rPr>
          <w:rFonts w:asciiTheme="majorHAnsi" w:hAnsiTheme="majorHAnsi" w:cstheme="majorHAnsi"/>
          <w:sz w:val="20"/>
        </w:rPr>
        <w:t xml:space="preserve">v nadväznosti na STN 92 0201-1 až 4. </w:t>
      </w:r>
    </w:p>
    <w:p w:rsidR="00964D77" w:rsidRPr="00964D77" w:rsidRDefault="00964D77" w:rsidP="00964D77">
      <w:pPr>
        <w:ind w:firstLine="708"/>
        <w:contextualSpacing/>
        <w:rPr>
          <w:rFonts w:asciiTheme="majorHAnsi" w:hAnsiTheme="majorHAnsi" w:cstheme="majorHAnsi"/>
          <w:sz w:val="20"/>
        </w:rPr>
      </w:pPr>
      <w:r w:rsidRPr="00964D77">
        <w:rPr>
          <w:rFonts w:asciiTheme="majorHAnsi" w:hAnsiTheme="majorHAnsi" w:cstheme="majorHAnsi"/>
          <w:sz w:val="20"/>
        </w:rPr>
        <w:t xml:space="preserve">Stavebný objekt má podľa § 5, § 7ods. 3  vyhl. MV SR č. 94/2004 Z.z jedno nadzemné požiarne podlažie. Prvé nadzemné požiarne podlažie sa nachádza na výškovej  úrovni  0,0m, Požiarna výška stavby  je 0m. </w:t>
      </w:r>
    </w:p>
    <w:p w:rsidR="00964D77" w:rsidRPr="00964D77" w:rsidRDefault="00964D77" w:rsidP="00964D77">
      <w:pPr>
        <w:contextualSpacing/>
        <w:rPr>
          <w:rFonts w:asciiTheme="majorHAnsi" w:hAnsiTheme="majorHAnsi" w:cstheme="majorHAnsi"/>
          <w:sz w:val="20"/>
          <w:highlight w:val="yellow"/>
        </w:rPr>
      </w:pPr>
    </w:p>
    <w:p w:rsidR="00964D77" w:rsidRPr="00964D77" w:rsidRDefault="00964D77" w:rsidP="00165ED7">
      <w:pPr>
        <w:pStyle w:val="Nadpis1"/>
        <w:numPr>
          <w:ilvl w:val="0"/>
          <w:numId w:val="3"/>
        </w:numPr>
      </w:pPr>
      <w:r w:rsidRPr="00964D77">
        <w:t>Rozdelenie stavby na požiarne úseky, požiarne riziko</w:t>
      </w:r>
    </w:p>
    <w:p w:rsidR="00964D77" w:rsidRPr="00964D77" w:rsidRDefault="00964D77" w:rsidP="00165ED7">
      <w:pPr>
        <w:pStyle w:val="Nadpis1"/>
        <w:numPr>
          <w:ilvl w:val="0"/>
          <w:numId w:val="3"/>
        </w:numPr>
      </w:pPr>
      <w:r w:rsidRPr="00964D77">
        <w:t xml:space="preserve"> </w:t>
      </w:r>
    </w:p>
    <w:p w:rsidR="00964D77" w:rsidRPr="00964D77" w:rsidRDefault="00964D77" w:rsidP="00964D77">
      <w:pPr>
        <w:spacing w:line="0" w:lineRule="atLeast"/>
        <w:ind w:firstLine="360"/>
        <w:contextualSpacing/>
        <w:rPr>
          <w:rFonts w:asciiTheme="majorHAnsi" w:hAnsiTheme="majorHAnsi" w:cstheme="majorHAnsi"/>
          <w:sz w:val="20"/>
        </w:rPr>
      </w:pPr>
      <w:r w:rsidRPr="00964D77">
        <w:rPr>
          <w:rFonts w:asciiTheme="majorHAnsi" w:hAnsiTheme="majorHAnsi" w:cstheme="majorHAnsi"/>
          <w:sz w:val="20"/>
        </w:rPr>
        <w:t>V zmysle Vyhl. MV SR č. 94/2004 Z.z. bude stavba rozdelená na nasledovné požiarne úseky (v súlade s prílohou č. 1):</w:t>
      </w:r>
    </w:p>
    <w:p w:rsidR="00964D77" w:rsidRPr="00964D77" w:rsidRDefault="00964D77" w:rsidP="00964D77">
      <w:pPr>
        <w:numPr>
          <w:ilvl w:val="0"/>
          <w:numId w:val="10"/>
        </w:numPr>
        <w:suppressAutoHyphens/>
        <w:spacing w:line="0" w:lineRule="atLeast"/>
        <w:rPr>
          <w:rFonts w:asciiTheme="majorHAnsi" w:hAnsiTheme="majorHAnsi" w:cstheme="majorHAnsi"/>
          <w:sz w:val="20"/>
        </w:rPr>
      </w:pPr>
      <w:r w:rsidRPr="00964D77">
        <w:rPr>
          <w:rFonts w:asciiTheme="majorHAnsi" w:hAnsiTheme="majorHAnsi" w:cstheme="majorHAnsi"/>
          <w:sz w:val="20"/>
        </w:rPr>
        <w:t>N1.01- samostatný požiarny úsek bude tvoriť garáž pre poľnohospodárske stroje- garáž sk.3 – Spú= 59,84m2</w:t>
      </w:r>
    </w:p>
    <w:p w:rsidR="00964D77" w:rsidRPr="00964D77" w:rsidRDefault="00964D77" w:rsidP="00964D77">
      <w:pPr>
        <w:numPr>
          <w:ilvl w:val="0"/>
          <w:numId w:val="10"/>
        </w:numPr>
        <w:suppressAutoHyphens/>
        <w:spacing w:line="0" w:lineRule="atLeast"/>
        <w:rPr>
          <w:rFonts w:asciiTheme="majorHAnsi" w:hAnsiTheme="majorHAnsi" w:cstheme="majorHAnsi"/>
          <w:sz w:val="20"/>
        </w:rPr>
      </w:pPr>
      <w:r w:rsidRPr="00964D77">
        <w:rPr>
          <w:rFonts w:asciiTheme="majorHAnsi" w:hAnsiTheme="majorHAnsi" w:cstheme="majorHAnsi"/>
          <w:sz w:val="20"/>
        </w:rPr>
        <w:t>N1.02- príručný sklad  pre chemikálie- pre postreky na vinič – Spú=5,53m2</w:t>
      </w:r>
    </w:p>
    <w:p w:rsidR="00964D77" w:rsidRPr="00964D77" w:rsidRDefault="00964D77" w:rsidP="00964D77">
      <w:pPr>
        <w:numPr>
          <w:ilvl w:val="0"/>
          <w:numId w:val="10"/>
        </w:numPr>
        <w:suppressAutoHyphens/>
        <w:spacing w:line="0" w:lineRule="atLeast"/>
        <w:rPr>
          <w:rFonts w:asciiTheme="majorHAnsi" w:hAnsiTheme="majorHAnsi" w:cstheme="majorHAnsi"/>
          <w:sz w:val="20"/>
        </w:rPr>
      </w:pPr>
      <w:r w:rsidRPr="00964D77">
        <w:rPr>
          <w:rFonts w:asciiTheme="majorHAnsi" w:hAnsiTheme="majorHAnsi" w:cstheme="majorHAnsi"/>
          <w:sz w:val="20"/>
        </w:rPr>
        <w:t>N1.03- sklad pre batérie- fotovoltaika   (hlavný zdroj el. energie) – Spú=5,53m2</w:t>
      </w:r>
    </w:p>
    <w:p w:rsidR="00964D77" w:rsidRPr="00964D77" w:rsidRDefault="00964D77" w:rsidP="00964D77">
      <w:pPr>
        <w:numPr>
          <w:ilvl w:val="0"/>
          <w:numId w:val="10"/>
        </w:numPr>
        <w:suppressAutoHyphens/>
        <w:spacing w:line="0" w:lineRule="atLeast"/>
        <w:rPr>
          <w:rFonts w:asciiTheme="majorHAnsi" w:hAnsiTheme="majorHAnsi" w:cstheme="majorHAnsi"/>
          <w:sz w:val="20"/>
        </w:rPr>
      </w:pPr>
      <w:r w:rsidRPr="00964D77">
        <w:rPr>
          <w:rFonts w:asciiTheme="majorHAnsi" w:hAnsiTheme="majorHAnsi" w:cstheme="majorHAnsi"/>
          <w:sz w:val="20"/>
        </w:rPr>
        <w:t>N1.04- príručný sklad pre odpad– Spú=4,17m2</w:t>
      </w:r>
    </w:p>
    <w:p w:rsidR="00964D77" w:rsidRPr="00964D77" w:rsidRDefault="00964D77" w:rsidP="00964D77">
      <w:pPr>
        <w:pBdr>
          <w:bottom w:val="single" w:sz="4" w:space="1" w:color="000000"/>
        </w:pBdr>
        <w:rPr>
          <w:rFonts w:asciiTheme="majorHAnsi" w:hAnsiTheme="majorHAnsi" w:cstheme="majorHAnsi"/>
          <w:sz w:val="20"/>
        </w:rPr>
      </w:pPr>
      <w:r w:rsidRPr="00964D77">
        <w:rPr>
          <w:rFonts w:asciiTheme="majorHAnsi" w:hAnsiTheme="majorHAnsi" w:cstheme="majorHAnsi"/>
          <w:sz w:val="20"/>
        </w:rPr>
        <w:tab/>
        <w:t>Dovolená plocha požiarnych  úsekov sa neposudzuje, nakoľko ich plocha je menšia ako 300m2 v zmysle § 4 ods. 2 vyhlášky MV 94/2004 Z.z..</w:t>
      </w:r>
    </w:p>
    <w:p w:rsidR="00964D77" w:rsidRPr="00964D77" w:rsidRDefault="00964D77" w:rsidP="00964D77">
      <w:pPr>
        <w:pBdr>
          <w:bottom w:val="single" w:sz="4" w:space="1" w:color="000000"/>
        </w:pBdr>
        <w:tabs>
          <w:tab w:val="left" w:pos="2835"/>
        </w:tabs>
        <w:rPr>
          <w:rFonts w:asciiTheme="majorHAnsi" w:hAnsiTheme="majorHAnsi" w:cstheme="majorHAnsi"/>
          <w:sz w:val="20"/>
          <w:shd w:val="clear" w:color="auto" w:fill="FFFFFF"/>
        </w:rPr>
      </w:pPr>
    </w:p>
    <w:p w:rsidR="00964D77" w:rsidRPr="00964D77" w:rsidRDefault="00964D77" w:rsidP="00964D77">
      <w:pPr>
        <w:pBdr>
          <w:bottom w:val="single" w:sz="4" w:space="1" w:color="000000"/>
        </w:pBdr>
        <w:tabs>
          <w:tab w:val="left" w:pos="2835"/>
        </w:tabs>
        <w:rPr>
          <w:rFonts w:asciiTheme="majorHAnsi" w:hAnsiTheme="majorHAnsi" w:cstheme="majorHAnsi"/>
          <w:sz w:val="20"/>
          <w:shd w:val="clear" w:color="auto" w:fill="FFFFFF"/>
        </w:rPr>
      </w:pPr>
      <w:r w:rsidRPr="00964D77">
        <w:rPr>
          <w:rFonts w:asciiTheme="majorHAnsi" w:hAnsiTheme="majorHAnsi" w:cstheme="majorHAnsi"/>
          <w:sz w:val="20"/>
          <w:shd w:val="clear" w:color="auto" w:fill="FFFFFF"/>
        </w:rPr>
        <w:t>Prehľad požiarnych úsekov (predbežne stanovené hodnoty, budú upresnené v ďaľšom stupni projektu) :</w:t>
      </w:r>
    </w:p>
    <w:p w:rsidR="00964D77" w:rsidRPr="00964D77" w:rsidRDefault="00964D77" w:rsidP="00964D77">
      <w:pPr>
        <w:tabs>
          <w:tab w:val="left" w:pos="2835"/>
        </w:tabs>
        <w:ind w:left="2977" w:hanging="2977"/>
        <w:contextualSpacing/>
        <w:rPr>
          <w:rFonts w:asciiTheme="majorHAnsi" w:hAnsiTheme="majorHAnsi" w:cstheme="majorHAnsi"/>
          <w:color w:val="000000"/>
          <w:sz w:val="20"/>
          <w:shd w:val="clear" w:color="auto" w:fill="FFFFFF"/>
        </w:rPr>
      </w:pPr>
      <w:r w:rsidRPr="00964D77">
        <w:rPr>
          <w:rFonts w:asciiTheme="majorHAnsi" w:hAnsiTheme="majorHAnsi" w:cstheme="majorHAnsi"/>
          <w:color w:val="000000"/>
          <w:sz w:val="20"/>
          <w:shd w:val="clear" w:color="auto" w:fill="FFFFFF"/>
        </w:rPr>
        <w:t xml:space="preserve">Požiarny úsek </w:t>
      </w:r>
      <w:r w:rsidRPr="00964D77">
        <w:rPr>
          <w:rFonts w:asciiTheme="majorHAnsi" w:hAnsiTheme="majorHAnsi" w:cstheme="majorHAnsi"/>
          <w:b/>
          <w:bCs/>
          <w:color w:val="000000"/>
          <w:sz w:val="20"/>
          <w:shd w:val="clear" w:color="auto" w:fill="FFFFFF"/>
        </w:rPr>
        <w:t>N1.01:</w:t>
      </w:r>
      <w:r w:rsidRPr="00964D77">
        <w:rPr>
          <w:rFonts w:asciiTheme="majorHAnsi" w:hAnsiTheme="majorHAnsi" w:cstheme="majorHAnsi"/>
          <w:b/>
          <w:color w:val="000000"/>
          <w:sz w:val="20"/>
          <w:shd w:val="clear" w:color="auto" w:fill="FFFFFF"/>
        </w:rPr>
        <w:tab/>
        <w:t xml:space="preserve">                </w:t>
      </w:r>
      <w:r w:rsidRPr="00964D77">
        <w:rPr>
          <w:rFonts w:asciiTheme="majorHAnsi" w:hAnsiTheme="majorHAnsi" w:cstheme="majorHAnsi"/>
          <w:sz w:val="20"/>
        </w:rPr>
        <w:t>jednopodlažný požiarny úsek (garáž sk.3 – pre poľn. stroje)</w:t>
      </w:r>
    </w:p>
    <w:p w:rsidR="00964D77" w:rsidRPr="00964D77" w:rsidRDefault="00964D77" w:rsidP="00964D77">
      <w:pPr>
        <w:tabs>
          <w:tab w:val="left" w:pos="2835"/>
        </w:tabs>
        <w:ind w:left="3600" w:hanging="3600"/>
        <w:contextualSpacing/>
        <w:rPr>
          <w:rFonts w:asciiTheme="majorHAnsi" w:hAnsiTheme="majorHAnsi" w:cstheme="majorHAnsi"/>
          <w:kern w:val="1"/>
          <w:sz w:val="20"/>
          <w:shd w:val="clear" w:color="auto" w:fill="FFFFFF"/>
          <w:vertAlign w:val="superscript"/>
        </w:rPr>
      </w:pPr>
      <w:r w:rsidRPr="00964D77">
        <w:rPr>
          <w:rFonts w:asciiTheme="majorHAnsi" w:hAnsiTheme="majorHAnsi" w:cstheme="majorHAnsi"/>
          <w:color w:val="000000"/>
          <w:sz w:val="20"/>
          <w:shd w:val="clear" w:color="auto" w:fill="FFFFFF"/>
        </w:rPr>
        <w:t>Ekvivalentný čas trvania požiaru:</w:t>
      </w:r>
      <w:r w:rsidRPr="00964D77">
        <w:rPr>
          <w:rFonts w:asciiTheme="majorHAnsi" w:hAnsiTheme="majorHAnsi" w:cstheme="majorHAnsi"/>
          <w:color w:val="000000"/>
          <w:sz w:val="20"/>
          <w:shd w:val="clear" w:color="auto" w:fill="FFFFFF"/>
        </w:rPr>
        <w:tab/>
        <w:t xml:space="preserve">                taue=45min  </w:t>
      </w:r>
      <w:r w:rsidRPr="00964D77">
        <w:rPr>
          <w:rFonts w:asciiTheme="majorHAnsi" w:hAnsiTheme="majorHAnsi" w:cstheme="majorHAnsi"/>
          <w:sz w:val="20"/>
        </w:rPr>
        <w:t xml:space="preserve">podľa prílohy L.1  STN 92 0201-1 </w:t>
      </w:r>
      <w:r w:rsidRPr="00964D77">
        <w:rPr>
          <w:rFonts w:asciiTheme="majorHAnsi" w:hAnsiTheme="majorHAnsi" w:cstheme="majorHAnsi"/>
          <w:color w:val="000000"/>
          <w:sz w:val="20"/>
          <w:shd w:val="clear" w:color="auto" w:fill="FFFFFF"/>
        </w:rPr>
        <w:t xml:space="preserve"> </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kern w:val="1"/>
          <w:sz w:val="20"/>
          <w:shd w:val="clear" w:color="auto" w:fill="FFFFFF"/>
        </w:rPr>
        <w:t>SPB:</w:t>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t xml:space="preserve">                I. SPB (</w:t>
      </w:r>
      <w:r w:rsidRPr="00964D77">
        <w:rPr>
          <w:rFonts w:asciiTheme="majorHAnsi" w:hAnsiTheme="majorHAnsi" w:cstheme="majorHAnsi"/>
          <w:sz w:val="20"/>
        </w:rPr>
        <w:t xml:space="preserve">§ 37 ods. 4, písm. a) Vyhl. MV SR č. 94/2004 Z.z., </w:t>
      </w:r>
    </w:p>
    <w:p w:rsidR="00964D77" w:rsidRPr="00964D77" w:rsidRDefault="00964D77" w:rsidP="00964D77">
      <w:pPr>
        <w:ind w:left="3545"/>
        <w:contextualSpacing/>
        <w:rPr>
          <w:rFonts w:asciiTheme="majorHAnsi" w:hAnsiTheme="majorHAnsi" w:cstheme="majorHAnsi"/>
          <w:kern w:val="1"/>
          <w:sz w:val="20"/>
          <w:shd w:val="clear" w:color="auto" w:fill="FFFFFF"/>
        </w:rPr>
      </w:pPr>
      <w:r w:rsidRPr="00964D77">
        <w:rPr>
          <w:rFonts w:asciiTheme="majorHAnsi" w:hAnsiTheme="majorHAnsi" w:cstheme="majorHAnsi"/>
          <w:sz w:val="20"/>
        </w:rPr>
        <w:t xml:space="preserve">  tab. 1 STN 920201-2, k8= 1*1,4 /2,4=0,583)</w:t>
      </w:r>
    </w:p>
    <w:p w:rsidR="00964D77" w:rsidRPr="00964D77" w:rsidRDefault="00964D77" w:rsidP="00964D77">
      <w:pPr>
        <w:pBdr>
          <w:bottom w:val="single" w:sz="4" w:space="0" w:color="000000"/>
        </w:pBdr>
        <w:tabs>
          <w:tab w:val="left" w:pos="2835"/>
        </w:tabs>
        <w:rPr>
          <w:rFonts w:asciiTheme="majorHAnsi" w:hAnsiTheme="majorHAnsi" w:cstheme="majorHAnsi"/>
          <w:color w:val="000000"/>
          <w:sz w:val="20"/>
          <w:highlight w:val="yellow"/>
          <w:shd w:val="clear" w:color="auto" w:fill="FFFFFF"/>
        </w:rPr>
      </w:pPr>
    </w:p>
    <w:p w:rsidR="00964D77" w:rsidRPr="00964D77" w:rsidRDefault="00964D77" w:rsidP="00964D77">
      <w:pPr>
        <w:tabs>
          <w:tab w:val="left" w:pos="2835"/>
        </w:tabs>
        <w:ind w:left="3545" w:hanging="3545"/>
        <w:contextualSpacing/>
        <w:rPr>
          <w:rFonts w:asciiTheme="majorHAnsi" w:hAnsiTheme="majorHAnsi" w:cstheme="majorHAnsi"/>
          <w:sz w:val="20"/>
        </w:rPr>
      </w:pPr>
      <w:r w:rsidRPr="00964D77">
        <w:rPr>
          <w:rFonts w:asciiTheme="majorHAnsi" w:hAnsiTheme="majorHAnsi" w:cstheme="majorHAnsi"/>
          <w:color w:val="000000"/>
          <w:sz w:val="20"/>
          <w:shd w:val="clear" w:color="auto" w:fill="FFFFFF"/>
        </w:rPr>
        <w:t xml:space="preserve">Požiarny úsek </w:t>
      </w:r>
      <w:r w:rsidRPr="00964D77">
        <w:rPr>
          <w:rFonts w:asciiTheme="majorHAnsi" w:hAnsiTheme="majorHAnsi" w:cstheme="majorHAnsi"/>
          <w:b/>
          <w:bCs/>
          <w:color w:val="000000"/>
          <w:sz w:val="20"/>
          <w:shd w:val="clear" w:color="auto" w:fill="FFFFFF"/>
        </w:rPr>
        <w:t>N1.02:</w:t>
      </w:r>
      <w:r w:rsidRPr="00964D77">
        <w:rPr>
          <w:rFonts w:asciiTheme="majorHAnsi" w:hAnsiTheme="majorHAnsi" w:cstheme="majorHAnsi"/>
          <w:b/>
          <w:color w:val="000000"/>
          <w:sz w:val="20"/>
          <w:shd w:val="clear" w:color="auto" w:fill="FFFFFF"/>
        </w:rPr>
        <w:tab/>
        <w:t xml:space="preserve">                </w:t>
      </w:r>
      <w:r w:rsidRPr="00964D77">
        <w:rPr>
          <w:rFonts w:asciiTheme="majorHAnsi" w:hAnsiTheme="majorHAnsi" w:cstheme="majorHAnsi"/>
          <w:sz w:val="20"/>
        </w:rPr>
        <w:t xml:space="preserve">príručný sklad  pre chemikálie </w:t>
      </w:r>
    </w:p>
    <w:p w:rsidR="00964D77" w:rsidRPr="00964D77" w:rsidRDefault="00964D77" w:rsidP="00964D77">
      <w:pPr>
        <w:tabs>
          <w:tab w:val="left" w:pos="2835"/>
        </w:tabs>
        <w:ind w:left="3545" w:hanging="3545"/>
        <w:contextualSpacing/>
        <w:rPr>
          <w:rFonts w:asciiTheme="majorHAnsi" w:hAnsiTheme="majorHAnsi" w:cstheme="majorHAnsi"/>
          <w:color w:val="000000"/>
          <w:sz w:val="20"/>
          <w:shd w:val="clear" w:color="auto" w:fill="FFFFFF"/>
        </w:rPr>
      </w:pPr>
      <w:r w:rsidRPr="00964D77">
        <w:rPr>
          <w:rFonts w:asciiTheme="majorHAnsi" w:hAnsiTheme="majorHAnsi" w:cstheme="majorHAnsi"/>
          <w:sz w:val="20"/>
        </w:rPr>
        <w:tab/>
      </w:r>
      <w:r w:rsidRPr="00964D77">
        <w:rPr>
          <w:rFonts w:asciiTheme="majorHAnsi" w:hAnsiTheme="majorHAnsi" w:cstheme="majorHAnsi"/>
          <w:sz w:val="20"/>
        </w:rPr>
        <w:tab/>
        <w:t xml:space="preserve">   (nehorľavé kvapaliny- postreky pre vinič, roztoky hnojiva, nehorľavé  hnojivá-  nebudú v ňom uložené horľavé kvapaliny ani horľavé plyny)</w:t>
      </w:r>
    </w:p>
    <w:p w:rsidR="00964D77" w:rsidRPr="00964D77" w:rsidRDefault="00964D77" w:rsidP="00964D77">
      <w:pPr>
        <w:tabs>
          <w:tab w:val="left" w:pos="2835"/>
        </w:tabs>
        <w:ind w:left="3600" w:hanging="3600"/>
        <w:contextualSpacing/>
        <w:rPr>
          <w:rFonts w:asciiTheme="majorHAnsi" w:hAnsiTheme="majorHAnsi" w:cstheme="majorHAnsi"/>
          <w:kern w:val="1"/>
          <w:sz w:val="20"/>
          <w:shd w:val="clear" w:color="auto" w:fill="FFFFFF"/>
          <w:vertAlign w:val="superscript"/>
        </w:rPr>
      </w:pPr>
      <w:r w:rsidRPr="00964D77">
        <w:rPr>
          <w:rFonts w:asciiTheme="majorHAnsi" w:hAnsiTheme="majorHAnsi" w:cstheme="majorHAnsi"/>
          <w:color w:val="000000"/>
          <w:sz w:val="20"/>
          <w:shd w:val="clear" w:color="auto" w:fill="FFFFFF"/>
        </w:rPr>
        <w:t>Ekvivalentný čas trvania požiaru:</w:t>
      </w:r>
      <w:r w:rsidRPr="00964D77">
        <w:rPr>
          <w:rFonts w:asciiTheme="majorHAnsi" w:hAnsiTheme="majorHAnsi" w:cstheme="majorHAnsi"/>
          <w:color w:val="000000"/>
          <w:sz w:val="20"/>
          <w:shd w:val="clear" w:color="auto" w:fill="FFFFFF"/>
        </w:rPr>
        <w:tab/>
        <w:t xml:space="preserve">               taue=44min  (stanovené výpočtom v súlade s STN 920201-1)</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kern w:val="1"/>
          <w:sz w:val="20"/>
          <w:shd w:val="clear" w:color="auto" w:fill="FFFFFF"/>
        </w:rPr>
        <w:t>SPB:</w:t>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t xml:space="preserve">                I. SPB (</w:t>
      </w:r>
      <w:r w:rsidRPr="00964D77">
        <w:rPr>
          <w:rFonts w:asciiTheme="majorHAnsi" w:hAnsiTheme="majorHAnsi" w:cstheme="majorHAnsi"/>
          <w:sz w:val="20"/>
        </w:rPr>
        <w:t xml:space="preserve">§ 37 ods. 4, písm. a) Vyhl. MV SR č. 94/2004 Z.z., </w:t>
      </w:r>
    </w:p>
    <w:p w:rsidR="00964D77" w:rsidRPr="00964D77" w:rsidRDefault="00964D77" w:rsidP="00964D77">
      <w:pPr>
        <w:ind w:left="3545"/>
        <w:contextualSpacing/>
        <w:rPr>
          <w:rFonts w:asciiTheme="majorHAnsi" w:hAnsiTheme="majorHAnsi" w:cstheme="majorHAnsi"/>
          <w:kern w:val="1"/>
          <w:sz w:val="20"/>
          <w:shd w:val="clear" w:color="auto" w:fill="FFFFFF"/>
        </w:rPr>
      </w:pPr>
      <w:r w:rsidRPr="00964D77">
        <w:rPr>
          <w:rFonts w:asciiTheme="majorHAnsi" w:hAnsiTheme="majorHAnsi" w:cstheme="majorHAnsi"/>
          <w:sz w:val="20"/>
        </w:rPr>
        <w:t xml:space="preserve">  tab. 1 STN 920201-2,  k8= 1*1,4 /2,4=0,583)</w:t>
      </w:r>
    </w:p>
    <w:p w:rsidR="00964D77" w:rsidRPr="00964D77" w:rsidRDefault="00964D77" w:rsidP="00964D77">
      <w:pPr>
        <w:pBdr>
          <w:bottom w:val="single" w:sz="4" w:space="0" w:color="000000"/>
        </w:pBdr>
        <w:tabs>
          <w:tab w:val="left" w:pos="2835"/>
        </w:tabs>
        <w:rPr>
          <w:rFonts w:asciiTheme="majorHAnsi" w:hAnsiTheme="majorHAnsi" w:cstheme="majorHAnsi"/>
          <w:color w:val="000000"/>
          <w:sz w:val="20"/>
          <w:shd w:val="clear" w:color="auto" w:fill="FFFFFF"/>
        </w:rPr>
      </w:pPr>
    </w:p>
    <w:p w:rsidR="00964D77" w:rsidRPr="00964D77" w:rsidRDefault="00964D77" w:rsidP="00165ED7">
      <w:pPr>
        <w:pStyle w:val="Nadpis1"/>
      </w:pPr>
      <w:r w:rsidRPr="00964D77">
        <w:rPr>
          <w:shd w:val="clear" w:color="auto" w:fill="FFFFFF"/>
        </w:rPr>
        <w:t>Požiarny úsek N1.03:</w:t>
      </w:r>
      <w:r w:rsidRPr="00964D77">
        <w:rPr>
          <w:shd w:val="clear" w:color="auto" w:fill="FFFFFF"/>
        </w:rPr>
        <w:tab/>
        <w:t xml:space="preserve">                            </w:t>
      </w:r>
      <w:r w:rsidRPr="00964D77">
        <w:t xml:space="preserve">sklad pre  batérie- fotovoltaika   </w:t>
      </w:r>
    </w:p>
    <w:p w:rsidR="00964D77" w:rsidRPr="00964D77" w:rsidRDefault="00964D77" w:rsidP="00964D77">
      <w:pPr>
        <w:tabs>
          <w:tab w:val="left" w:pos="2835"/>
        </w:tabs>
        <w:ind w:left="3600" w:hanging="3600"/>
        <w:contextualSpacing/>
        <w:rPr>
          <w:rFonts w:asciiTheme="majorHAnsi" w:hAnsiTheme="majorHAnsi" w:cstheme="majorHAnsi"/>
          <w:kern w:val="1"/>
          <w:sz w:val="20"/>
          <w:shd w:val="clear" w:color="auto" w:fill="FFFFFF"/>
          <w:vertAlign w:val="superscript"/>
        </w:rPr>
      </w:pPr>
      <w:r w:rsidRPr="00964D77">
        <w:rPr>
          <w:rFonts w:asciiTheme="majorHAnsi" w:hAnsiTheme="majorHAnsi" w:cstheme="majorHAnsi"/>
          <w:color w:val="000000"/>
          <w:sz w:val="20"/>
          <w:shd w:val="clear" w:color="auto" w:fill="FFFFFF"/>
        </w:rPr>
        <w:t>Ekvivalentný čas trvania požiaru:</w:t>
      </w:r>
      <w:r w:rsidRPr="00964D77">
        <w:rPr>
          <w:rFonts w:asciiTheme="majorHAnsi" w:hAnsiTheme="majorHAnsi" w:cstheme="majorHAnsi"/>
          <w:color w:val="000000"/>
          <w:sz w:val="20"/>
          <w:shd w:val="clear" w:color="auto" w:fill="FFFFFF"/>
        </w:rPr>
        <w:tab/>
        <w:t xml:space="preserve">               taue=35min </w:t>
      </w:r>
      <w:r w:rsidRPr="00964D77">
        <w:rPr>
          <w:rFonts w:asciiTheme="majorHAnsi" w:hAnsiTheme="majorHAnsi" w:cstheme="majorHAnsi"/>
          <w:sz w:val="20"/>
        </w:rPr>
        <w:t xml:space="preserve">podľa prílohy L.1  STN 92 0201-1 </w:t>
      </w:r>
      <w:r w:rsidRPr="00964D77">
        <w:rPr>
          <w:rFonts w:asciiTheme="majorHAnsi" w:hAnsiTheme="majorHAnsi" w:cstheme="majorHAnsi"/>
          <w:color w:val="000000"/>
          <w:sz w:val="20"/>
          <w:shd w:val="clear" w:color="auto" w:fill="FFFFFF"/>
        </w:rPr>
        <w:t xml:space="preserve"> </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kern w:val="1"/>
          <w:sz w:val="20"/>
          <w:shd w:val="clear" w:color="auto" w:fill="FFFFFF"/>
        </w:rPr>
        <w:t>SPB:</w:t>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t xml:space="preserve">                I. SPB (</w:t>
      </w:r>
      <w:r w:rsidRPr="00964D77">
        <w:rPr>
          <w:rFonts w:asciiTheme="majorHAnsi" w:hAnsiTheme="majorHAnsi" w:cstheme="majorHAnsi"/>
          <w:sz w:val="20"/>
        </w:rPr>
        <w:t xml:space="preserve">§ 37 ods. 4, písm. a) Vyhl. MV SR č. 94/2004 Z.z., </w:t>
      </w:r>
    </w:p>
    <w:p w:rsidR="00964D77" w:rsidRPr="00964D77" w:rsidRDefault="00964D77" w:rsidP="00964D77">
      <w:pPr>
        <w:ind w:left="3545"/>
        <w:contextualSpacing/>
        <w:rPr>
          <w:rFonts w:asciiTheme="majorHAnsi" w:hAnsiTheme="majorHAnsi" w:cstheme="majorHAnsi"/>
          <w:kern w:val="1"/>
          <w:sz w:val="20"/>
          <w:shd w:val="clear" w:color="auto" w:fill="FFFFFF"/>
        </w:rPr>
      </w:pPr>
      <w:r w:rsidRPr="00964D77">
        <w:rPr>
          <w:rFonts w:asciiTheme="majorHAnsi" w:hAnsiTheme="majorHAnsi" w:cstheme="majorHAnsi"/>
          <w:sz w:val="20"/>
        </w:rPr>
        <w:t xml:space="preserve">  tab. 1 STN 920201-2, k8= 1*1,4 /2,4=0,583)</w:t>
      </w:r>
    </w:p>
    <w:p w:rsidR="00964D77" w:rsidRPr="00964D77" w:rsidRDefault="00964D77" w:rsidP="00964D77">
      <w:pPr>
        <w:pBdr>
          <w:bottom w:val="single" w:sz="4" w:space="0" w:color="000000"/>
        </w:pBdr>
        <w:tabs>
          <w:tab w:val="left" w:pos="2835"/>
        </w:tabs>
        <w:rPr>
          <w:rFonts w:asciiTheme="majorHAnsi" w:hAnsiTheme="majorHAnsi" w:cstheme="majorHAnsi"/>
          <w:color w:val="000000"/>
          <w:sz w:val="20"/>
          <w:shd w:val="clear" w:color="auto" w:fill="FFFFFF"/>
        </w:rPr>
      </w:pPr>
    </w:p>
    <w:p w:rsidR="00964D77" w:rsidRPr="00964D77" w:rsidRDefault="00964D77" w:rsidP="00165ED7">
      <w:pPr>
        <w:pStyle w:val="Nadpis1"/>
      </w:pPr>
      <w:r w:rsidRPr="00964D77">
        <w:rPr>
          <w:shd w:val="clear" w:color="auto" w:fill="FFFFFF"/>
        </w:rPr>
        <w:t>Požiarny úsek N1.04:</w:t>
      </w:r>
      <w:r w:rsidRPr="00964D77">
        <w:rPr>
          <w:shd w:val="clear" w:color="auto" w:fill="FFFFFF"/>
        </w:rPr>
        <w:tab/>
        <w:t xml:space="preserve">                            </w:t>
      </w:r>
      <w:r w:rsidRPr="00964D77">
        <w:t xml:space="preserve">príručný sklad pre odpad   </w:t>
      </w:r>
    </w:p>
    <w:p w:rsidR="00964D77" w:rsidRPr="00964D77" w:rsidRDefault="00964D77" w:rsidP="00964D77">
      <w:pPr>
        <w:tabs>
          <w:tab w:val="left" w:pos="2835"/>
        </w:tabs>
        <w:ind w:left="3600" w:hanging="3600"/>
        <w:contextualSpacing/>
        <w:rPr>
          <w:rFonts w:asciiTheme="majorHAnsi" w:hAnsiTheme="majorHAnsi" w:cstheme="majorHAnsi"/>
          <w:kern w:val="1"/>
          <w:sz w:val="20"/>
          <w:shd w:val="clear" w:color="auto" w:fill="FFFFFF"/>
          <w:vertAlign w:val="superscript"/>
        </w:rPr>
      </w:pPr>
      <w:r w:rsidRPr="00964D77">
        <w:rPr>
          <w:rFonts w:asciiTheme="majorHAnsi" w:hAnsiTheme="majorHAnsi" w:cstheme="majorHAnsi"/>
          <w:color w:val="000000"/>
          <w:sz w:val="20"/>
          <w:shd w:val="clear" w:color="auto" w:fill="FFFFFF"/>
        </w:rPr>
        <w:t>Ekvivalentný čas trvania požiaru:</w:t>
      </w:r>
      <w:r w:rsidRPr="00964D77">
        <w:rPr>
          <w:rFonts w:asciiTheme="majorHAnsi" w:hAnsiTheme="majorHAnsi" w:cstheme="majorHAnsi"/>
          <w:color w:val="000000"/>
          <w:sz w:val="20"/>
          <w:shd w:val="clear" w:color="auto" w:fill="FFFFFF"/>
        </w:rPr>
        <w:tab/>
        <w:t xml:space="preserve">               taue=54 min (stanovené výpočtom v súlade s STN 920201-1)</w:t>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kern w:val="1"/>
          <w:sz w:val="20"/>
          <w:shd w:val="clear" w:color="auto" w:fill="FFFFFF"/>
        </w:rPr>
        <w:t>SPB:</w:t>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r>
      <w:r w:rsidRPr="00964D77">
        <w:rPr>
          <w:rFonts w:asciiTheme="majorHAnsi" w:hAnsiTheme="majorHAnsi" w:cstheme="majorHAnsi"/>
          <w:kern w:val="1"/>
          <w:sz w:val="20"/>
          <w:shd w:val="clear" w:color="auto" w:fill="FFFFFF"/>
        </w:rPr>
        <w:tab/>
        <w:t xml:space="preserve">                I. SPB (</w:t>
      </w:r>
      <w:r w:rsidRPr="00964D77">
        <w:rPr>
          <w:rFonts w:asciiTheme="majorHAnsi" w:hAnsiTheme="majorHAnsi" w:cstheme="majorHAnsi"/>
          <w:sz w:val="20"/>
        </w:rPr>
        <w:t xml:space="preserve">§ 37 ods. 4, písm. a) Vyhl. MV SR č. 94/2004 Z.z., </w:t>
      </w:r>
    </w:p>
    <w:p w:rsidR="00964D77" w:rsidRPr="00964D77" w:rsidRDefault="00964D77" w:rsidP="00964D77">
      <w:pPr>
        <w:ind w:left="3545"/>
        <w:contextualSpacing/>
        <w:rPr>
          <w:rFonts w:asciiTheme="majorHAnsi" w:hAnsiTheme="majorHAnsi" w:cstheme="majorHAnsi"/>
          <w:kern w:val="1"/>
          <w:sz w:val="20"/>
          <w:shd w:val="clear" w:color="auto" w:fill="FFFFFF"/>
        </w:rPr>
      </w:pPr>
      <w:r w:rsidRPr="00964D77">
        <w:rPr>
          <w:rFonts w:asciiTheme="majorHAnsi" w:hAnsiTheme="majorHAnsi" w:cstheme="majorHAnsi"/>
          <w:sz w:val="20"/>
        </w:rPr>
        <w:t xml:space="preserve">  tab. 1 STN 920201-2, k8= 1*1,4 /2,4=0,583)</w:t>
      </w:r>
    </w:p>
    <w:p w:rsidR="00964D77" w:rsidRPr="00964D77" w:rsidRDefault="00964D77" w:rsidP="00964D77">
      <w:pPr>
        <w:pBdr>
          <w:bottom w:val="single" w:sz="4" w:space="0" w:color="000000"/>
        </w:pBdr>
        <w:tabs>
          <w:tab w:val="left" w:pos="2835"/>
        </w:tabs>
        <w:rPr>
          <w:rFonts w:asciiTheme="majorHAnsi" w:hAnsiTheme="majorHAnsi" w:cstheme="majorHAnsi"/>
          <w:color w:val="000000"/>
          <w:sz w:val="20"/>
          <w:shd w:val="clear" w:color="auto" w:fill="FFFFFF"/>
        </w:rPr>
      </w:pPr>
    </w:p>
    <w:p w:rsidR="00964D77" w:rsidRPr="00964D77" w:rsidRDefault="00964D77" w:rsidP="00165ED7">
      <w:pPr>
        <w:pStyle w:val="Nadpis1"/>
      </w:pPr>
      <w:r w:rsidRPr="00964D77">
        <w:tab/>
      </w:r>
    </w:p>
    <w:p w:rsidR="00964D77" w:rsidRPr="00964D77" w:rsidRDefault="00964D77" w:rsidP="00964D77">
      <w:pPr>
        <w:contextualSpacing/>
        <w:rPr>
          <w:rFonts w:asciiTheme="majorHAnsi" w:hAnsiTheme="majorHAnsi" w:cstheme="majorHAnsi"/>
          <w:sz w:val="20"/>
        </w:rPr>
      </w:pPr>
      <w:r w:rsidRPr="00964D77">
        <w:rPr>
          <w:rFonts w:asciiTheme="majorHAnsi" w:hAnsiTheme="majorHAnsi" w:cstheme="majorHAnsi"/>
          <w:sz w:val="20"/>
        </w:rPr>
        <w:tab/>
        <w:t xml:space="preserve">Požiarne riziko PÚ  je vyjadrené ekvivalentným časom trvania požiaru stanoveným v súlade s </w:t>
      </w:r>
      <w:r w:rsidRPr="00964D77">
        <w:rPr>
          <w:rFonts w:asciiTheme="majorHAnsi" w:hAnsiTheme="majorHAnsi" w:cstheme="majorHAnsi"/>
          <w:bCs/>
          <w:sz w:val="20"/>
        </w:rPr>
        <w:t>§ 21, ods. 1 Vyhl. MV SR č. 94/2004 Z.z</w:t>
      </w:r>
      <w:r w:rsidRPr="00964D77">
        <w:rPr>
          <w:rFonts w:asciiTheme="majorHAnsi" w:hAnsiTheme="majorHAnsi" w:cstheme="majorHAnsi"/>
          <w:sz w:val="20"/>
        </w:rPr>
        <w:t xml:space="preserve">.,a  čl 3.5.2 v STN 920201-1 a v súlade s </w:t>
      </w:r>
      <w:r w:rsidRPr="00964D77">
        <w:rPr>
          <w:rFonts w:asciiTheme="majorHAnsi" w:hAnsiTheme="majorHAnsi" w:cstheme="majorHAnsi"/>
          <w:bCs/>
          <w:sz w:val="20"/>
        </w:rPr>
        <w:t>§ 1, ods.k  Vyhl. MV SR č. 94/2004 Z.z</w:t>
      </w:r>
      <w:r w:rsidRPr="00964D77">
        <w:rPr>
          <w:rFonts w:asciiTheme="majorHAnsi" w:hAnsiTheme="majorHAnsi" w:cstheme="majorHAnsi"/>
          <w:sz w:val="20"/>
        </w:rPr>
        <w:t xml:space="preserve">.. </w:t>
      </w:r>
    </w:p>
    <w:p w:rsidR="00964D77" w:rsidRPr="00964D77" w:rsidRDefault="00964D77" w:rsidP="00165ED7">
      <w:pPr>
        <w:pStyle w:val="Nadpis1"/>
      </w:pPr>
    </w:p>
    <w:p w:rsidR="00964D77" w:rsidRPr="00964D77" w:rsidRDefault="00964D77" w:rsidP="00165ED7">
      <w:pPr>
        <w:pStyle w:val="Nadpis1"/>
        <w:numPr>
          <w:ilvl w:val="0"/>
          <w:numId w:val="3"/>
        </w:numPr>
      </w:pPr>
      <w:r w:rsidRPr="00964D77">
        <w:t xml:space="preserve">Požiarna odolnosť stavebných konštrukcií </w:t>
      </w:r>
    </w:p>
    <w:p w:rsidR="00964D77" w:rsidRPr="00964D77" w:rsidRDefault="00964D77" w:rsidP="00964D77">
      <w:pPr>
        <w:rPr>
          <w:rFonts w:asciiTheme="majorHAnsi" w:hAnsiTheme="majorHAnsi" w:cstheme="majorHAnsi"/>
          <w:sz w:val="20"/>
        </w:rPr>
      </w:pPr>
    </w:p>
    <w:p w:rsidR="00964D77" w:rsidRPr="00964D77" w:rsidRDefault="00964D77" w:rsidP="00964D77">
      <w:pPr>
        <w:ind w:firstLine="708"/>
        <w:contextualSpacing/>
        <w:rPr>
          <w:rFonts w:asciiTheme="majorHAnsi" w:hAnsiTheme="majorHAnsi" w:cstheme="majorHAnsi"/>
          <w:sz w:val="20"/>
          <w:lang w:eastAsia="cs-CZ"/>
        </w:rPr>
      </w:pPr>
      <w:r w:rsidRPr="00964D77">
        <w:rPr>
          <w:rFonts w:asciiTheme="majorHAnsi" w:hAnsiTheme="majorHAnsi" w:cstheme="majorHAnsi"/>
          <w:sz w:val="20"/>
          <w:lang w:eastAsia="cs-CZ"/>
        </w:rPr>
        <w:t xml:space="preserve">Stavebný objekt  bude tvoriť zmiešaný  konštrukčný celok v súlade s </w:t>
      </w:r>
      <w:r w:rsidRPr="00964D77">
        <w:rPr>
          <w:rFonts w:asciiTheme="majorHAnsi" w:hAnsiTheme="majorHAnsi" w:cstheme="majorHAnsi"/>
          <w:bCs/>
          <w:sz w:val="20"/>
        </w:rPr>
        <w:t>§ 13, ods. 4a Vyhl. MV SR č. 94/2004 Z.z</w:t>
      </w:r>
      <w:r w:rsidRPr="00964D77">
        <w:rPr>
          <w:rFonts w:asciiTheme="majorHAnsi" w:hAnsiTheme="majorHAnsi" w:cstheme="majorHAnsi"/>
          <w:sz w:val="20"/>
        </w:rPr>
        <w:t>. Požiarne úseky sú zaradené do I. stupňa protipožiarnej bezpečnosti.</w:t>
      </w:r>
    </w:p>
    <w:p w:rsidR="00964D77" w:rsidRPr="00964D77" w:rsidRDefault="00964D77" w:rsidP="00964D77">
      <w:pPr>
        <w:ind w:firstLine="708"/>
        <w:contextualSpacing/>
        <w:rPr>
          <w:rFonts w:asciiTheme="majorHAnsi" w:hAnsiTheme="majorHAnsi" w:cstheme="majorHAnsi"/>
          <w:bCs/>
          <w:sz w:val="20"/>
        </w:rPr>
      </w:pPr>
      <w:r w:rsidRPr="00964D77">
        <w:rPr>
          <w:rFonts w:asciiTheme="majorHAnsi" w:hAnsiTheme="majorHAnsi" w:cstheme="majorHAnsi"/>
          <w:bCs/>
          <w:sz w:val="20"/>
        </w:rPr>
        <w:t>Skutočné požiarne odolnosti stavebných konštrukcií v zmysle tab. 5 STN 92 0201-2 musia v plnom rozsahu vyhovovať požadovaným požiarnym odolnostiam určeným podľa stupňa protipožiarnej bezpečnosti. Požiadavky na stavebné konštrukcie sú znázornené vo výkresovej časti (v pôdoryse).</w:t>
      </w:r>
    </w:p>
    <w:p w:rsidR="00964D77" w:rsidRPr="00964D77" w:rsidRDefault="00964D77" w:rsidP="00964D77">
      <w:pPr>
        <w:contextualSpacing/>
        <w:rPr>
          <w:rFonts w:asciiTheme="majorHAnsi" w:hAnsiTheme="majorHAnsi" w:cstheme="majorHAnsi"/>
          <w:bCs/>
          <w:sz w:val="20"/>
        </w:rPr>
      </w:pPr>
    </w:p>
    <w:p w:rsidR="00964D77" w:rsidRPr="00964D77" w:rsidRDefault="00964D77" w:rsidP="00964D77">
      <w:pPr>
        <w:contextualSpacing/>
        <w:rPr>
          <w:rFonts w:asciiTheme="majorHAnsi" w:hAnsiTheme="majorHAnsi" w:cstheme="majorHAnsi"/>
          <w:bCs/>
          <w:sz w:val="20"/>
        </w:rPr>
      </w:pPr>
    </w:p>
    <w:tbl>
      <w:tblPr>
        <w:tblW w:w="0" w:type="auto"/>
        <w:tblCellMar>
          <w:left w:w="70" w:type="dxa"/>
          <w:right w:w="70" w:type="dxa"/>
        </w:tblCellMar>
        <w:tblLook w:val="0000" w:firstRow="0" w:lastRow="0" w:firstColumn="0" w:lastColumn="0" w:noHBand="0" w:noVBand="0"/>
      </w:tblPr>
      <w:tblGrid>
        <w:gridCol w:w="766"/>
        <w:gridCol w:w="7651"/>
        <w:gridCol w:w="645"/>
      </w:tblGrid>
      <w:tr w:rsidR="00964D77" w:rsidRPr="00964D77" w:rsidTr="008255CA">
        <w:trPr>
          <w:trHeight w:val="510"/>
        </w:trPr>
        <w:tc>
          <w:tcPr>
            <w:tcW w:w="0" w:type="auto"/>
            <w:gridSpan w:val="3"/>
            <w:tcBorders>
              <w:top w:val="single" w:sz="4" w:space="0" w:color="auto"/>
              <w:left w:val="single" w:sz="4" w:space="0" w:color="auto"/>
              <w:bottom w:val="single" w:sz="4" w:space="0" w:color="auto"/>
              <w:right w:val="single" w:sz="4" w:space="0" w:color="auto"/>
            </w:tcBorders>
            <w:shd w:val="clear" w:color="auto" w:fill="C0C0C0"/>
            <w:noWrap/>
            <w:vAlign w:val="center"/>
          </w:tcPr>
          <w:p w:rsidR="00964D77" w:rsidRPr="00964D77" w:rsidRDefault="00964D77" w:rsidP="008255CA">
            <w:pPr>
              <w:rPr>
                <w:rFonts w:asciiTheme="majorHAnsi" w:hAnsiTheme="majorHAnsi" w:cstheme="majorHAnsi"/>
                <w:bCs/>
                <w:color w:val="000000"/>
                <w:sz w:val="20"/>
                <w:lang w:val="cs-CZ" w:eastAsia="cs-CZ"/>
              </w:rPr>
            </w:pPr>
            <w:r w:rsidRPr="00964D77">
              <w:rPr>
                <w:rFonts w:asciiTheme="majorHAnsi" w:hAnsiTheme="majorHAnsi" w:cstheme="majorHAnsi"/>
                <w:bCs/>
                <w:color w:val="000000"/>
                <w:sz w:val="20"/>
              </w:rPr>
              <w:t>Požiarna odolnosť vybraných stavebných konštrukcií</w:t>
            </w:r>
          </w:p>
        </w:tc>
      </w:tr>
      <w:tr w:rsidR="00964D77" w:rsidRPr="00964D77" w:rsidTr="008255CA">
        <w:trPr>
          <w:trHeight w:val="478"/>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podľa tab. 5- STN 920201-2</w:t>
            </w:r>
          </w:p>
        </w:tc>
      </w:tr>
      <w:tr w:rsidR="00964D77" w:rsidRPr="00964D77" w:rsidTr="008255CA">
        <w:trPr>
          <w:trHeight w:val="400"/>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rPr>
              <w:t>Stupeň  protipožiarnej bezpečnosti: I</w:t>
            </w:r>
          </w:p>
        </w:tc>
      </w:tr>
      <w:tr w:rsidR="00964D77" w:rsidRPr="00964D77"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rPr>
              <w:t>Položka</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rPr>
              <w:t>Stavebná konštrukcia</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POSK</w:t>
            </w:r>
          </w:p>
        </w:tc>
      </w:tr>
      <w:tr w:rsidR="00964D77" w:rsidRPr="00964D77"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1c)</w:t>
            </w:r>
          </w:p>
        </w:tc>
        <w:tc>
          <w:tcPr>
            <w:tcW w:w="0" w:type="auto"/>
            <w:tcBorders>
              <w:top w:val="single" w:sz="4" w:space="0" w:color="auto"/>
              <w:left w:val="nil"/>
              <w:bottom w:val="single" w:sz="4" w:space="0" w:color="auto"/>
              <w:right w:val="single" w:sz="4" w:space="0" w:color="auto"/>
            </w:tcBorders>
            <w:shd w:val="clear" w:color="auto" w:fill="auto"/>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Požiarne stropy a požiarne steny - v poslednom nadzemnom podlaží</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15</w:t>
            </w:r>
          </w:p>
        </w:tc>
      </w:tr>
      <w:tr w:rsidR="00964D77" w:rsidRPr="00964D77"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2a.3)</w:t>
            </w:r>
          </w:p>
        </w:tc>
        <w:tc>
          <w:tcPr>
            <w:tcW w:w="0" w:type="auto"/>
            <w:tcBorders>
              <w:top w:val="single" w:sz="4" w:space="0" w:color="auto"/>
              <w:left w:val="nil"/>
              <w:bottom w:val="single" w:sz="4" w:space="0" w:color="auto"/>
              <w:right w:val="single" w:sz="4" w:space="0" w:color="auto"/>
            </w:tcBorders>
            <w:shd w:val="clear" w:color="auto" w:fill="auto"/>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 xml:space="preserve">Obvodové steny zaisťujúce stabilitu stavby alebo jej časti v poslednom nadzemnom podlaží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15</w:t>
            </w:r>
          </w:p>
        </w:tc>
      </w:tr>
      <w:tr w:rsidR="00964D77" w:rsidRPr="00964D77"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3)</w:t>
            </w:r>
          </w:p>
        </w:tc>
        <w:tc>
          <w:tcPr>
            <w:tcW w:w="0" w:type="auto"/>
            <w:tcBorders>
              <w:top w:val="single" w:sz="4" w:space="0" w:color="auto"/>
              <w:left w:val="nil"/>
              <w:bottom w:val="single" w:sz="4" w:space="0" w:color="auto"/>
              <w:right w:val="single" w:sz="4" w:space="0" w:color="auto"/>
            </w:tcBorders>
            <w:shd w:val="clear" w:color="auto" w:fill="auto"/>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Strešný plášť</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15</w:t>
            </w:r>
          </w:p>
        </w:tc>
      </w:tr>
      <w:tr w:rsidR="00964D77" w:rsidRPr="00964D77"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4c)</w:t>
            </w:r>
          </w:p>
        </w:tc>
        <w:tc>
          <w:tcPr>
            <w:tcW w:w="0" w:type="auto"/>
            <w:tcBorders>
              <w:top w:val="single" w:sz="4" w:space="0" w:color="auto"/>
              <w:left w:val="nil"/>
              <w:bottom w:val="single" w:sz="4" w:space="0" w:color="auto"/>
              <w:right w:val="single" w:sz="4" w:space="0" w:color="auto"/>
            </w:tcBorders>
            <w:shd w:val="clear" w:color="auto" w:fill="auto"/>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Požiarne uzávery otvorov - v poslednom nadzemnom podlaží</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15/D3</w:t>
            </w:r>
          </w:p>
        </w:tc>
      </w:tr>
      <w:tr w:rsidR="00964D77" w:rsidRPr="00964D77" w:rsidTr="008255CA">
        <w:trPr>
          <w:trHeight w:val="47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en-US" w:eastAsia="cs-CZ"/>
              </w:rPr>
              <w:t>8c)</w:t>
            </w:r>
          </w:p>
        </w:tc>
        <w:tc>
          <w:tcPr>
            <w:tcW w:w="0" w:type="auto"/>
            <w:tcBorders>
              <w:top w:val="single" w:sz="4" w:space="0" w:color="auto"/>
              <w:left w:val="nil"/>
              <w:bottom w:val="single" w:sz="4" w:space="0" w:color="auto"/>
              <w:right w:val="single" w:sz="4" w:space="0" w:color="auto"/>
            </w:tcBorders>
            <w:shd w:val="clear" w:color="auto" w:fill="auto"/>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Nosné konštrukcie vnútri stavby, ktoré zabezpečujú stabilitu stavby- v poslednom nadzemnom podlaží</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964D77" w:rsidRPr="00964D77" w:rsidRDefault="00964D77" w:rsidP="008255CA">
            <w:pPr>
              <w:rPr>
                <w:rFonts w:asciiTheme="majorHAnsi" w:hAnsiTheme="majorHAnsi" w:cstheme="majorHAnsi"/>
                <w:color w:val="000000"/>
                <w:sz w:val="20"/>
                <w:lang w:val="cs-CZ" w:eastAsia="cs-CZ"/>
              </w:rPr>
            </w:pPr>
            <w:r w:rsidRPr="00964D77">
              <w:rPr>
                <w:rFonts w:asciiTheme="majorHAnsi" w:hAnsiTheme="majorHAnsi" w:cstheme="majorHAnsi"/>
                <w:color w:val="000000"/>
                <w:sz w:val="20"/>
                <w:lang w:val="cs-CZ" w:eastAsia="cs-CZ"/>
              </w:rPr>
              <w:t>15</w:t>
            </w:r>
          </w:p>
        </w:tc>
      </w:tr>
    </w:tbl>
    <w:p w:rsidR="00964D77" w:rsidRPr="00964D77" w:rsidRDefault="00964D77" w:rsidP="00964D77">
      <w:pPr>
        <w:ind w:firstLine="708"/>
        <w:contextualSpacing/>
        <w:rPr>
          <w:rFonts w:asciiTheme="majorHAnsi" w:hAnsiTheme="majorHAnsi" w:cstheme="majorHAnsi"/>
          <w:sz w:val="20"/>
          <w:shd w:val="clear" w:color="auto" w:fill="FFFFFF"/>
        </w:rPr>
      </w:pPr>
    </w:p>
    <w:p w:rsidR="00964D77" w:rsidRPr="00964D77" w:rsidRDefault="00964D77" w:rsidP="00964D77">
      <w:pPr>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 xml:space="preserve">Požadované kritériá medzných stavov podľa STN 92 0201-2 a Vyhl. MV SR č. 94/2004 Z.z. sú </w:t>
      </w:r>
    </w:p>
    <w:p w:rsidR="00964D77" w:rsidRPr="00964D77" w:rsidRDefault="00964D77" w:rsidP="00964D77">
      <w:pPr>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nasledujúce:</w:t>
      </w:r>
    </w:p>
    <w:p w:rsidR="00964D77" w:rsidRPr="00964D77" w:rsidRDefault="00964D77" w:rsidP="00964D77">
      <w:pPr>
        <w:contextualSpacing/>
        <w:rPr>
          <w:rFonts w:asciiTheme="majorHAnsi" w:hAnsiTheme="majorHAnsi" w:cstheme="majorHAnsi"/>
          <w:sz w:val="20"/>
          <w:u w:val="single"/>
          <w:bdr w:val="none" w:sz="0" w:space="0" w:color="auto" w:frame="1"/>
        </w:rPr>
      </w:pPr>
      <w:r w:rsidRPr="00964D77">
        <w:rPr>
          <w:rFonts w:asciiTheme="majorHAnsi" w:hAnsiTheme="majorHAnsi" w:cstheme="majorHAnsi"/>
          <w:sz w:val="20"/>
          <w:u w:val="single"/>
          <w:bdr w:val="none" w:sz="0" w:space="0" w:color="auto" w:frame="1"/>
        </w:rPr>
        <w:t>obvodové steny musia z vnútornej strany spĺňať kritériá:</w:t>
      </w:r>
    </w:p>
    <w:p w:rsidR="00964D77" w:rsidRPr="00964D77" w:rsidRDefault="00964D77" w:rsidP="00964D77">
      <w:pPr>
        <w:numPr>
          <w:ilvl w:val="0"/>
          <w:numId w:val="5"/>
        </w:numPr>
        <w:suppressAutoHyphens/>
        <w:contextualSpacing/>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REW – obvodové steny zabezpečujúce stabilitu stavby</w:t>
      </w:r>
    </w:p>
    <w:p w:rsidR="00964D77" w:rsidRPr="00964D77" w:rsidRDefault="00964D77" w:rsidP="00964D77">
      <w:pPr>
        <w:numPr>
          <w:ilvl w:val="0"/>
          <w:numId w:val="5"/>
        </w:numPr>
        <w:suppressAutoHyphens/>
        <w:contextualSpacing/>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 xml:space="preserve">R- obvodové steny, z ktorých vonkajšej strany je zemina </w:t>
      </w:r>
    </w:p>
    <w:p w:rsidR="00964D77" w:rsidRPr="00964D77" w:rsidRDefault="00964D77" w:rsidP="00964D77">
      <w:pPr>
        <w:contextualSpacing/>
        <w:rPr>
          <w:rFonts w:asciiTheme="majorHAnsi" w:hAnsiTheme="majorHAnsi" w:cstheme="majorHAnsi"/>
          <w:sz w:val="20"/>
          <w:u w:val="single"/>
          <w:bdr w:val="none" w:sz="0" w:space="0" w:color="auto" w:frame="1"/>
        </w:rPr>
      </w:pPr>
      <w:r w:rsidRPr="00964D77">
        <w:rPr>
          <w:rFonts w:asciiTheme="majorHAnsi" w:hAnsiTheme="majorHAnsi" w:cstheme="majorHAnsi"/>
          <w:sz w:val="20"/>
          <w:u w:val="single"/>
          <w:bdr w:val="none" w:sz="0" w:space="0" w:color="auto" w:frame="1"/>
        </w:rPr>
        <w:t>obvodové steny musia z vonkajšej strany spĺňať kritériá:</w:t>
      </w:r>
    </w:p>
    <w:p w:rsidR="00964D77" w:rsidRPr="00964D77" w:rsidRDefault="00964D77" w:rsidP="00964D77">
      <w:pPr>
        <w:numPr>
          <w:ilvl w:val="0"/>
          <w:numId w:val="6"/>
        </w:numPr>
        <w:suppressAutoHyphens/>
        <w:contextualSpacing/>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REI – obvodové steny zabezpečujúce stabilitu stavby</w:t>
      </w:r>
    </w:p>
    <w:p w:rsidR="00964D77" w:rsidRPr="00964D77" w:rsidRDefault="00964D77" w:rsidP="00964D77">
      <w:pPr>
        <w:contextualSpacing/>
        <w:rPr>
          <w:rFonts w:asciiTheme="majorHAnsi" w:hAnsiTheme="majorHAnsi" w:cstheme="majorHAnsi"/>
          <w:sz w:val="20"/>
          <w:u w:val="single"/>
          <w:bdr w:val="none" w:sz="0" w:space="0" w:color="auto" w:frame="1"/>
        </w:rPr>
      </w:pPr>
      <w:r w:rsidRPr="00964D77">
        <w:rPr>
          <w:rFonts w:asciiTheme="majorHAnsi" w:hAnsiTheme="majorHAnsi" w:cstheme="majorHAnsi"/>
          <w:sz w:val="20"/>
          <w:u w:val="single"/>
          <w:bdr w:val="none" w:sz="0" w:space="0" w:color="auto" w:frame="1"/>
        </w:rPr>
        <w:t>požiarne steny musia spĺňať kritériá:</w:t>
      </w:r>
    </w:p>
    <w:p w:rsidR="00964D77" w:rsidRPr="00964D77" w:rsidRDefault="00964D77" w:rsidP="00964D77">
      <w:pPr>
        <w:numPr>
          <w:ilvl w:val="0"/>
          <w:numId w:val="7"/>
        </w:numPr>
        <w:suppressAutoHyphens/>
        <w:contextualSpacing/>
        <w:jc w:val="both"/>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REI – nosné požiarne steny</w:t>
      </w:r>
    </w:p>
    <w:p w:rsidR="00964D77" w:rsidRPr="00964D77" w:rsidRDefault="00964D77" w:rsidP="00964D77">
      <w:pPr>
        <w:numPr>
          <w:ilvl w:val="0"/>
          <w:numId w:val="7"/>
        </w:numPr>
        <w:suppressAutoHyphens/>
        <w:contextualSpacing/>
        <w:jc w:val="both"/>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EI – nenosné požiarne steny</w:t>
      </w:r>
    </w:p>
    <w:p w:rsidR="00964D77" w:rsidRPr="00964D77" w:rsidRDefault="00964D77" w:rsidP="00964D77">
      <w:pPr>
        <w:contextualSpacing/>
        <w:rPr>
          <w:rFonts w:asciiTheme="majorHAnsi" w:hAnsiTheme="majorHAnsi" w:cstheme="majorHAnsi"/>
          <w:sz w:val="20"/>
          <w:u w:val="single"/>
          <w:bdr w:val="none" w:sz="0" w:space="0" w:color="auto" w:frame="1"/>
        </w:rPr>
      </w:pPr>
      <w:r w:rsidRPr="00964D77">
        <w:rPr>
          <w:rFonts w:asciiTheme="majorHAnsi" w:hAnsiTheme="majorHAnsi" w:cstheme="majorHAnsi"/>
          <w:sz w:val="20"/>
          <w:u w:val="single"/>
          <w:bdr w:val="none" w:sz="0" w:space="0" w:color="auto" w:frame="1"/>
        </w:rPr>
        <w:t>požiarne stropy musia spĺňať kritériá:</w:t>
      </w:r>
    </w:p>
    <w:p w:rsidR="00964D77" w:rsidRPr="00964D77" w:rsidRDefault="00964D77" w:rsidP="00964D77">
      <w:pPr>
        <w:numPr>
          <w:ilvl w:val="0"/>
          <w:numId w:val="8"/>
        </w:numPr>
        <w:suppressAutoHyphens/>
        <w:contextualSpacing/>
        <w:jc w:val="both"/>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REI – nosné požiarne stropy</w:t>
      </w:r>
    </w:p>
    <w:p w:rsidR="00964D77" w:rsidRPr="00964D77" w:rsidRDefault="00964D77" w:rsidP="00964D77">
      <w:pPr>
        <w:contextualSpacing/>
        <w:rPr>
          <w:rFonts w:asciiTheme="majorHAnsi" w:hAnsiTheme="majorHAnsi" w:cstheme="majorHAnsi"/>
          <w:sz w:val="20"/>
          <w:u w:val="single"/>
          <w:bdr w:val="none" w:sz="0" w:space="0" w:color="auto" w:frame="1"/>
        </w:rPr>
      </w:pPr>
      <w:r w:rsidRPr="00964D77">
        <w:rPr>
          <w:rFonts w:asciiTheme="majorHAnsi" w:hAnsiTheme="majorHAnsi" w:cstheme="majorHAnsi"/>
          <w:sz w:val="20"/>
          <w:u w:val="single"/>
          <w:bdr w:val="none" w:sz="0" w:space="0" w:color="auto" w:frame="1"/>
        </w:rPr>
        <w:t>nosné konštrukcie vo vnútri požiarneho úseku:</w:t>
      </w:r>
    </w:p>
    <w:p w:rsidR="00964D77" w:rsidRPr="00964D77" w:rsidRDefault="00964D77" w:rsidP="00964D77">
      <w:pPr>
        <w:numPr>
          <w:ilvl w:val="0"/>
          <w:numId w:val="8"/>
        </w:numPr>
        <w:suppressAutoHyphens/>
        <w:contextualSpacing/>
        <w:jc w:val="both"/>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R- zabezpečujúce stabilitu stavby alebo jej časti (stĺpy, prievlaky, nosníky)</w:t>
      </w:r>
    </w:p>
    <w:p w:rsidR="00964D77" w:rsidRPr="00964D77" w:rsidRDefault="00964D77" w:rsidP="00964D77">
      <w:pPr>
        <w:contextualSpacing/>
        <w:rPr>
          <w:rFonts w:asciiTheme="majorHAnsi" w:hAnsiTheme="majorHAnsi" w:cstheme="majorHAnsi"/>
          <w:sz w:val="20"/>
          <w:u w:val="single"/>
          <w:bdr w:val="none" w:sz="0" w:space="0" w:color="auto" w:frame="1"/>
        </w:rPr>
      </w:pPr>
      <w:r w:rsidRPr="00964D77">
        <w:rPr>
          <w:rFonts w:asciiTheme="majorHAnsi" w:hAnsiTheme="majorHAnsi" w:cstheme="majorHAnsi"/>
          <w:sz w:val="20"/>
          <w:u w:val="single"/>
          <w:bdr w:val="none" w:sz="0" w:space="0" w:color="auto" w:frame="1"/>
        </w:rPr>
        <w:t>konštrukcie strechy musia spĺňať kritériá:</w:t>
      </w:r>
    </w:p>
    <w:p w:rsidR="00964D77" w:rsidRPr="00964D77" w:rsidRDefault="00964D77" w:rsidP="00964D77">
      <w:pPr>
        <w:numPr>
          <w:ilvl w:val="0"/>
          <w:numId w:val="8"/>
        </w:numPr>
        <w:spacing w:after="200" w:line="276" w:lineRule="auto"/>
        <w:contextualSpacing/>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 xml:space="preserve">R – nosné konštrukcie strechy </w:t>
      </w:r>
    </w:p>
    <w:p w:rsidR="00964D77" w:rsidRPr="00964D77" w:rsidRDefault="00964D77" w:rsidP="00964D77">
      <w:pPr>
        <w:numPr>
          <w:ilvl w:val="0"/>
          <w:numId w:val="8"/>
        </w:numPr>
        <w:spacing w:after="200" w:line="276" w:lineRule="auto"/>
        <w:contextualSpacing/>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E – strešný plášť</w:t>
      </w:r>
    </w:p>
    <w:p w:rsidR="00964D77" w:rsidRPr="00964D77" w:rsidRDefault="00964D77" w:rsidP="00964D77">
      <w:pPr>
        <w:contextualSpacing/>
        <w:rPr>
          <w:rFonts w:asciiTheme="majorHAnsi" w:hAnsiTheme="majorHAnsi" w:cstheme="majorHAnsi"/>
          <w:sz w:val="20"/>
          <w:u w:val="single"/>
          <w:bdr w:val="none" w:sz="0" w:space="0" w:color="auto" w:frame="1"/>
        </w:rPr>
      </w:pPr>
      <w:r w:rsidRPr="00964D77">
        <w:rPr>
          <w:rFonts w:asciiTheme="majorHAnsi" w:hAnsiTheme="majorHAnsi" w:cstheme="majorHAnsi"/>
          <w:sz w:val="20"/>
          <w:u w:val="single"/>
          <w:bdr w:val="none" w:sz="0" w:space="0" w:color="auto" w:frame="1"/>
        </w:rPr>
        <w:t>požiarne uzávery musia spĺňať kritériá:</w:t>
      </w:r>
    </w:p>
    <w:p w:rsidR="00964D77" w:rsidRPr="00964D77" w:rsidRDefault="00964D77" w:rsidP="00964D77">
      <w:pPr>
        <w:pStyle w:val="Odsekzoznamu"/>
        <w:numPr>
          <w:ilvl w:val="0"/>
          <w:numId w:val="13"/>
        </w:numPr>
        <w:spacing w:after="200" w:line="276" w:lineRule="auto"/>
        <w:rPr>
          <w:rFonts w:asciiTheme="majorHAnsi" w:hAnsiTheme="majorHAnsi" w:cstheme="majorHAnsi"/>
          <w:sz w:val="20"/>
          <w:szCs w:val="20"/>
          <w:bdr w:val="none" w:sz="0" w:space="0" w:color="auto" w:frame="1"/>
        </w:rPr>
      </w:pPr>
      <w:r w:rsidRPr="00964D77">
        <w:rPr>
          <w:rFonts w:asciiTheme="majorHAnsi" w:hAnsiTheme="majorHAnsi" w:cstheme="majorHAnsi"/>
          <w:sz w:val="20"/>
          <w:szCs w:val="20"/>
          <w:bdr w:val="none" w:sz="0" w:space="0" w:color="auto" w:frame="1"/>
        </w:rPr>
        <w:t xml:space="preserve">EW –C3 požiarne uzávery medzi dvomi požiarnymi úsekmi </w:t>
      </w:r>
    </w:p>
    <w:p w:rsidR="00964D77" w:rsidRPr="00964D77" w:rsidRDefault="00964D77" w:rsidP="00964D77">
      <w:pPr>
        <w:pStyle w:val="Odsekzoznamu"/>
        <w:ind w:left="0"/>
        <w:rPr>
          <w:rFonts w:asciiTheme="majorHAnsi" w:hAnsiTheme="majorHAnsi" w:cstheme="majorHAnsi"/>
          <w:sz w:val="20"/>
          <w:szCs w:val="20"/>
          <w:bdr w:val="none" w:sz="0" w:space="0" w:color="auto" w:frame="1"/>
        </w:rPr>
      </w:pPr>
    </w:p>
    <w:p w:rsidR="00964D77" w:rsidRPr="00964D77" w:rsidRDefault="00964D77" w:rsidP="00964D77">
      <w:pPr>
        <w:pStyle w:val="Odsekzoznamu"/>
        <w:ind w:left="0"/>
        <w:rPr>
          <w:rFonts w:asciiTheme="majorHAnsi" w:hAnsiTheme="majorHAnsi" w:cstheme="majorHAnsi"/>
          <w:sz w:val="20"/>
          <w:szCs w:val="20"/>
          <w:u w:val="single"/>
          <w:bdr w:val="none" w:sz="0" w:space="0" w:color="auto" w:frame="1"/>
        </w:rPr>
      </w:pPr>
      <w:r w:rsidRPr="00964D77">
        <w:rPr>
          <w:rFonts w:asciiTheme="majorHAnsi" w:hAnsiTheme="majorHAnsi" w:cstheme="majorHAnsi"/>
          <w:sz w:val="20"/>
          <w:szCs w:val="20"/>
          <w:u w:val="single"/>
          <w:bdr w:val="none" w:sz="0" w:space="0" w:color="auto" w:frame="1"/>
        </w:rPr>
        <w:t>Vysvetlivky:</w:t>
      </w:r>
    </w:p>
    <w:p w:rsidR="00964D77" w:rsidRPr="00964D77" w:rsidRDefault="00964D77" w:rsidP="00964D77">
      <w:pPr>
        <w:pStyle w:val="Odsekzoznamu"/>
        <w:ind w:left="0"/>
        <w:rPr>
          <w:rFonts w:asciiTheme="majorHAnsi" w:hAnsiTheme="majorHAnsi" w:cstheme="majorHAnsi"/>
          <w:sz w:val="20"/>
          <w:szCs w:val="20"/>
          <w:u w:val="single"/>
          <w:bdr w:val="none" w:sz="0" w:space="0" w:color="auto" w:frame="1"/>
        </w:rPr>
      </w:pPr>
      <w:r w:rsidRPr="00964D77">
        <w:rPr>
          <w:rFonts w:asciiTheme="majorHAnsi" w:hAnsiTheme="majorHAnsi" w:cstheme="majorHAnsi"/>
          <w:sz w:val="20"/>
          <w:szCs w:val="20"/>
          <w:bdr w:val="none" w:sz="0" w:space="0" w:color="auto" w:frame="1"/>
        </w:rPr>
        <w:t>nosnosť a stabilita – R</w:t>
      </w:r>
    </w:p>
    <w:p w:rsidR="00964D77" w:rsidRPr="00964D77" w:rsidRDefault="00964D77" w:rsidP="00964D77">
      <w:pPr>
        <w:contextualSpacing/>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celistvosť – E</w:t>
      </w:r>
    </w:p>
    <w:p w:rsidR="00964D77" w:rsidRPr="00964D77" w:rsidRDefault="00964D77" w:rsidP="00964D77">
      <w:pPr>
        <w:contextualSpacing/>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tepelná izolácia – I</w:t>
      </w:r>
    </w:p>
    <w:p w:rsidR="00964D77" w:rsidRPr="00964D77" w:rsidRDefault="00964D77" w:rsidP="00964D77">
      <w:pPr>
        <w:contextualSpacing/>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izolácia riadená radiáciou – W</w:t>
      </w:r>
    </w:p>
    <w:p w:rsidR="00964D77" w:rsidRPr="00964D77" w:rsidRDefault="00964D77" w:rsidP="00964D77">
      <w:pPr>
        <w:contextualSpacing/>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uzáver vybavený automatickým zatváracím zariadením – C</w:t>
      </w:r>
    </w:p>
    <w:p w:rsidR="00964D77" w:rsidRPr="00964D77" w:rsidRDefault="00964D77" w:rsidP="00964D77">
      <w:pPr>
        <w:contextualSpacing/>
        <w:rPr>
          <w:rFonts w:asciiTheme="majorHAnsi" w:hAnsiTheme="majorHAnsi" w:cstheme="majorHAnsi"/>
          <w:sz w:val="20"/>
          <w:u w:val="single"/>
          <w:bdr w:val="none" w:sz="0" w:space="0" w:color="auto" w:frame="1"/>
        </w:rPr>
      </w:pPr>
    </w:p>
    <w:p w:rsidR="00964D77" w:rsidRPr="00964D77" w:rsidRDefault="00964D77" w:rsidP="00964D77">
      <w:pPr>
        <w:contextualSpacing/>
        <w:rPr>
          <w:rFonts w:asciiTheme="majorHAnsi" w:hAnsiTheme="majorHAnsi" w:cstheme="majorHAnsi"/>
          <w:sz w:val="20"/>
          <w:bdr w:val="none" w:sz="0" w:space="0" w:color="auto" w:frame="1"/>
        </w:rPr>
      </w:pPr>
      <w:r w:rsidRPr="00964D77">
        <w:rPr>
          <w:rFonts w:asciiTheme="majorHAnsi" w:hAnsiTheme="majorHAnsi" w:cstheme="majorHAnsi"/>
          <w:sz w:val="20"/>
          <w:u w:val="single"/>
          <w:bdr w:val="none" w:sz="0" w:space="0" w:color="auto" w:frame="1"/>
        </w:rPr>
        <w:t>Požiadavky na prestupy</w:t>
      </w:r>
    </w:p>
    <w:p w:rsidR="00964D77" w:rsidRPr="00964D77" w:rsidRDefault="00964D77" w:rsidP="00964D77">
      <w:pPr>
        <w:ind w:firstLine="708"/>
        <w:contextualSpacing/>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 xml:space="preserve">Prestupy rozvodov a prestupy inštalácií cez požiarne deliace konštrukcie musia byť utesnené konštrukčnými prvkami takého druhu, ako sú požiarne deliace konštrukcie cez ktoré prestupujú. </w:t>
      </w:r>
      <w:r w:rsidRPr="00964D77">
        <w:rPr>
          <w:rFonts w:asciiTheme="majorHAnsi" w:hAnsiTheme="majorHAnsi" w:cstheme="majorHAnsi"/>
          <w:b/>
          <w:sz w:val="20"/>
          <w:bdr w:val="none" w:sz="0" w:space="0" w:color="auto" w:frame="1"/>
        </w:rPr>
        <w:t>Utesnený prestup musí spĺňať požiadavky na požiarnu odolnosť požiarne deliacej konštrukcie, ktorou prestupuje, najviac však EI 90</w:t>
      </w:r>
      <w:r w:rsidRPr="00964D77">
        <w:rPr>
          <w:rFonts w:asciiTheme="majorHAnsi" w:hAnsiTheme="majorHAnsi" w:cstheme="majorHAnsi"/>
          <w:sz w:val="20"/>
          <w:bdr w:val="none" w:sz="0" w:space="0" w:color="auto" w:frame="1"/>
        </w:rPr>
        <w:t xml:space="preserve"> ( v zmysle § 40, ods. 3 Vyhl. MV SR č. 94/2004 Z.z.). </w:t>
      </w:r>
    </w:p>
    <w:p w:rsidR="00964D77" w:rsidRPr="00964D77" w:rsidRDefault="00964D77" w:rsidP="00964D77">
      <w:pPr>
        <w:contextualSpacing/>
        <w:rPr>
          <w:rFonts w:asciiTheme="majorHAnsi" w:hAnsiTheme="majorHAnsi" w:cstheme="majorHAnsi"/>
          <w:sz w:val="20"/>
        </w:rPr>
      </w:pPr>
    </w:p>
    <w:p w:rsidR="00964D77" w:rsidRPr="00964D77" w:rsidRDefault="00964D77" w:rsidP="00964D77">
      <w:pPr>
        <w:contextualSpacing/>
        <w:rPr>
          <w:rFonts w:asciiTheme="majorHAnsi" w:hAnsiTheme="majorHAnsi" w:cstheme="majorHAnsi"/>
          <w:sz w:val="20"/>
          <w:u w:val="single"/>
          <w:bdr w:val="none" w:sz="0" w:space="0" w:color="auto" w:frame="1"/>
        </w:rPr>
      </w:pPr>
      <w:r w:rsidRPr="00964D77">
        <w:rPr>
          <w:rFonts w:asciiTheme="majorHAnsi" w:hAnsiTheme="majorHAnsi" w:cstheme="majorHAnsi"/>
          <w:sz w:val="20"/>
          <w:u w:val="single"/>
          <w:bdr w:val="none" w:sz="0" w:space="0" w:color="auto" w:frame="1"/>
        </w:rPr>
        <w:t>Požiadavky na lineárne styky</w:t>
      </w:r>
    </w:p>
    <w:p w:rsidR="00964D77" w:rsidRPr="00964D77" w:rsidRDefault="00964D77" w:rsidP="00964D77">
      <w:pPr>
        <w:ind w:firstLine="708"/>
        <w:contextualSpacing/>
        <w:rPr>
          <w:rFonts w:asciiTheme="majorHAnsi" w:hAnsiTheme="majorHAnsi" w:cstheme="majorHAnsi"/>
          <w:sz w:val="20"/>
        </w:rPr>
      </w:pPr>
      <w:r w:rsidRPr="00964D77">
        <w:rPr>
          <w:rFonts w:asciiTheme="majorHAnsi" w:hAnsiTheme="majorHAnsi" w:cstheme="majorHAnsi"/>
          <w:sz w:val="20"/>
        </w:rPr>
        <w:t xml:space="preserve">Lineárne styky stavebných prvkov požiarnych deliacich konštrukcií musia byť utesnené tak, aby zabránili rozšíreniu požiaru do iného požiarneho úseku, utesnený lineárny styk musí spĺňať požiadavky na </w:t>
      </w:r>
      <w:r w:rsidRPr="00964D77">
        <w:rPr>
          <w:rFonts w:asciiTheme="majorHAnsi" w:hAnsiTheme="majorHAnsi" w:cstheme="majorHAnsi"/>
          <w:sz w:val="20"/>
        </w:rPr>
        <w:lastRenderedPageBreak/>
        <w:t xml:space="preserve">požiarnu odolnosť požiarne deliacej konštrukcie ( v zmysle § 40, ods. 2 Vyhl. MV SR č. 94/2004 Z.z.). Na utesnenie je možné použiť protipožiarne nástreky na škáry alebo protipožiarny tmel v súlade s predpisom výrobcu napr. Intumex, Hilty, Promat. Splnenie požadovanej vlastnosti je nutné dokladovať technickým listom pri kolaudácii objektu. </w:t>
      </w:r>
    </w:p>
    <w:p w:rsidR="00964D77" w:rsidRPr="00964D77" w:rsidRDefault="00964D77" w:rsidP="00964D77">
      <w:pPr>
        <w:contextualSpacing/>
        <w:rPr>
          <w:rFonts w:asciiTheme="majorHAnsi" w:hAnsiTheme="majorHAnsi" w:cstheme="majorHAnsi"/>
          <w:sz w:val="20"/>
        </w:rPr>
      </w:pPr>
    </w:p>
    <w:p w:rsidR="00964D77" w:rsidRPr="00964D77" w:rsidRDefault="00964D77" w:rsidP="00964D77">
      <w:pPr>
        <w:contextualSpacing/>
        <w:rPr>
          <w:rFonts w:asciiTheme="majorHAnsi" w:hAnsiTheme="majorHAnsi" w:cstheme="majorHAnsi"/>
          <w:sz w:val="20"/>
          <w:u w:val="single"/>
          <w:bdr w:val="none" w:sz="0" w:space="0" w:color="auto" w:frame="1"/>
        </w:rPr>
      </w:pPr>
      <w:r w:rsidRPr="00964D77">
        <w:rPr>
          <w:rFonts w:asciiTheme="majorHAnsi" w:hAnsiTheme="majorHAnsi" w:cstheme="majorHAnsi"/>
          <w:sz w:val="20"/>
          <w:u w:val="single"/>
          <w:bdr w:val="none" w:sz="0" w:space="0" w:color="auto" w:frame="1"/>
        </w:rPr>
        <w:t>Požiadavky na požiarne uzávery</w:t>
      </w:r>
    </w:p>
    <w:p w:rsidR="00964D77" w:rsidRPr="00964D77" w:rsidRDefault="00964D77" w:rsidP="00964D77">
      <w:pPr>
        <w:contextualSpacing/>
        <w:rPr>
          <w:rFonts w:asciiTheme="majorHAnsi" w:hAnsiTheme="majorHAnsi" w:cstheme="majorHAnsi"/>
          <w:sz w:val="20"/>
          <w:bdr w:val="none" w:sz="0" w:space="0" w:color="auto" w:frame="1"/>
        </w:rPr>
      </w:pPr>
      <w:r w:rsidRPr="00964D77">
        <w:rPr>
          <w:rFonts w:asciiTheme="majorHAnsi" w:hAnsiTheme="majorHAnsi" w:cstheme="majorHAnsi"/>
          <w:sz w:val="20"/>
        </w:rPr>
        <w:tab/>
      </w:r>
      <w:r w:rsidRPr="00964D77">
        <w:rPr>
          <w:rFonts w:asciiTheme="majorHAnsi" w:hAnsiTheme="majorHAnsi" w:cstheme="majorHAnsi"/>
          <w:sz w:val="20"/>
          <w:bdr w:val="none" w:sz="0" w:space="0" w:color="auto" w:frame="1"/>
        </w:rPr>
        <w:t xml:space="preserve">Medzi požiarnymi úsekmi musia byť osadené požiarne uzávery v súlade s výkresovou časťou. </w:t>
      </w:r>
    </w:p>
    <w:p w:rsidR="00964D77" w:rsidRPr="00964D77" w:rsidRDefault="00964D77" w:rsidP="00964D77">
      <w:pPr>
        <w:contextualSpacing/>
        <w:rPr>
          <w:rFonts w:asciiTheme="majorHAnsi" w:hAnsiTheme="majorHAnsi" w:cstheme="majorHAnsi"/>
          <w:sz w:val="20"/>
          <w:bdr w:val="none" w:sz="0" w:space="0" w:color="auto" w:frame="1"/>
        </w:rPr>
      </w:pPr>
      <w:r w:rsidRPr="00964D77">
        <w:rPr>
          <w:rFonts w:asciiTheme="majorHAnsi" w:hAnsiTheme="majorHAnsi" w:cstheme="majorHAnsi"/>
          <w:sz w:val="20"/>
          <w:bdr w:val="none" w:sz="0" w:space="0" w:color="auto" w:frame="1"/>
        </w:rPr>
        <w:t xml:space="preserve">Požiarny uzáver sa musí automaticky uzatvárať po každom otvorení alebo pri vzniku požiaru. (v zmysle § 45, ods. 4 Vyhl. MV SR č. 94/2004 Z.z.). </w:t>
      </w:r>
    </w:p>
    <w:p w:rsidR="00964D77" w:rsidRPr="00964D77" w:rsidRDefault="00964D77" w:rsidP="00964D77">
      <w:pPr>
        <w:contextualSpacing/>
        <w:rPr>
          <w:rFonts w:asciiTheme="majorHAnsi" w:hAnsiTheme="majorHAnsi" w:cstheme="majorHAnsi"/>
          <w:sz w:val="20"/>
          <w:u w:val="single"/>
        </w:rPr>
      </w:pPr>
    </w:p>
    <w:p w:rsidR="00964D77" w:rsidRPr="00964D77" w:rsidRDefault="00964D77" w:rsidP="00964D77">
      <w:pPr>
        <w:contextualSpacing/>
        <w:rPr>
          <w:rFonts w:asciiTheme="majorHAnsi" w:hAnsiTheme="majorHAnsi" w:cstheme="majorHAnsi"/>
          <w:sz w:val="20"/>
          <w:u w:val="single"/>
        </w:rPr>
      </w:pPr>
      <w:r w:rsidRPr="00964D77">
        <w:rPr>
          <w:rFonts w:asciiTheme="majorHAnsi" w:hAnsiTheme="majorHAnsi" w:cstheme="majorHAnsi"/>
          <w:sz w:val="20"/>
          <w:u w:val="single"/>
        </w:rPr>
        <w:t>Požiadavky na nosné konštrukcie</w:t>
      </w:r>
    </w:p>
    <w:p w:rsidR="00964D77" w:rsidRPr="00964D77" w:rsidRDefault="00964D77" w:rsidP="00964D77">
      <w:pPr>
        <w:spacing w:line="0" w:lineRule="atLeast"/>
        <w:ind w:firstLine="708"/>
        <w:contextualSpacing/>
        <w:rPr>
          <w:rFonts w:asciiTheme="majorHAnsi" w:hAnsiTheme="majorHAnsi" w:cstheme="majorHAnsi"/>
          <w:sz w:val="20"/>
        </w:rPr>
      </w:pPr>
      <w:r w:rsidRPr="00964D77">
        <w:rPr>
          <w:rFonts w:asciiTheme="majorHAnsi" w:hAnsiTheme="majorHAnsi" w:cstheme="majorHAnsi"/>
          <w:sz w:val="20"/>
        </w:rPr>
        <w:t xml:space="preserve">Všetky nosné konštrukcie v riešenej stavbe musia spĺňať kritérium a požiadavku na požiarnu odolnosť </w:t>
      </w:r>
      <w:r w:rsidRPr="00964D77">
        <w:rPr>
          <w:rFonts w:asciiTheme="majorHAnsi" w:hAnsiTheme="majorHAnsi" w:cstheme="majorHAnsi"/>
          <w:b/>
          <w:sz w:val="20"/>
        </w:rPr>
        <w:t>R15.</w:t>
      </w:r>
    </w:p>
    <w:p w:rsidR="00964D77" w:rsidRPr="00964D77" w:rsidRDefault="00964D77" w:rsidP="00964D77">
      <w:pPr>
        <w:spacing w:line="0" w:lineRule="atLeast"/>
        <w:ind w:firstLine="708"/>
        <w:contextualSpacing/>
        <w:rPr>
          <w:rFonts w:asciiTheme="majorHAnsi" w:hAnsiTheme="majorHAnsi" w:cstheme="majorHAnsi"/>
          <w:sz w:val="20"/>
        </w:rPr>
      </w:pPr>
      <w:r w:rsidRPr="00964D77">
        <w:rPr>
          <w:rFonts w:asciiTheme="majorHAnsi" w:hAnsiTheme="majorHAnsi" w:cstheme="majorHAnsi"/>
          <w:sz w:val="20"/>
          <w:u w:val="single"/>
        </w:rPr>
        <w:t>Požiarnu odolnosť nosného prvku možno dosiahnuť použitím protipožiarneho náteru na zvýšenie požiarnej odolnosti (napr. pyrostop steel, plamostop), protipožiarneho nástreku (napr. vermiplaster f. knauf) alebo protipožiarneho obkladu (napr. sadroakrtón, cetris a pod).</w:t>
      </w:r>
      <w:r w:rsidRPr="00964D77">
        <w:rPr>
          <w:rFonts w:asciiTheme="majorHAnsi" w:hAnsiTheme="majorHAnsi" w:cstheme="majorHAnsi"/>
          <w:sz w:val="20"/>
        </w:rPr>
        <w:t xml:space="preserve">  </w:t>
      </w:r>
    </w:p>
    <w:p w:rsidR="00964D77" w:rsidRPr="00964D77" w:rsidRDefault="00964D77" w:rsidP="00964D77">
      <w:pPr>
        <w:spacing w:line="0" w:lineRule="atLeast"/>
        <w:ind w:firstLine="708"/>
        <w:contextualSpacing/>
        <w:rPr>
          <w:rFonts w:asciiTheme="majorHAnsi" w:hAnsiTheme="majorHAnsi" w:cstheme="majorHAnsi"/>
          <w:sz w:val="20"/>
        </w:rPr>
      </w:pPr>
      <w:r w:rsidRPr="00964D77">
        <w:rPr>
          <w:rFonts w:asciiTheme="majorHAnsi" w:hAnsiTheme="majorHAnsi" w:cstheme="majorHAnsi"/>
          <w:sz w:val="20"/>
        </w:rPr>
        <w:t xml:space="preserve">Protipožiarny náter nie je možné použiť na konštrukcie, ktoré budú trvalo zabudované –uzavreté napr. pohľadom alebo obkladom bez preukázanej požiarnej odolnosti, čo by znemožnilo obnoviť náter v lehote predpísanej jeho výrobcom. Pokiaľ je však životnosť protipožiarneho náteru neobmedzená ( napr.vermiplaster), resp. rovnajúca sa životnosti stavby (čo musí byť zdokladované platným certifikátom), nie je nutné prihliadať na potrebu obnovovania protipožiarneho náteru. </w:t>
      </w:r>
    </w:p>
    <w:p w:rsidR="00964D77" w:rsidRPr="00964D77" w:rsidRDefault="00964D77" w:rsidP="00964D77">
      <w:pPr>
        <w:contextualSpacing/>
        <w:rPr>
          <w:rFonts w:asciiTheme="majorHAnsi" w:hAnsiTheme="majorHAnsi" w:cstheme="majorHAnsi"/>
          <w:b/>
          <w:sz w:val="20"/>
        </w:rPr>
      </w:pPr>
      <w:r w:rsidRPr="00964D77">
        <w:rPr>
          <w:rFonts w:asciiTheme="majorHAnsi" w:hAnsiTheme="majorHAnsi" w:cstheme="majorHAnsi"/>
          <w:sz w:val="20"/>
        </w:rPr>
        <w:tab/>
      </w:r>
      <w:r w:rsidRPr="00964D77">
        <w:rPr>
          <w:rFonts w:asciiTheme="majorHAnsi" w:hAnsiTheme="majorHAnsi" w:cstheme="majorHAnsi"/>
          <w:b/>
          <w:sz w:val="20"/>
        </w:rPr>
        <w:t>Upozorňujem, že po uplynutí deklarovanej životnosti alebo v prípade poškodenia náteru je nutné náter obnoviť v súlade s technickými pokynmi výrobcu náteru.</w:t>
      </w:r>
    </w:p>
    <w:p w:rsidR="00964D77" w:rsidRPr="00964D77" w:rsidRDefault="00964D77" w:rsidP="00964D77">
      <w:pPr>
        <w:ind w:firstLine="709"/>
        <w:contextualSpacing/>
        <w:rPr>
          <w:rFonts w:asciiTheme="majorHAnsi" w:hAnsiTheme="majorHAnsi" w:cstheme="majorHAnsi"/>
          <w:sz w:val="20"/>
          <w:u w:val="single"/>
        </w:rPr>
      </w:pPr>
      <w:r w:rsidRPr="00964D77">
        <w:rPr>
          <w:rFonts w:asciiTheme="majorHAnsi" w:hAnsiTheme="majorHAnsi" w:cstheme="majorHAnsi"/>
          <w:sz w:val="20"/>
          <w:u w:val="single"/>
        </w:rPr>
        <w:t xml:space="preserve">Oceľové nosné stĺpy musia spĺňať požiadavku na požiarnu odolnosť- R15- požadovaná vlastnosť bude zabezpečená prostredníctvom protipožiarneho obkladu napr. cetris alt. sadrokartónom (v súlade s technickým listom výrobcu). </w:t>
      </w:r>
    </w:p>
    <w:p w:rsidR="00964D77" w:rsidRPr="00964D77" w:rsidRDefault="00964D77" w:rsidP="00964D77">
      <w:pPr>
        <w:contextualSpacing/>
        <w:rPr>
          <w:rFonts w:asciiTheme="majorHAnsi" w:hAnsiTheme="majorHAnsi" w:cstheme="majorHAnsi"/>
          <w:sz w:val="20"/>
          <w:u w:val="single"/>
        </w:rPr>
      </w:pPr>
    </w:p>
    <w:p w:rsidR="00964D77" w:rsidRPr="00964D77" w:rsidRDefault="00964D77" w:rsidP="00964D77">
      <w:pPr>
        <w:contextualSpacing/>
        <w:rPr>
          <w:rFonts w:asciiTheme="majorHAnsi" w:hAnsiTheme="majorHAnsi" w:cstheme="majorHAnsi"/>
          <w:sz w:val="20"/>
          <w:u w:val="single"/>
        </w:rPr>
      </w:pPr>
      <w:r w:rsidRPr="00964D77">
        <w:rPr>
          <w:rFonts w:asciiTheme="majorHAnsi" w:hAnsiTheme="majorHAnsi" w:cstheme="majorHAnsi"/>
          <w:sz w:val="20"/>
          <w:u w:val="single"/>
        </w:rPr>
        <w:t>Požiadavky na požiarne steny, požiarne stropy</w:t>
      </w:r>
    </w:p>
    <w:p w:rsidR="00964D77" w:rsidRPr="00964D77" w:rsidRDefault="00964D77" w:rsidP="00964D77">
      <w:pPr>
        <w:autoSpaceDE w:val="0"/>
        <w:autoSpaceDN w:val="0"/>
        <w:adjustRightInd w:val="0"/>
        <w:rPr>
          <w:rFonts w:asciiTheme="majorHAnsi" w:hAnsiTheme="majorHAnsi" w:cstheme="majorHAnsi"/>
          <w:sz w:val="20"/>
        </w:rPr>
      </w:pPr>
      <w:r w:rsidRPr="00964D77">
        <w:rPr>
          <w:rFonts w:asciiTheme="majorHAnsi" w:hAnsiTheme="majorHAnsi" w:cstheme="majorHAnsi"/>
          <w:sz w:val="20"/>
        </w:rPr>
        <w:tab/>
        <w:t xml:space="preserve">Požiarne deliace konštrukcie musia v celej ploche spĺňať kritéria požiarnej odolnosti (stanovených vo výkresovej časti) vrátane lineárnych stykov stavebných prvkov a zároveň  požiarna odolnosť požiarnych deliacich konštrukcií nesmie byť ich zoslabená prestupmi rozvodov, prestupmi inštalácií, prestupmi technických zariadení ani prestupmi technologických zariadení nižšia ako určená požiarna odolnosť ( v zmysle § 40, ods. 1 Vyhl. MV SR č. 94/2004 Z.z.).. </w:t>
      </w:r>
    </w:p>
    <w:p w:rsidR="00964D77" w:rsidRPr="00964D77" w:rsidRDefault="00964D77" w:rsidP="00964D77">
      <w:pPr>
        <w:ind w:firstLine="708"/>
        <w:contextualSpacing/>
        <w:rPr>
          <w:rFonts w:asciiTheme="majorHAnsi" w:hAnsiTheme="majorHAnsi" w:cstheme="majorHAnsi"/>
          <w:sz w:val="20"/>
        </w:rPr>
      </w:pPr>
      <w:r w:rsidRPr="00964D77">
        <w:rPr>
          <w:rFonts w:asciiTheme="majorHAnsi" w:hAnsiTheme="majorHAnsi" w:cstheme="majorHAnsi"/>
          <w:sz w:val="20"/>
        </w:rPr>
        <w:t xml:space="preserve">Požiarne steny sa musia stýkať s konštrukciou požiarneho stropu alebo s konštrukciou strechy a strešného plášťa vyhotovených z konštrukčných prvkov druhu D1 s požadovanou požiarnou odolnosťou v </w:t>
      </w:r>
      <w:r w:rsidRPr="00964D77">
        <w:rPr>
          <w:rFonts w:asciiTheme="majorHAnsi" w:hAnsiTheme="majorHAnsi" w:cstheme="majorHAnsi"/>
          <w:sz w:val="20"/>
          <w:lang w:eastAsia="cs-CZ"/>
        </w:rPr>
        <w:t xml:space="preserve">zmysle </w:t>
      </w:r>
      <w:r w:rsidRPr="00964D77">
        <w:rPr>
          <w:rFonts w:asciiTheme="majorHAnsi" w:hAnsiTheme="majorHAnsi" w:cstheme="majorHAnsi"/>
          <w:bCs/>
          <w:sz w:val="20"/>
        </w:rPr>
        <w:t>§ 41, ods. 7a) Vyhl. MV SR č. 94/2004 Z.z</w:t>
      </w:r>
      <w:r w:rsidRPr="00964D77">
        <w:rPr>
          <w:rFonts w:asciiTheme="majorHAnsi" w:hAnsiTheme="majorHAnsi" w:cstheme="majorHAnsi"/>
          <w:sz w:val="20"/>
        </w:rPr>
        <w:t>.. -  v posudzovanej stavbe sa stýkajú so železobetónovým stropom.</w:t>
      </w:r>
      <w:r w:rsidRPr="00964D77">
        <w:rPr>
          <w:rFonts w:asciiTheme="majorHAnsi" w:hAnsiTheme="majorHAnsi" w:cstheme="majorHAnsi"/>
          <w:b/>
          <w:sz w:val="20"/>
          <w:bdr w:val="none" w:sz="0" w:space="0" w:color="auto" w:frame="1"/>
        </w:rPr>
        <w:tab/>
      </w:r>
    </w:p>
    <w:p w:rsidR="00964D77" w:rsidRPr="00964D77" w:rsidRDefault="00964D77" w:rsidP="00964D77">
      <w:pPr>
        <w:ind w:firstLine="708"/>
        <w:contextualSpacing/>
        <w:rPr>
          <w:rFonts w:asciiTheme="majorHAnsi" w:hAnsiTheme="majorHAnsi" w:cstheme="majorHAnsi"/>
          <w:sz w:val="20"/>
        </w:rPr>
      </w:pPr>
      <w:r w:rsidRPr="00964D77">
        <w:rPr>
          <w:rFonts w:asciiTheme="majorHAnsi" w:hAnsiTheme="majorHAnsi" w:cstheme="majorHAnsi"/>
          <w:sz w:val="20"/>
        </w:rPr>
        <w:t xml:space="preserve">Požiarnu odolnosť požiarneho stropu možno dosiahnuť aj použitím podhľadovej konštrukcie </w:t>
      </w:r>
      <w:r w:rsidRPr="00964D77">
        <w:rPr>
          <w:rFonts w:asciiTheme="majorHAnsi" w:hAnsiTheme="majorHAnsi" w:cstheme="majorHAnsi"/>
          <w:sz w:val="20"/>
          <w:lang w:eastAsia="cs-CZ"/>
        </w:rPr>
        <w:t xml:space="preserve">(v zmysle </w:t>
      </w:r>
      <w:r w:rsidRPr="00964D77">
        <w:rPr>
          <w:rFonts w:asciiTheme="majorHAnsi" w:hAnsiTheme="majorHAnsi" w:cstheme="majorHAnsi"/>
          <w:bCs/>
          <w:sz w:val="20"/>
        </w:rPr>
        <w:t>§ 42 ods.6 Vyhl. MV SR č. 94/2004 Z.z</w:t>
      </w:r>
      <w:r w:rsidRPr="00964D77">
        <w:rPr>
          <w:rFonts w:asciiTheme="majorHAnsi" w:hAnsiTheme="majorHAnsi" w:cstheme="majorHAnsi"/>
          <w:sz w:val="20"/>
        </w:rPr>
        <w:t xml:space="preserve">.). – </w:t>
      </w:r>
      <w:r w:rsidRPr="00964D77">
        <w:rPr>
          <w:rFonts w:asciiTheme="majorHAnsi" w:hAnsiTheme="majorHAnsi" w:cstheme="majorHAnsi"/>
          <w:b/>
          <w:sz w:val="20"/>
        </w:rPr>
        <w:t xml:space="preserve">zo spodnej strany celej strešnej konštrukcie musí byť vytvorený celistvý protipožiarny podhľad na zabezpečenie požadovanej požiarnej odolnosti REI15 </w:t>
      </w:r>
      <w:r w:rsidRPr="00964D77">
        <w:rPr>
          <w:rFonts w:asciiTheme="majorHAnsi" w:hAnsiTheme="majorHAnsi" w:cstheme="majorHAnsi"/>
          <w:sz w:val="20"/>
        </w:rPr>
        <w:t xml:space="preserve">(v súlade s technickým listom a predpisom výrobcu). </w:t>
      </w:r>
    </w:p>
    <w:p w:rsidR="00964D77" w:rsidRPr="00964D77" w:rsidRDefault="00964D77" w:rsidP="00964D77">
      <w:pPr>
        <w:contextualSpacing/>
        <w:rPr>
          <w:rFonts w:asciiTheme="majorHAnsi" w:hAnsiTheme="majorHAnsi" w:cstheme="majorHAnsi"/>
          <w:sz w:val="20"/>
          <w:u w:val="single"/>
        </w:rPr>
      </w:pPr>
    </w:p>
    <w:p w:rsidR="00964D77" w:rsidRPr="00964D77" w:rsidRDefault="00964D77" w:rsidP="00964D77">
      <w:pPr>
        <w:contextualSpacing/>
        <w:rPr>
          <w:rFonts w:asciiTheme="majorHAnsi" w:hAnsiTheme="majorHAnsi" w:cstheme="majorHAnsi"/>
          <w:sz w:val="20"/>
          <w:u w:val="single"/>
        </w:rPr>
      </w:pPr>
      <w:r w:rsidRPr="00964D77">
        <w:rPr>
          <w:rFonts w:asciiTheme="majorHAnsi" w:hAnsiTheme="majorHAnsi" w:cstheme="majorHAnsi"/>
          <w:sz w:val="20"/>
          <w:u w:val="single"/>
        </w:rPr>
        <w:t>Požiadavky na požiarne pásy</w:t>
      </w:r>
      <w:r w:rsidRPr="00964D77">
        <w:rPr>
          <w:rFonts w:asciiTheme="majorHAnsi" w:hAnsiTheme="majorHAnsi" w:cstheme="majorHAnsi"/>
          <w:b/>
          <w:sz w:val="20"/>
          <w:bdr w:val="none" w:sz="0" w:space="0" w:color="auto" w:frame="1"/>
        </w:rPr>
        <w:tab/>
      </w:r>
    </w:p>
    <w:p w:rsidR="00964D77" w:rsidRPr="00964D77" w:rsidRDefault="00964D77" w:rsidP="00964D77">
      <w:pPr>
        <w:spacing w:line="0" w:lineRule="atLeast"/>
        <w:ind w:firstLine="708"/>
        <w:contextualSpacing/>
        <w:rPr>
          <w:rFonts w:asciiTheme="majorHAnsi" w:hAnsiTheme="majorHAnsi" w:cstheme="majorHAnsi"/>
          <w:bCs/>
          <w:sz w:val="20"/>
        </w:rPr>
      </w:pPr>
      <w:r w:rsidRPr="00964D77">
        <w:rPr>
          <w:rFonts w:asciiTheme="majorHAnsi" w:hAnsiTheme="majorHAnsi" w:cstheme="majorHAnsi"/>
          <w:sz w:val="20"/>
        </w:rPr>
        <w:t xml:space="preserve">Požiarne pásy medzi požiarnymi úsekmi v posudzovanej stavbe nie sú navrhnuté, nakoľko požiarna výška objektu je menej ako 12m v súlade s </w:t>
      </w:r>
      <w:r w:rsidRPr="00964D77">
        <w:rPr>
          <w:rFonts w:asciiTheme="majorHAnsi" w:hAnsiTheme="majorHAnsi" w:cstheme="majorHAnsi"/>
          <w:bCs/>
          <w:sz w:val="20"/>
        </w:rPr>
        <w:t>§ 44 ods.7c)  Vyhl. MV SR č.94/2004 Z.z.</w:t>
      </w:r>
    </w:p>
    <w:p w:rsidR="00964D77" w:rsidRPr="00964D77" w:rsidRDefault="00964D77" w:rsidP="00964D77">
      <w:pPr>
        <w:contextualSpacing/>
        <w:rPr>
          <w:rFonts w:asciiTheme="majorHAnsi" w:hAnsiTheme="majorHAnsi" w:cstheme="majorHAnsi"/>
          <w:sz w:val="20"/>
          <w:u w:val="single"/>
        </w:rPr>
      </w:pPr>
    </w:p>
    <w:p w:rsidR="00964D77" w:rsidRPr="00964D77" w:rsidRDefault="00964D77" w:rsidP="00964D77">
      <w:pPr>
        <w:spacing w:line="0" w:lineRule="atLeast"/>
        <w:ind w:firstLine="708"/>
        <w:contextualSpacing/>
        <w:rPr>
          <w:rFonts w:asciiTheme="majorHAnsi" w:hAnsiTheme="majorHAnsi" w:cstheme="majorHAnsi"/>
          <w:sz w:val="20"/>
        </w:rPr>
      </w:pPr>
      <w:r w:rsidRPr="00964D77">
        <w:rPr>
          <w:rFonts w:asciiTheme="majorHAnsi" w:hAnsiTheme="majorHAnsi" w:cstheme="majorHAnsi"/>
          <w:sz w:val="20"/>
        </w:rPr>
        <w:t xml:space="preserve">Kvôli zmenšeniu odstupovej vzdialenosti z juhozápadnej strany stavby, musí byť na krokvách musí byť vytvorený drevený záklop z protipožiarnych dosiek triedy reakcie na oheň A1 alt. A2-s1,d0 na zabezpečenie požiarnej odolnosti </w:t>
      </w:r>
      <w:r w:rsidRPr="00964D77">
        <w:rPr>
          <w:rFonts w:asciiTheme="majorHAnsi" w:hAnsiTheme="majorHAnsi" w:cstheme="majorHAnsi"/>
          <w:b/>
          <w:sz w:val="20"/>
        </w:rPr>
        <w:t>EI15/D1.</w:t>
      </w:r>
    </w:p>
    <w:p w:rsidR="00964D77" w:rsidRPr="00964D77" w:rsidRDefault="00964D77" w:rsidP="00964D77">
      <w:pPr>
        <w:ind w:firstLine="708"/>
        <w:rPr>
          <w:rFonts w:asciiTheme="majorHAnsi" w:hAnsiTheme="majorHAnsi" w:cstheme="majorHAnsi"/>
          <w:sz w:val="20"/>
        </w:rPr>
      </w:pPr>
      <w:r w:rsidRPr="00964D77">
        <w:rPr>
          <w:rFonts w:asciiTheme="majorHAnsi" w:hAnsiTheme="majorHAnsi" w:cstheme="majorHAnsi"/>
          <w:sz w:val="20"/>
        </w:rPr>
        <w:t xml:space="preserve">Skutočné požiarnotechnické charakteristiky stavebných výrobkov a konštrukcií v posudzovanej stavbe </w:t>
      </w:r>
      <w:r w:rsidRPr="00964D77">
        <w:rPr>
          <w:rFonts w:asciiTheme="majorHAnsi" w:hAnsiTheme="majorHAnsi" w:cstheme="majorHAnsi"/>
          <w:bCs/>
          <w:sz w:val="20"/>
        </w:rPr>
        <w:t xml:space="preserve">( t.z. murovaných ako aj ostatných stavebných konštrukcií, výrobkov a materiálov), </w:t>
      </w:r>
      <w:r w:rsidRPr="00964D77">
        <w:rPr>
          <w:rFonts w:asciiTheme="majorHAnsi" w:hAnsiTheme="majorHAnsi" w:cstheme="majorHAnsi"/>
          <w:sz w:val="20"/>
        </w:rPr>
        <w:t xml:space="preserve">musia byť pri kolaudácii doložené </w:t>
      </w:r>
      <w:r w:rsidRPr="00964D77">
        <w:rPr>
          <w:rFonts w:asciiTheme="majorHAnsi" w:hAnsiTheme="majorHAnsi" w:cstheme="majorHAnsi"/>
          <w:bCs/>
          <w:sz w:val="20"/>
        </w:rPr>
        <w:t>certifikátmi preukázania zhody</w:t>
      </w:r>
      <w:r w:rsidRPr="00964D77">
        <w:rPr>
          <w:rFonts w:asciiTheme="majorHAnsi" w:hAnsiTheme="majorHAnsi" w:cstheme="majorHAnsi"/>
          <w:sz w:val="20"/>
        </w:rPr>
        <w:t xml:space="preserve"> doplneným ďaľšími dokladmi v zmysle zákona č. 133/2013 Z.z. v znení neskorších predpisov. Stavebné materiály použité na finálnu povrchovú úpravu stien a stropov (obklady a podhľady) musia byť pri kolaudačnom konaní dokladované atestami a certifikátmi, ktoré  preukážu požadovanú triedu reakcie na oheň.</w:t>
      </w:r>
    </w:p>
    <w:p w:rsidR="00964D77" w:rsidRPr="00964D77" w:rsidRDefault="00964D77" w:rsidP="00964D77">
      <w:pPr>
        <w:spacing w:line="0" w:lineRule="atLeast"/>
        <w:ind w:firstLine="708"/>
        <w:contextualSpacing/>
        <w:rPr>
          <w:rFonts w:asciiTheme="majorHAnsi" w:hAnsiTheme="majorHAnsi" w:cstheme="majorHAnsi"/>
          <w:sz w:val="20"/>
        </w:rPr>
      </w:pPr>
    </w:p>
    <w:p w:rsidR="00964D77" w:rsidRPr="00964D77" w:rsidRDefault="00964D77" w:rsidP="00165ED7">
      <w:pPr>
        <w:pStyle w:val="Nadpis1"/>
        <w:numPr>
          <w:ilvl w:val="0"/>
          <w:numId w:val="3"/>
        </w:numPr>
      </w:pPr>
      <w:r w:rsidRPr="00964D77">
        <w:lastRenderedPageBreak/>
        <w:t>Zabezpečenie evakuácie osôb</w:t>
      </w:r>
    </w:p>
    <w:p w:rsidR="00964D77" w:rsidRPr="00964D77" w:rsidRDefault="00964D77" w:rsidP="00964D77">
      <w:pPr>
        <w:rPr>
          <w:rFonts w:asciiTheme="majorHAnsi" w:hAnsiTheme="majorHAnsi" w:cstheme="majorHAnsi"/>
          <w:sz w:val="20"/>
        </w:rPr>
      </w:pP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 xml:space="preserve">Z požiarnych úsekov N1.02, N1.03  vedie  jedna nechránená úniková cesta, ktorej začiatok aj koniec je na osi požiarneho uzáveru medzi požiarnymi úsekmi (v súlade s </w:t>
      </w:r>
      <w:r w:rsidRPr="00964D77">
        <w:rPr>
          <w:rFonts w:asciiTheme="majorHAnsi" w:hAnsiTheme="majorHAnsi" w:cstheme="majorHAnsi"/>
          <w:bCs/>
          <w:sz w:val="20"/>
        </w:rPr>
        <w:t>§ 65 ods.5b Vyhl. MV SR č. 94/2004 Z.z)</w:t>
      </w:r>
      <w:r w:rsidRPr="00964D77">
        <w:rPr>
          <w:rFonts w:asciiTheme="majorHAnsi" w:hAnsiTheme="majorHAnsi" w:cstheme="majorHAnsi"/>
          <w:sz w:val="20"/>
        </w:rPr>
        <w:t xml:space="preserve">. Ďalej pokračuje nechránenou únikovou cestou susedným požiarnym úsekom N1.01 a z neho na voľné priestranstvo. Dovolené použitie jedinej únikovej cesty je v súlade s tab. 3  pol. 2  STN 92 0201-3.  </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 xml:space="preserve">V súlade s  </w:t>
      </w:r>
      <w:r w:rsidRPr="00964D77">
        <w:rPr>
          <w:rFonts w:asciiTheme="majorHAnsi" w:hAnsiTheme="majorHAnsi" w:cstheme="majorHAnsi"/>
          <w:bCs/>
          <w:sz w:val="20"/>
        </w:rPr>
        <w:t>§ 65 ods.5 Vyhl. MV SR č. 94/2004 Z.z</w:t>
      </w:r>
      <w:r w:rsidRPr="00964D77">
        <w:rPr>
          <w:rFonts w:asciiTheme="majorHAnsi" w:hAnsiTheme="majorHAnsi" w:cstheme="majorHAnsi"/>
          <w:sz w:val="20"/>
        </w:rPr>
        <w:t xml:space="preserve">. je začiatok nechránenej únikovej cesty z N1.01 na osi požiarneho uzáveru z N1.03 požiarneho úseku. Koniec únikovej cesty je na východe na voľné priestranstvo. Z požiarneho úseku N1.01 vedie jedna nechránená úniková cesta. Dovolené použitie jedinej únikovej cesty je v súlade s tab. 3  pol. 2  STN 92 0201-3.  </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 xml:space="preserve">Z požiarneho úseku je N1.04 je začiatok aj koniec nechránenej únikovej cesty na osi východu na voľné priestranstvo v súlade s </w:t>
      </w:r>
      <w:r w:rsidRPr="00964D77">
        <w:rPr>
          <w:rFonts w:asciiTheme="majorHAnsi" w:hAnsiTheme="majorHAnsi" w:cstheme="majorHAnsi"/>
          <w:bCs/>
          <w:sz w:val="20"/>
        </w:rPr>
        <w:t>§ 65 ods.5b Vyhl. MV SR č. 94/2004 Z.z</w:t>
      </w:r>
      <w:r w:rsidRPr="00964D77">
        <w:rPr>
          <w:rFonts w:asciiTheme="majorHAnsi" w:hAnsiTheme="majorHAnsi" w:cstheme="majorHAnsi"/>
          <w:sz w:val="20"/>
        </w:rPr>
        <w:t>. Počet normových osôb v stavbe bol stanovený v súlade s STN920241 nasledovne:</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-N1.01: 4x 0,5=2 n.o. (pol.10.1.2)</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-N1.03: 3 n.o.(pol. 11.5)</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-N1.04: 3 n.o. (pol.11.5)</w:t>
      </w:r>
    </w:p>
    <w:p w:rsidR="00964D77" w:rsidRPr="00964D77" w:rsidRDefault="00964D77" w:rsidP="00964D77">
      <w:pPr>
        <w:ind w:firstLine="576"/>
        <w:rPr>
          <w:rFonts w:asciiTheme="majorHAnsi" w:hAnsiTheme="majorHAnsi" w:cstheme="majorHAnsi"/>
          <w:sz w:val="20"/>
          <w:highlight w:val="yellow"/>
        </w:rPr>
      </w:pPr>
      <w:r w:rsidRPr="00964D77">
        <w:rPr>
          <w:rFonts w:asciiTheme="majorHAnsi" w:hAnsiTheme="majorHAnsi" w:cstheme="majorHAnsi"/>
          <w:bCs/>
          <w:sz w:val="20"/>
          <w:bdr w:val="none" w:sz="0" w:space="0" w:color="auto" w:frame="1"/>
        </w:rPr>
        <w:t xml:space="preserve">V požiarnom úseku N1.02 sú iba osoby už započítané v iných požiarnych úsekoch v stavbe. V posudzovanej stavbe je uvažovaná súčasná evakuácia. V stavbe je stanovený počet  10 normových osôb.  </w:t>
      </w:r>
    </w:p>
    <w:p w:rsidR="00964D77" w:rsidRPr="00964D77" w:rsidRDefault="00964D77" w:rsidP="00165ED7">
      <w:pPr>
        <w:pStyle w:val="Nadpis1"/>
      </w:pPr>
    </w:p>
    <w:p w:rsidR="00964D77" w:rsidRPr="00964D77" w:rsidRDefault="00964D77" w:rsidP="00165ED7">
      <w:pPr>
        <w:pStyle w:val="Nadpis1"/>
        <w:numPr>
          <w:ilvl w:val="0"/>
          <w:numId w:val="3"/>
        </w:numPr>
      </w:pPr>
      <w:r w:rsidRPr="00964D77">
        <w:t xml:space="preserve">Určenie požiadaviek na únikové cesty </w:t>
      </w:r>
    </w:p>
    <w:p w:rsidR="00964D77" w:rsidRPr="00964D77" w:rsidRDefault="00964D77" w:rsidP="00964D77">
      <w:pPr>
        <w:ind w:firstLine="708"/>
        <w:rPr>
          <w:rFonts w:asciiTheme="majorHAnsi" w:hAnsiTheme="majorHAnsi" w:cstheme="majorHAnsi"/>
          <w:sz w:val="20"/>
        </w:rPr>
      </w:pPr>
    </w:p>
    <w:p w:rsidR="00964D77" w:rsidRPr="00964D77" w:rsidRDefault="00964D77" w:rsidP="00964D77">
      <w:pPr>
        <w:ind w:firstLine="708"/>
        <w:rPr>
          <w:rFonts w:asciiTheme="majorHAnsi" w:hAnsiTheme="majorHAnsi" w:cstheme="majorHAnsi"/>
          <w:sz w:val="20"/>
        </w:rPr>
      </w:pPr>
      <w:r w:rsidRPr="00964D77">
        <w:rPr>
          <w:rFonts w:asciiTheme="majorHAnsi" w:hAnsiTheme="majorHAnsi" w:cstheme="majorHAnsi"/>
          <w:sz w:val="20"/>
        </w:rPr>
        <w:t>Dĺžka a šírka únikových ciest vyhovuje vyhláške Vyhl. MV SR č. 94/2004 Z.z. a STN 92 0201-3. Posúdenie únikových ciest je uvedené vo výpočtovej prílohe.</w:t>
      </w:r>
    </w:p>
    <w:p w:rsidR="00964D77" w:rsidRPr="00964D77" w:rsidRDefault="00964D77" w:rsidP="00964D77">
      <w:pPr>
        <w:ind w:firstLine="708"/>
        <w:rPr>
          <w:rFonts w:asciiTheme="majorHAnsi" w:hAnsiTheme="majorHAnsi" w:cstheme="majorHAnsi"/>
          <w:sz w:val="20"/>
        </w:rPr>
      </w:pPr>
      <w:r w:rsidRPr="00964D77">
        <w:rPr>
          <w:rFonts w:asciiTheme="majorHAnsi" w:hAnsiTheme="majorHAnsi" w:cstheme="majorHAnsi"/>
          <w:sz w:val="20"/>
        </w:rPr>
        <w:t xml:space="preserve">Dvere na únikovej ceste z riešeného objektu sa  musia otvárať v súlade s §71 ods.2 Vyhl. MV SR č. 94/2004 Z.z. v smere úniku, s výnimkou dvier z miestnosti alebo funkčne ucelenej skupiny miestností, u ktorých úniková cesta začína a dvier, ktoré vedú na voľné priestranstvo, cez ktoré sa vykonáva evakuácia max. 100 osôb.  </w:t>
      </w:r>
    </w:p>
    <w:p w:rsidR="00964D77" w:rsidRPr="00964D77" w:rsidRDefault="00964D77" w:rsidP="00964D77">
      <w:pPr>
        <w:ind w:firstLine="708"/>
        <w:rPr>
          <w:rFonts w:asciiTheme="majorHAnsi" w:hAnsiTheme="majorHAnsi" w:cstheme="majorHAnsi"/>
          <w:sz w:val="20"/>
        </w:rPr>
      </w:pPr>
      <w:r w:rsidRPr="00964D77">
        <w:rPr>
          <w:rFonts w:asciiTheme="majorHAnsi" w:hAnsiTheme="majorHAnsi" w:cstheme="majorHAnsi"/>
          <w:sz w:val="20"/>
        </w:rPr>
        <w:t xml:space="preserve">Dvere na únikovej ceste musia umožňovať bezpečný a rýchly prechod pri evakuácii osôb a nesmú brániť zásahu hasičskej jednotky v zmysle  §71 ods.1 Vyhl. MV SR č. 94/2004 Z.z.. </w:t>
      </w:r>
    </w:p>
    <w:p w:rsidR="00964D77" w:rsidRPr="00964D77" w:rsidRDefault="00964D77" w:rsidP="00964D77">
      <w:pPr>
        <w:ind w:firstLine="708"/>
        <w:rPr>
          <w:rFonts w:asciiTheme="majorHAnsi" w:hAnsiTheme="majorHAnsi" w:cstheme="majorHAnsi"/>
          <w:sz w:val="20"/>
        </w:rPr>
      </w:pPr>
      <w:r w:rsidRPr="00964D77">
        <w:rPr>
          <w:rFonts w:asciiTheme="majorHAnsi" w:hAnsiTheme="majorHAnsi" w:cstheme="majorHAnsi"/>
          <w:sz w:val="20"/>
        </w:rPr>
        <w:t xml:space="preserve">Započítateľná šírka únikovej cesty sa nesmie zužovať v smere úniku v zmysle § 69 ods. 1 Vyhl. MV SR č. 94/2004 Z.z. </w:t>
      </w:r>
    </w:p>
    <w:p w:rsidR="00964D77" w:rsidRPr="00964D77" w:rsidRDefault="00964D77" w:rsidP="00964D77">
      <w:pPr>
        <w:ind w:firstLine="708"/>
        <w:contextualSpacing/>
        <w:rPr>
          <w:rFonts w:asciiTheme="majorHAnsi" w:hAnsiTheme="majorHAnsi" w:cstheme="majorHAnsi"/>
          <w:b/>
          <w:sz w:val="20"/>
        </w:rPr>
      </w:pPr>
      <w:r w:rsidRPr="00964D77">
        <w:rPr>
          <w:rFonts w:asciiTheme="majorHAnsi" w:hAnsiTheme="majorHAnsi" w:cstheme="majorHAnsi"/>
          <w:b/>
          <w:sz w:val="20"/>
        </w:rPr>
        <w:t>Dverové krídlo, ktoré sa započítava do šírky únikovej cesty a je pri prevádzke zabezpečené, musí byť na strane v smere úniku opatrené stavebným kovaním podľa technickej normy STN EN 179 – núdzovým východovým uzáverom ( v zmysle § 71, ods. 4 Vyhl. MV SR č. 94/2004 Z.z.).</w:t>
      </w:r>
    </w:p>
    <w:p w:rsidR="00964D77" w:rsidRPr="00964D77" w:rsidRDefault="00964D77" w:rsidP="00964D77">
      <w:pPr>
        <w:ind w:firstLine="708"/>
        <w:rPr>
          <w:rFonts w:asciiTheme="majorHAnsi" w:hAnsiTheme="majorHAnsi" w:cstheme="majorHAnsi"/>
          <w:b/>
          <w:sz w:val="20"/>
        </w:rPr>
      </w:pPr>
      <w:r w:rsidRPr="00964D77">
        <w:rPr>
          <w:rFonts w:asciiTheme="majorHAnsi" w:hAnsiTheme="majorHAnsi" w:cstheme="majorHAnsi"/>
          <w:sz w:val="20"/>
        </w:rPr>
        <w:t>Ak má dverné krídlo plochu väčšiu ako 4m2 a cez tieto dvere vedie len jediná úniková cesta prechod osôb musí byť zabezpečený ďalším krídlom dverovým krídlom s menším rozmerom, najmenej však s rozmerom šírky únikovej cesty (min.800m pre posudzovanú stavbu), dverové krídlo s menším rozmerom môže byť súčasťou väčšieho dverového krídla v zmysle  §71 ods.5 Vyhl. MV SR č. 94/2004 Z.z</w:t>
      </w:r>
      <w:r w:rsidRPr="00964D77">
        <w:rPr>
          <w:rFonts w:asciiTheme="majorHAnsi" w:hAnsiTheme="majorHAnsi" w:cstheme="majorHAnsi"/>
          <w:b/>
          <w:sz w:val="20"/>
        </w:rPr>
        <w:t>..- v posudzovanej stavbe musí byť vložené v bráne dverné krídlo šírky min. 800mm.</w:t>
      </w:r>
    </w:p>
    <w:p w:rsidR="00964D77" w:rsidRPr="00964D77" w:rsidRDefault="00964D77" w:rsidP="00964D77">
      <w:pPr>
        <w:ind w:firstLine="708"/>
        <w:rPr>
          <w:rFonts w:asciiTheme="majorHAnsi" w:hAnsiTheme="majorHAnsi" w:cstheme="majorHAnsi"/>
          <w:sz w:val="20"/>
        </w:rPr>
      </w:pPr>
      <w:r w:rsidRPr="00964D77">
        <w:rPr>
          <w:rFonts w:asciiTheme="majorHAnsi" w:hAnsiTheme="majorHAnsi" w:cstheme="majorHAnsi"/>
          <w:sz w:val="20"/>
        </w:rPr>
        <w:t xml:space="preserve">Osvetlenie únikovej cesty je navrhované ako prirodzené a umelé. Nechránené únikové cesty slúžia na únik menej ako 50 osôb a preto nemusia byť vybavené núdzovým osvetlením v zmysle  §73 ods.2 Vyhl. MV SR č. 94/2004 Z.z.  </w:t>
      </w:r>
    </w:p>
    <w:p w:rsidR="00964D77" w:rsidRPr="00964D77" w:rsidRDefault="00964D77" w:rsidP="00964D77">
      <w:pPr>
        <w:ind w:firstLine="708"/>
        <w:rPr>
          <w:rFonts w:asciiTheme="majorHAnsi" w:hAnsiTheme="majorHAnsi" w:cstheme="majorHAnsi"/>
          <w:sz w:val="20"/>
        </w:rPr>
      </w:pPr>
      <w:r w:rsidRPr="00964D77">
        <w:rPr>
          <w:rFonts w:asciiTheme="majorHAnsi" w:hAnsiTheme="majorHAnsi" w:cstheme="majorHAnsi"/>
          <w:sz w:val="20"/>
        </w:rPr>
        <w:t>Smer úniku musí byť vyznačený požiarnymi bezpečnostnými značkami (čl. 19.1 STN 92 0201-03). Podlaha po oboch stranách dverí, ktorými prechádza úniková cesta musí byť vo vzdialenosti rovnajúcej sa aspoň šírke únikovej cesty v rovnakej výškovej úrovni, to neplatí na podlahu pri dverách na voľné priestranstvo, na terasu v zmysle § 70 ods. 1 Vyhl. MV SR č. 94/2004 Z.z..</w:t>
      </w:r>
    </w:p>
    <w:p w:rsidR="00964D77" w:rsidRPr="00964D77" w:rsidRDefault="00964D77" w:rsidP="00964D77">
      <w:pPr>
        <w:rPr>
          <w:rFonts w:asciiTheme="majorHAnsi" w:hAnsiTheme="majorHAnsi" w:cstheme="majorHAnsi"/>
          <w:sz w:val="20"/>
        </w:rPr>
      </w:pPr>
    </w:p>
    <w:p w:rsidR="00964D77" w:rsidRPr="00964D77" w:rsidRDefault="00964D77" w:rsidP="00165ED7">
      <w:pPr>
        <w:pStyle w:val="Nadpis1"/>
        <w:numPr>
          <w:ilvl w:val="0"/>
          <w:numId w:val="3"/>
        </w:numPr>
        <w:rPr>
          <w:shd w:val="clear" w:color="auto" w:fill="FFFFFF"/>
        </w:rPr>
      </w:pPr>
      <w:r w:rsidRPr="00964D77">
        <w:rPr>
          <w:shd w:val="clear" w:color="auto" w:fill="FFFFFF"/>
        </w:rPr>
        <w:t xml:space="preserve">Odstupové vzdialenosti </w:t>
      </w:r>
    </w:p>
    <w:p w:rsidR="00964D77" w:rsidRPr="00964D77" w:rsidRDefault="00964D77" w:rsidP="00964D77">
      <w:pPr>
        <w:rPr>
          <w:rFonts w:asciiTheme="majorHAnsi" w:hAnsiTheme="majorHAnsi" w:cstheme="majorHAnsi"/>
          <w:sz w:val="20"/>
        </w:rPr>
      </w:pP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 xml:space="preserve">Odstupové vzdialenosti sú pre každú obvodovú stenu  každého požiarneho úseku počítané samostatne. </w:t>
      </w:r>
    </w:p>
    <w:p w:rsidR="00964D77" w:rsidRPr="00964D77" w:rsidRDefault="00964D77" w:rsidP="00964D77">
      <w:pPr>
        <w:rPr>
          <w:rFonts w:asciiTheme="majorHAnsi" w:hAnsiTheme="majorHAnsi" w:cstheme="majorHAnsi"/>
          <w:sz w:val="20"/>
        </w:rPr>
      </w:pPr>
      <w:r w:rsidRPr="00964D77">
        <w:rPr>
          <w:rFonts w:asciiTheme="majorHAnsi" w:hAnsiTheme="majorHAnsi" w:cstheme="majorHAnsi"/>
          <w:sz w:val="20"/>
        </w:rPr>
        <w:t>Požiarne nebezpečný priestor je okolo stavby vymedzený odstupovou vzdialenosťou v súlade s STN 92 0201-4 TAB. 3.  Obvodová stena  s exteriérovým dreveným obkladom hr.25mm  na oceľovej podkonštrukcii tvorí čiastočne otvorenú požiarnu plochu v zmysle čl. 4.1.3 STN 920201-4, čo bolo zohľadnené pri výpočte odstupových vzdialeností.</w:t>
      </w:r>
    </w:p>
    <w:p w:rsidR="00964D77" w:rsidRPr="00964D77" w:rsidRDefault="00964D77" w:rsidP="00964D77">
      <w:pPr>
        <w:ind w:firstLine="709"/>
        <w:rPr>
          <w:rFonts w:asciiTheme="majorHAnsi" w:hAnsiTheme="majorHAnsi" w:cstheme="majorHAnsi"/>
          <w:sz w:val="20"/>
          <w:u w:val="single"/>
        </w:rPr>
      </w:pPr>
      <w:r w:rsidRPr="00964D77">
        <w:rPr>
          <w:rFonts w:asciiTheme="majorHAnsi" w:hAnsiTheme="majorHAnsi" w:cstheme="majorHAnsi"/>
          <w:sz w:val="20"/>
        </w:rPr>
        <w:lastRenderedPageBreak/>
        <w:t xml:space="preserve">Požiarne úseky v posudzovanej stavbe sa navzájom nenachádzajú v požiarne nebezpečných priestoroch. V požiarne nebezpečnom priestore stavby sa nenachádzajú žiadne existujúce susedné objekty ani plánované objekty </w:t>
      </w:r>
      <w:r w:rsidRPr="00964D77">
        <w:rPr>
          <w:rFonts w:asciiTheme="majorHAnsi" w:hAnsiTheme="majorHAnsi" w:cstheme="majorHAnsi"/>
          <w:sz w:val="20"/>
          <w:u w:val="single"/>
        </w:rPr>
        <w:t xml:space="preserve">(okrem murovanej štítovej steny zateplenej minerálnou vlnou s povrchovou úpravou omietkou plánovaného objektu SO03- požiadavky na obvodovú stenu v požiarne nebezpečnom priestore sú stanovené v technickej správe pre SO02 a znázornené vo výkresovej časti SO02). </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Požiarne nebezpečné priestory susedných objektov a ani  navrhovaných objektov v rámci vinárstva S Strekov (požiarne nebezpečný priestor od navrhovaných objektov  je znázornený v situácii a posúdený v samostatných technických správach príslušných objektov)  nezasahujú k posudzovanému objektu.</w:t>
      </w:r>
      <w:r w:rsidRPr="00964D77">
        <w:rPr>
          <w:rFonts w:asciiTheme="majorHAnsi" w:hAnsiTheme="majorHAnsi" w:cstheme="majorHAnsi"/>
          <w:b/>
          <w:sz w:val="20"/>
        </w:rPr>
        <w:tab/>
        <w:t xml:space="preserve"> </w:t>
      </w:r>
    </w:p>
    <w:p w:rsidR="00964D77" w:rsidRPr="00964D77" w:rsidRDefault="00964D77" w:rsidP="00964D77">
      <w:pPr>
        <w:autoSpaceDE w:val="0"/>
        <w:autoSpaceDN w:val="0"/>
        <w:adjustRightInd w:val="0"/>
        <w:ind w:firstLine="709"/>
        <w:rPr>
          <w:rFonts w:asciiTheme="majorHAnsi" w:hAnsiTheme="majorHAnsi" w:cstheme="majorHAnsi"/>
          <w:sz w:val="20"/>
        </w:rPr>
      </w:pPr>
      <w:r w:rsidRPr="00964D77">
        <w:rPr>
          <w:rFonts w:asciiTheme="majorHAnsi" w:hAnsiTheme="majorHAnsi" w:cstheme="majorHAnsi"/>
          <w:sz w:val="20"/>
        </w:rPr>
        <w:t>Odstupová vzdialenosť od odpadávania horľavých materiálov je 5,93x0,36= 2,2m (hodnotená najnepriaznivejšia situácia). Stavba svojim umiestnením vyhovuje v plnom rozsahu ustanoveniam STN 92 0201-4. Podrobný výpočet stanovených odstupových vzdialeností je uvedený vo výpočtovej  prílohe.</w:t>
      </w:r>
    </w:p>
    <w:p w:rsidR="00964D77" w:rsidRPr="00964D77" w:rsidRDefault="00964D77" w:rsidP="00964D77">
      <w:pPr>
        <w:ind w:firstLine="709"/>
        <w:rPr>
          <w:rFonts w:asciiTheme="majorHAnsi" w:hAnsiTheme="majorHAnsi" w:cstheme="majorHAnsi"/>
          <w:sz w:val="20"/>
          <w:shd w:val="clear" w:color="auto" w:fill="FFFFFF"/>
        </w:rPr>
      </w:pPr>
    </w:p>
    <w:p w:rsidR="00964D77" w:rsidRPr="00964D77" w:rsidRDefault="00964D77" w:rsidP="00165ED7">
      <w:pPr>
        <w:pStyle w:val="Nadpis1"/>
        <w:numPr>
          <w:ilvl w:val="0"/>
          <w:numId w:val="3"/>
        </w:numPr>
      </w:pPr>
      <w:r w:rsidRPr="00964D77">
        <w:t xml:space="preserve">Zariadenia na zásah </w:t>
      </w:r>
    </w:p>
    <w:p w:rsidR="00964D77" w:rsidRPr="00964D77" w:rsidRDefault="00964D77" w:rsidP="00964D77">
      <w:pPr>
        <w:rPr>
          <w:rFonts w:asciiTheme="majorHAnsi" w:hAnsiTheme="majorHAnsi" w:cstheme="majorHAnsi"/>
          <w:sz w:val="20"/>
        </w:rPr>
      </w:pP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 xml:space="preserve">Za prístupovú komunikáciu možno považovať komunikáciu  k stavbe, ktorá v plnej miere spĺňa požiadavky § 82 Vyhl. MV SR č.94/2004 Z.z. t.j. široká minimálne </w:t>
      </w:r>
      <w:smartTag w:uri="urn:schemas-microsoft-com:office:smarttags" w:element="metricconverter">
        <w:smartTagPr>
          <w:attr w:name="ProductID" w:val="3,0 m"/>
        </w:smartTagPr>
        <w:r w:rsidRPr="00964D77">
          <w:rPr>
            <w:rFonts w:asciiTheme="majorHAnsi" w:hAnsiTheme="majorHAnsi" w:cstheme="majorHAnsi"/>
            <w:sz w:val="20"/>
          </w:rPr>
          <w:t>3,0 m</w:t>
        </w:r>
      </w:smartTag>
      <w:r w:rsidRPr="00964D77">
        <w:rPr>
          <w:rFonts w:asciiTheme="majorHAnsi" w:hAnsiTheme="majorHAnsi" w:cstheme="majorHAnsi"/>
          <w:sz w:val="20"/>
        </w:rPr>
        <w:t>, nachádzajúca sa do vzdialenosti 30m od vchodu do navrhovanej stavby  a dimenzovaná na tiaž 80 kN (zaťaženie jednou nápravou vozidla). Vjazd a prejazd na prístupovú komunikáciu musí mať min. širku 3,5m a výšku 4,5m v súlade  s ods.4) § 82 Vyhl. MV SR č.94/2004 Z.z..</w:t>
      </w:r>
    </w:p>
    <w:p w:rsidR="00964D77" w:rsidRPr="00964D77" w:rsidRDefault="00964D77" w:rsidP="00964D77">
      <w:pPr>
        <w:ind w:firstLine="709"/>
        <w:rPr>
          <w:rFonts w:asciiTheme="majorHAnsi" w:hAnsiTheme="majorHAnsi" w:cstheme="majorHAnsi"/>
          <w:b/>
          <w:bCs/>
          <w:sz w:val="20"/>
          <w:u w:val="single"/>
        </w:rPr>
      </w:pPr>
      <w:r w:rsidRPr="00964D77">
        <w:rPr>
          <w:rFonts w:asciiTheme="majorHAnsi" w:hAnsiTheme="majorHAnsi" w:cstheme="majorHAnsi"/>
          <w:sz w:val="20"/>
        </w:rPr>
        <w:t xml:space="preserve">Na existujúcu prístupovú komunikáciu sa bude napájať navrhovaná prístupová spevnená vnútroareálová komunikácia min. šírky 3,5m a dĺžky do 50m, ktorá vedie až k posudzovanému objektu.  </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 xml:space="preserve">Prístupová komunikácia pri navrhovanej stavbe spĺňa požiadavky § 82 Vyhl. MV SR č.94/2004 Z.z.. Nástupná plocha nemusí byť  zriadená v nadväznosti na ods. 1a) § 83 Vyhl. MV SR č. 94/2004 Z.z., nakoľko požiarna výška stavby je menej ako 9,0m. </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Vnútorná zásahová cesta nemusí byť  vybudovaná v súlade  s ods. 1) § 84 Vyhl. MV SR č.94/2004 Z.z.. V zmysle ods.3 § 86 Vyhl. MV SR č.94/2004 Z.z. nemusí byť posudzovaná stavba vybavená požiarnym rebríkom a požiarnym schodiskom, nakoľko pôdorysná plocha je menšia ako 200m².</w:t>
      </w:r>
    </w:p>
    <w:p w:rsidR="00964D77" w:rsidRPr="00964D77" w:rsidRDefault="00964D77" w:rsidP="00964D77">
      <w:pPr>
        <w:ind w:firstLine="709"/>
        <w:rPr>
          <w:rFonts w:asciiTheme="majorHAnsi" w:hAnsiTheme="majorHAnsi" w:cstheme="majorHAnsi"/>
          <w:sz w:val="20"/>
        </w:rPr>
      </w:pPr>
    </w:p>
    <w:p w:rsidR="00964D77" w:rsidRPr="00964D77" w:rsidRDefault="00964D77" w:rsidP="00165ED7">
      <w:pPr>
        <w:pStyle w:val="Nadpis1"/>
        <w:rPr>
          <w:shd w:val="clear" w:color="auto" w:fill="FFFFFF"/>
        </w:rPr>
      </w:pPr>
      <w:r w:rsidRPr="00964D77">
        <w:rPr>
          <w:shd w:val="clear" w:color="auto" w:fill="FFFFFF"/>
        </w:rPr>
        <w:t>Požiarnotechnické zariadenia</w:t>
      </w:r>
    </w:p>
    <w:p w:rsidR="00964D77" w:rsidRPr="00964D77" w:rsidRDefault="00964D77" w:rsidP="00964D77">
      <w:pPr>
        <w:autoSpaceDE w:val="0"/>
        <w:autoSpaceDN w:val="0"/>
        <w:adjustRightInd w:val="0"/>
        <w:ind w:firstLine="709"/>
        <w:rPr>
          <w:rFonts w:asciiTheme="majorHAnsi" w:hAnsiTheme="majorHAnsi" w:cstheme="majorHAnsi"/>
          <w:sz w:val="20"/>
        </w:rPr>
      </w:pPr>
    </w:p>
    <w:p w:rsidR="00964D77" w:rsidRDefault="00964D77" w:rsidP="00964D77">
      <w:pPr>
        <w:autoSpaceDE w:val="0"/>
        <w:autoSpaceDN w:val="0"/>
        <w:adjustRightInd w:val="0"/>
        <w:ind w:firstLine="709"/>
        <w:rPr>
          <w:rFonts w:asciiTheme="majorHAnsi" w:hAnsiTheme="majorHAnsi" w:cstheme="majorHAnsi"/>
          <w:sz w:val="20"/>
        </w:rPr>
      </w:pPr>
      <w:r w:rsidRPr="00964D77">
        <w:rPr>
          <w:rFonts w:asciiTheme="majorHAnsi" w:hAnsiTheme="majorHAnsi" w:cstheme="majorHAnsi"/>
          <w:sz w:val="20"/>
        </w:rPr>
        <w:t>Stavebný objekt nemusí byť vybavený stabilným hasiacim zariadením, elektrickou požiarnou signalizáciou a zariadením na odvod tepla a splodín horenia, hlasovou signalizáciou požiaru ( podľa § 88, § 87 , § 90 vyhl. MV SR č. 94/2004 Z.z ).</w:t>
      </w:r>
    </w:p>
    <w:p w:rsidR="00964D77" w:rsidRDefault="00964D77" w:rsidP="00964D77">
      <w:pPr>
        <w:autoSpaceDE w:val="0"/>
        <w:autoSpaceDN w:val="0"/>
        <w:adjustRightInd w:val="0"/>
        <w:ind w:firstLine="709"/>
        <w:rPr>
          <w:rFonts w:asciiTheme="majorHAnsi" w:hAnsiTheme="majorHAnsi" w:cstheme="majorHAnsi"/>
          <w:sz w:val="20"/>
        </w:rPr>
      </w:pPr>
    </w:p>
    <w:p w:rsidR="00964D77" w:rsidRDefault="00964D77" w:rsidP="00964D77">
      <w:pPr>
        <w:autoSpaceDE w:val="0"/>
        <w:autoSpaceDN w:val="0"/>
        <w:adjustRightInd w:val="0"/>
        <w:ind w:firstLine="709"/>
        <w:rPr>
          <w:rFonts w:asciiTheme="majorHAnsi" w:hAnsiTheme="majorHAnsi" w:cstheme="majorHAnsi"/>
          <w:sz w:val="20"/>
        </w:rPr>
      </w:pPr>
    </w:p>
    <w:p w:rsidR="00964D77" w:rsidRDefault="00964D77" w:rsidP="00964D77">
      <w:pPr>
        <w:pStyle w:val="Nadpis3"/>
        <w:numPr>
          <w:ilvl w:val="0"/>
          <w:numId w:val="0"/>
        </w:numPr>
        <w:suppressAutoHyphens/>
        <w:overflowPunct/>
        <w:autoSpaceDE/>
        <w:autoSpaceDN/>
        <w:adjustRightInd/>
        <w:spacing w:before="0" w:after="0"/>
        <w:ind w:left="397" w:hanging="397"/>
        <w:textAlignment w:val="auto"/>
        <w:rPr>
          <w:rFonts w:asciiTheme="majorHAnsi" w:hAnsiTheme="majorHAnsi" w:cstheme="majorHAnsi"/>
          <w:b/>
          <w:shd w:val="clear" w:color="auto" w:fill="FFFFFF"/>
        </w:rPr>
      </w:pPr>
    </w:p>
    <w:p w:rsidR="00964D77" w:rsidRPr="00964D77" w:rsidRDefault="00964D77" w:rsidP="00964D77">
      <w:pPr>
        <w:rPr>
          <w:lang w:val="cs-CZ"/>
        </w:rPr>
      </w:pPr>
    </w:p>
    <w:p w:rsidR="00964D77" w:rsidRDefault="00964D77" w:rsidP="00964D77">
      <w:pPr>
        <w:pStyle w:val="Nadpis3"/>
        <w:numPr>
          <w:ilvl w:val="0"/>
          <w:numId w:val="0"/>
        </w:numPr>
        <w:suppressAutoHyphens/>
        <w:overflowPunct/>
        <w:autoSpaceDE/>
        <w:autoSpaceDN/>
        <w:adjustRightInd/>
        <w:spacing w:before="0" w:after="0"/>
        <w:ind w:left="397" w:hanging="397"/>
        <w:textAlignment w:val="auto"/>
        <w:rPr>
          <w:rFonts w:asciiTheme="majorHAnsi" w:hAnsiTheme="majorHAnsi" w:cstheme="majorHAnsi"/>
          <w:b/>
          <w:shd w:val="clear" w:color="auto" w:fill="FFFFFF"/>
        </w:rPr>
      </w:pPr>
      <w:r w:rsidRPr="00964D77">
        <w:rPr>
          <w:rFonts w:asciiTheme="majorHAnsi" w:hAnsiTheme="majorHAnsi" w:cstheme="majorHAnsi"/>
          <w:b/>
          <w:shd w:val="clear" w:color="auto" w:fill="FFFFFF"/>
        </w:rPr>
        <w:t>Zabezpečenie stavby vodou na hasenie požiarov</w:t>
      </w:r>
    </w:p>
    <w:p w:rsidR="00964D77" w:rsidRPr="00964D77" w:rsidRDefault="00964D77" w:rsidP="00964D77">
      <w:pPr>
        <w:rPr>
          <w:rFonts w:eastAsia="Calibri"/>
          <w:lang w:val="cs-CZ" w:eastAsia="en-US"/>
        </w:rPr>
      </w:pPr>
    </w:p>
    <w:p w:rsidR="00964D77" w:rsidRPr="00964D77" w:rsidRDefault="00964D77" w:rsidP="00964D77">
      <w:pPr>
        <w:pStyle w:val="Zkladntext24"/>
        <w:ind w:firstLine="708"/>
        <w:rPr>
          <w:rFonts w:asciiTheme="majorHAnsi" w:eastAsia="Calibri" w:hAnsiTheme="majorHAnsi" w:cstheme="majorHAnsi"/>
          <w:b w:val="0"/>
          <w:bCs/>
          <w:sz w:val="20"/>
          <w:lang w:eastAsia="en-US"/>
        </w:rPr>
      </w:pPr>
      <w:r w:rsidRPr="00964D77">
        <w:rPr>
          <w:rFonts w:asciiTheme="majorHAnsi" w:eastAsia="Calibri" w:hAnsiTheme="majorHAnsi" w:cstheme="majorHAnsi"/>
          <w:b w:val="0"/>
          <w:bCs/>
          <w:sz w:val="20"/>
          <w:lang w:eastAsia="en-US"/>
        </w:rPr>
        <w:t xml:space="preserve">Podľa § 6 ods. 1 Vyhl. MV SR č. 699/2004 Z.z. a STN 92 0400 čl. 4.1 sa potreba vody na hasenie rovná maximálne Q = 12 l.s-1 pre v= </w:t>
      </w:r>
      <w:smartTag w:uri="urn:schemas-microsoft-com:office:smarttags" w:element="metricconverter">
        <w:smartTagPr>
          <w:attr w:name="ProductID" w:val="1,5 m"/>
        </w:smartTagPr>
        <w:r w:rsidRPr="00964D77">
          <w:rPr>
            <w:rFonts w:asciiTheme="majorHAnsi" w:eastAsia="Calibri" w:hAnsiTheme="majorHAnsi" w:cstheme="majorHAnsi"/>
            <w:b w:val="0"/>
            <w:bCs/>
            <w:sz w:val="20"/>
            <w:lang w:eastAsia="en-US"/>
          </w:rPr>
          <w:t>1,5 m</w:t>
        </w:r>
      </w:smartTag>
      <w:r w:rsidRPr="00964D77">
        <w:rPr>
          <w:rFonts w:asciiTheme="majorHAnsi" w:eastAsia="Calibri" w:hAnsiTheme="majorHAnsi" w:cstheme="majorHAnsi"/>
          <w:b w:val="0"/>
          <w:bCs/>
          <w:sz w:val="20"/>
          <w:lang w:eastAsia="en-US"/>
        </w:rPr>
        <w:t xml:space="preserve">.s-1 alt. 22m3. </w:t>
      </w:r>
      <w:r w:rsidRPr="00964D77">
        <w:rPr>
          <w:rFonts w:asciiTheme="majorHAnsi" w:eastAsia="Calibri" w:hAnsiTheme="majorHAnsi" w:cstheme="majorHAnsi"/>
          <w:b w:val="0"/>
          <w:bCs/>
          <w:sz w:val="20"/>
          <w:u w:val="single"/>
          <w:lang w:eastAsia="en-US"/>
        </w:rPr>
        <w:t xml:space="preserve">V zmysle </w:t>
      </w:r>
      <w:r w:rsidRPr="00964D77">
        <w:rPr>
          <w:rFonts w:asciiTheme="majorHAnsi" w:hAnsiTheme="majorHAnsi" w:cstheme="majorHAnsi"/>
          <w:b w:val="0"/>
          <w:sz w:val="20"/>
          <w:u w:val="single"/>
        </w:rPr>
        <w:t xml:space="preserve">§3  vyhl. </w:t>
      </w:r>
      <w:r w:rsidRPr="00964D77">
        <w:rPr>
          <w:rFonts w:asciiTheme="majorHAnsi" w:eastAsia="Calibri" w:hAnsiTheme="majorHAnsi" w:cstheme="majorHAnsi"/>
          <w:b w:val="0"/>
          <w:bCs/>
          <w:sz w:val="20"/>
          <w:u w:val="single"/>
          <w:lang w:eastAsia="en-US"/>
        </w:rPr>
        <w:t>MV 699/2004 Z.z musí byť stavba pre prípad vzniku požiaru zabezpečená vodou na hasenie požiarov.</w:t>
      </w:r>
      <w:r w:rsidRPr="00964D77">
        <w:rPr>
          <w:rFonts w:asciiTheme="majorHAnsi" w:eastAsia="Calibri" w:hAnsiTheme="majorHAnsi" w:cstheme="majorHAnsi"/>
          <w:b w:val="0"/>
          <w:bCs/>
          <w:sz w:val="20"/>
          <w:lang w:eastAsia="en-US"/>
        </w:rPr>
        <w:t xml:space="preserve"> </w:t>
      </w:r>
    </w:p>
    <w:p w:rsidR="00964D77" w:rsidRPr="00964D77" w:rsidRDefault="00964D77" w:rsidP="00964D77">
      <w:pPr>
        <w:pStyle w:val="Zkladntext24"/>
        <w:rPr>
          <w:rFonts w:asciiTheme="majorHAnsi" w:eastAsia="Calibri" w:hAnsiTheme="majorHAnsi" w:cstheme="majorHAnsi"/>
          <w:b w:val="0"/>
          <w:bCs/>
          <w:sz w:val="20"/>
          <w:lang w:eastAsia="en-US"/>
        </w:rPr>
      </w:pPr>
      <w:r w:rsidRPr="00964D77">
        <w:rPr>
          <w:rFonts w:asciiTheme="majorHAnsi" w:eastAsia="Calibri" w:hAnsiTheme="majorHAnsi" w:cstheme="majorHAnsi"/>
          <w:b w:val="0"/>
          <w:bCs/>
          <w:sz w:val="20"/>
          <w:lang w:eastAsia="en-US"/>
        </w:rPr>
        <w:t xml:space="preserve">Potreba vody na hasenie bude zabezpečená z navrhovanej podzemnej požiarnej nádrže s min. objemom vody 22m3 (napr. Klartec, Technotip), ktorá bude slúžiť ako zdroj vody na hasenie v rámci areálu. </w:t>
      </w:r>
    </w:p>
    <w:p w:rsidR="00964D77" w:rsidRPr="00964D77" w:rsidRDefault="00964D77" w:rsidP="00964D77">
      <w:pPr>
        <w:pStyle w:val="Zkladntext24"/>
        <w:rPr>
          <w:rFonts w:asciiTheme="majorHAnsi" w:hAnsiTheme="majorHAnsi" w:cstheme="majorHAnsi"/>
          <w:b w:val="0"/>
          <w:sz w:val="20"/>
          <w:u w:val="single"/>
        </w:rPr>
      </w:pPr>
      <w:r w:rsidRPr="00964D77">
        <w:rPr>
          <w:rFonts w:asciiTheme="majorHAnsi" w:eastAsia="Calibri" w:hAnsiTheme="majorHAnsi" w:cstheme="majorHAnsi"/>
          <w:b w:val="0"/>
          <w:bCs/>
          <w:sz w:val="20"/>
          <w:lang w:eastAsia="en-US"/>
        </w:rPr>
        <w:t xml:space="preserve">Požiarna nádrž bude umiestnená mimo požiarne nebezpečného priestoru stavby, do vzdialenosti 80m od riešenej stavby (poloha nádrže aj odberného miesta z nej je znázornená v situácii) pri prístupovej komunikácii. </w:t>
      </w:r>
      <w:r w:rsidRPr="00964D77">
        <w:rPr>
          <w:rFonts w:asciiTheme="majorHAnsi" w:eastAsia="Calibri" w:hAnsiTheme="majorHAnsi" w:cstheme="majorHAnsi"/>
          <w:b w:val="0"/>
          <w:sz w:val="20"/>
          <w:u w:val="single"/>
          <w:lang w:eastAsia="en-US"/>
        </w:rPr>
        <w:t>Požiadavky na požiarnu nádrž sú uvedené v technickej správe objektu SO02.</w:t>
      </w:r>
    </w:p>
    <w:p w:rsidR="00964D77" w:rsidRPr="00964D77" w:rsidRDefault="00964D77" w:rsidP="00964D77">
      <w:pPr>
        <w:pStyle w:val="Zkladntext24"/>
        <w:rPr>
          <w:rFonts w:asciiTheme="majorHAnsi" w:hAnsiTheme="majorHAnsi" w:cstheme="majorHAnsi"/>
          <w:b w:val="0"/>
          <w:bCs/>
          <w:color w:val="222222"/>
          <w:sz w:val="20"/>
          <w:u w:val="single"/>
          <w:shd w:val="clear" w:color="auto" w:fill="FFFFFF"/>
        </w:rPr>
      </w:pPr>
      <w:r w:rsidRPr="00964D77">
        <w:rPr>
          <w:rFonts w:asciiTheme="majorHAnsi" w:eastAsia="Calibri" w:hAnsiTheme="majorHAnsi" w:cstheme="majorHAnsi"/>
          <w:b w:val="0"/>
          <w:bCs/>
          <w:sz w:val="20"/>
          <w:u w:val="single"/>
          <w:lang w:eastAsia="en-US"/>
        </w:rPr>
        <w:t xml:space="preserve">Odberné miesto musí byť viditeľne označené červenou farbou a umiestnené tak, aby bolo vždy prístupné pre hasičskú techniku a prevádzkyschopné (v zmysle ods. 7 </w:t>
      </w:r>
      <w:r w:rsidRPr="00964D77">
        <w:rPr>
          <w:rFonts w:asciiTheme="majorHAnsi" w:hAnsiTheme="majorHAnsi" w:cstheme="majorHAnsi"/>
          <w:b w:val="0"/>
          <w:sz w:val="20"/>
          <w:u w:val="single"/>
        </w:rPr>
        <w:t xml:space="preserve">§ 8  vyhl. </w:t>
      </w:r>
      <w:r w:rsidRPr="00964D77">
        <w:rPr>
          <w:rFonts w:asciiTheme="majorHAnsi" w:eastAsia="Calibri" w:hAnsiTheme="majorHAnsi" w:cstheme="majorHAnsi"/>
          <w:b w:val="0"/>
          <w:bCs/>
          <w:sz w:val="20"/>
          <w:u w:val="single"/>
          <w:lang w:eastAsia="en-US"/>
        </w:rPr>
        <w:t xml:space="preserve">MV 699/2004 Z.z..). </w:t>
      </w:r>
      <w:r w:rsidRPr="00964D77">
        <w:rPr>
          <w:rFonts w:asciiTheme="majorHAnsi" w:eastAsia="Calibri" w:hAnsiTheme="majorHAnsi" w:cstheme="majorHAnsi"/>
          <w:b w:val="0"/>
          <w:bCs/>
          <w:sz w:val="20"/>
          <w:lang w:eastAsia="en-US"/>
        </w:rPr>
        <w:tab/>
        <w:t xml:space="preserve"> </w:t>
      </w:r>
    </w:p>
    <w:p w:rsidR="00964D77" w:rsidRPr="00964D77" w:rsidRDefault="00964D77" w:rsidP="00964D77">
      <w:pPr>
        <w:pStyle w:val="Zkladntext24"/>
        <w:rPr>
          <w:rFonts w:asciiTheme="majorHAnsi" w:eastAsia="Calibri" w:hAnsiTheme="majorHAnsi" w:cstheme="majorHAnsi"/>
          <w:b w:val="0"/>
          <w:bCs/>
          <w:sz w:val="20"/>
          <w:lang w:eastAsia="en-US"/>
        </w:rPr>
      </w:pPr>
      <w:r w:rsidRPr="00964D77">
        <w:rPr>
          <w:rFonts w:asciiTheme="majorHAnsi" w:eastAsia="Calibri" w:hAnsiTheme="majorHAnsi" w:cstheme="majorHAnsi"/>
          <w:b w:val="0"/>
          <w:bCs/>
          <w:sz w:val="20"/>
          <w:lang w:eastAsia="en-US"/>
        </w:rPr>
        <w:t>Hadicové zariadenie nie je navrhované podľa čl. 3.4.2 a)  STN 92 0400 a v zmysle vyhl. MV 699/2004 Z.z.</w:t>
      </w:r>
    </w:p>
    <w:p w:rsidR="00964D77" w:rsidRPr="00964D77" w:rsidRDefault="00964D77" w:rsidP="00964D77">
      <w:pPr>
        <w:pStyle w:val="Zkladntext24"/>
        <w:rPr>
          <w:rFonts w:asciiTheme="majorHAnsi" w:hAnsiTheme="majorHAnsi" w:cstheme="majorHAnsi"/>
          <w:sz w:val="20"/>
        </w:rPr>
      </w:pPr>
    </w:p>
    <w:p w:rsidR="00964D77" w:rsidRPr="00964D77" w:rsidRDefault="00964D77" w:rsidP="00964D77">
      <w:pPr>
        <w:pStyle w:val="Nadpis3"/>
        <w:numPr>
          <w:ilvl w:val="2"/>
          <w:numId w:val="3"/>
        </w:numPr>
        <w:suppressAutoHyphens/>
        <w:overflowPunct/>
        <w:autoSpaceDE/>
        <w:autoSpaceDN/>
        <w:adjustRightInd/>
        <w:spacing w:before="120" w:after="0"/>
        <w:textAlignment w:val="auto"/>
        <w:rPr>
          <w:rFonts w:asciiTheme="majorHAnsi" w:hAnsiTheme="majorHAnsi" w:cstheme="majorHAnsi"/>
          <w:b/>
          <w:shd w:val="clear" w:color="auto" w:fill="FFFFFF"/>
        </w:rPr>
      </w:pPr>
      <w:r w:rsidRPr="00964D77">
        <w:rPr>
          <w:rFonts w:asciiTheme="majorHAnsi" w:hAnsiTheme="majorHAnsi" w:cstheme="majorHAnsi"/>
          <w:b/>
          <w:shd w:val="clear" w:color="auto" w:fill="FFFFFF"/>
        </w:rPr>
        <w:t>Prenosné hasiace prístroje</w:t>
      </w:r>
    </w:p>
    <w:p w:rsidR="00964D77" w:rsidRPr="00964D77" w:rsidRDefault="00964D77" w:rsidP="00964D77">
      <w:pPr>
        <w:rPr>
          <w:rFonts w:asciiTheme="majorHAnsi" w:hAnsiTheme="majorHAnsi" w:cstheme="majorHAnsi"/>
          <w:sz w:val="20"/>
        </w:rPr>
      </w:pPr>
    </w:p>
    <w:p w:rsidR="00964D77" w:rsidRPr="00964D77" w:rsidRDefault="00964D77" w:rsidP="00964D77">
      <w:pPr>
        <w:ind w:firstLine="708"/>
        <w:rPr>
          <w:rFonts w:asciiTheme="majorHAnsi" w:hAnsiTheme="majorHAnsi" w:cstheme="majorHAnsi"/>
          <w:bCs/>
          <w:sz w:val="20"/>
        </w:rPr>
      </w:pPr>
      <w:r w:rsidRPr="00964D77">
        <w:rPr>
          <w:rFonts w:asciiTheme="majorHAnsi" w:hAnsiTheme="majorHAnsi" w:cstheme="majorHAnsi"/>
          <w:bCs/>
          <w:sz w:val="20"/>
        </w:rPr>
        <w:t xml:space="preserve">Pre rýchly zásah proti požiaru musia byť požiarne úseky v objekte vybavené prenosnými hasiacimi prístrojmi. Navrhované sú práškové hasiace prístroje s náplňou </w:t>
      </w:r>
      <w:smartTag w:uri="urn:schemas-microsoft-com:office:smarttags" w:element="metricconverter">
        <w:smartTagPr>
          <w:attr w:name="ProductID" w:val="6 kg"/>
        </w:smartTagPr>
        <w:r w:rsidRPr="00964D77">
          <w:rPr>
            <w:rFonts w:asciiTheme="majorHAnsi" w:hAnsiTheme="majorHAnsi" w:cstheme="majorHAnsi"/>
            <w:bCs/>
            <w:sz w:val="20"/>
          </w:rPr>
          <w:t>6 kg</w:t>
        </w:r>
      </w:smartTag>
      <w:r w:rsidRPr="00964D77">
        <w:rPr>
          <w:rFonts w:asciiTheme="majorHAnsi" w:hAnsiTheme="majorHAnsi" w:cstheme="majorHAnsi"/>
          <w:bCs/>
          <w:sz w:val="20"/>
        </w:rPr>
        <w:t xml:space="preserve"> prášku ABC.  </w:t>
      </w:r>
    </w:p>
    <w:p w:rsidR="00964D77" w:rsidRPr="00964D77" w:rsidRDefault="00964D77" w:rsidP="00964D77">
      <w:pPr>
        <w:pStyle w:val="Zkladntext24"/>
        <w:rPr>
          <w:rFonts w:asciiTheme="majorHAnsi" w:eastAsia="Calibri" w:hAnsiTheme="majorHAnsi" w:cstheme="majorHAnsi"/>
          <w:b w:val="0"/>
          <w:bCs/>
          <w:sz w:val="20"/>
          <w:lang w:eastAsia="en-US"/>
        </w:rPr>
      </w:pPr>
      <w:r w:rsidRPr="00964D77">
        <w:rPr>
          <w:rFonts w:asciiTheme="majorHAnsi" w:eastAsia="Calibri" w:hAnsiTheme="majorHAnsi" w:cstheme="majorHAnsi"/>
          <w:b w:val="0"/>
          <w:bCs/>
          <w:sz w:val="20"/>
          <w:lang w:eastAsia="en-US"/>
        </w:rPr>
        <w:lastRenderedPageBreak/>
        <w:t xml:space="preserve">Práškové hasiace prístroje môžu byť pre hasenie prípadného požiaru citlivej elektroniky v plnom rozsahu nahradené CO2 hasiacimi prístrojmi s hmotnosťou hasiacej látky min. </w:t>
      </w:r>
      <w:smartTag w:uri="urn:schemas-microsoft-com:office:smarttags" w:element="metricconverter">
        <w:smartTagPr>
          <w:attr w:name="ProductID" w:val="5 kg"/>
        </w:smartTagPr>
        <w:r w:rsidRPr="00964D77">
          <w:rPr>
            <w:rFonts w:asciiTheme="majorHAnsi" w:eastAsia="Calibri" w:hAnsiTheme="majorHAnsi" w:cstheme="majorHAnsi"/>
            <w:b w:val="0"/>
            <w:bCs/>
            <w:sz w:val="20"/>
            <w:lang w:eastAsia="en-US"/>
          </w:rPr>
          <w:t>5 kg</w:t>
        </w:r>
      </w:smartTag>
      <w:r w:rsidRPr="00964D77">
        <w:rPr>
          <w:rFonts w:asciiTheme="majorHAnsi" w:eastAsia="Calibri" w:hAnsiTheme="majorHAnsi" w:cstheme="majorHAnsi"/>
          <w:b w:val="0"/>
          <w:bCs/>
          <w:sz w:val="20"/>
          <w:lang w:eastAsia="en-US"/>
        </w:rPr>
        <w:t xml:space="preserve">. </w:t>
      </w:r>
    </w:p>
    <w:p w:rsidR="00964D77" w:rsidRPr="00964D77" w:rsidRDefault="00964D77" w:rsidP="00964D77">
      <w:pPr>
        <w:pStyle w:val="Zkladntext24"/>
        <w:rPr>
          <w:rFonts w:asciiTheme="majorHAnsi" w:eastAsia="Calibri" w:hAnsiTheme="majorHAnsi" w:cstheme="majorHAnsi"/>
          <w:b w:val="0"/>
          <w:bCs/>
          <w:sz w:val="20"/>
          <w:lang w:eastAsia="en-US"/>
        </w:rPr>
      </w:pPr>
      <w:r w:rsidRPr="00964D77">
        <w:rPr>
          <w:rFonts w:asciiTheme="majorHAnsi" w:eastAsia="Calibri" w:hAnsiTheme="majorHAnsi" w:cstheme="majorHAnsi"/>
          <w:b w:val="0"/>
          <w:bCs/>
          <w:sz w:val="20"/>
          <w:lang w:eastAsia="en-US"/>
        </w:rPr>
        <w:t xml:space="preserve">Pre zámenu každého prenosného hasiaceho prístroja práškového ABC </w:t>
      </w:r>
      <w:smartTag w:uri="urn:schemas-microsoft-com:office:smarttags" w:element="metricconverter">
        <w:smartTagPr>
          <w:attr w:name="ProductID" w:val="6 kg"/>
        </w:smartTagPr>
        <w:r w:rsidRPr="00964D77">
          <w:rPr>
            <w:rFonts w:asciiTheme="majorHAnsi" w:eastAsia="Calibri" w:hAnsiTheme="majorHAnsi" w:cstheme="majorHAnsi"/>
            <w:b w:val="0"/>
            <w:bCs/>
            <w:sz w:val="20"/>
            <w:lang w:eastAsia="en-US"/>
          </w:rPr>
          <w:t>6 kg</w:t>
        </w:r>
      </w:smartTag>
      <w:r w:rsidRPr="00964D77">
        <w:rPr>
          <w:rFonts w:asciiTheme="majorHAnsi" w:eastAsia="Calibri" w:hAnsiTheme="majorHAnsi" w:cstheme="majorHAnsi"/>
          <w:b w:val="0"/>
          <w:bCs/>
          <w:sz w:val="20"/>
          <w:lang w:eastAsia="en-US"/>
        </w:rPr>
        <w:t xml:space="preserve"> za CO2 hasiace prístroje </w:t>
      </w:r>
      <w:smartTag w:uri="urn:schemas-microsoft-com:office:smarttags" w:element="metricconverter">
        <w:smartTagPr>
          <w:attr w:name="ProductID" w:val="5 kg"/>
        </w:smartTagPr>
        <w:r w:rsidRPr="00964D77">
          <w:rPr>
            <w:rFonts w:asciiTheme="majorHAnsi" w:eastAsia="Calibri" w:hAnsiTheme="majorHAnsi" w:cstheme="majorHAnsi"/>
            <w:b w:val="0"/>
            <w:bCs/>
            <w:sz w:val="20"/>
            <w:lang w:eastAsia="en-US"/>
          </w:rPr>
          <w:t>5 kg</w:t>
        </w:r>
      </w:smartTag>
      <w:r w:rsidRPr="00964D77">
        <w:rPr>
          <w:rFonts w:asciiTheme="majorHAnsi" w:eastAsia="Calibri" w:hAnsiTheme="majorHAnsi" w:cstheme="majorHAnsi"/>
          <w:b w:val="0"/>
          <w:bCs/>
          <w:sz w:val="20"/>
          <w:lang w:eastAsia="en-US"/>
        </w:rPr>
        <w:t xml:space="preserve"> platí, že 1 kus hasiaci prístroj ABC </w:t>
      </w:r>
      <w:smartTag w:uri="urn:schemas-microsoft-com:office:smarttags" w:element="metricconverter">
        <w:smartTagPr>
          <w:attr w:name="ProductID" w:val="6 kg"/>
        </w:smartTagPr>
        <w:r w:rsidRPr="00964D77">
          <w:rPr>
            <w:rFonts w:asciiTheme="majorHAnsi" w:eastAsia="Calibri" w:hAnsiTheme="majorHAnsi" w:cstheme="majorHAnsi"/>
            <w:b w:val="0"/>
            <w:bCs/>
            <w:sz w:val="20"/>
            <w:lang w:eastAsia="en-US"/>
          </w:rPr>
          <w:t>6 kg</w:t>
        </w:r>
      </w:smartTag>
      <w:r w:rsidRPr="00964D77">
        <w:rPr>
          <w:rFonts w:asciiTheme="majorHAnsi" w:eastAsia="Calibri" w:hAnsiTheme="majorHAnsi" w:cstheme="majorHAnsi"/>
          <w:b w:val="0"/>
          <w:bCs/>
          <w:sz w:val="20"/>
          <w:lang w:eastAsia="en-US"/>
        </w:rPr>
        <w:t xml:space="preserve"> musí byť nahradený vždy 2 kusmi hasiacich prístrojov CO2 5 kg.</w:t>
      </w:r>
    </w:p>
    <w:p w:rsidR="00964D77" w:rsidRPr="00964D77" w:rsidRDefault="00964D77" w:rsidP="00964D77">
      <w:pPr>
        <w:pStyle w:val="Zkladntext24"/>
        <w:rPr>
          <w:rFonts w:asciiTheme="majorHAnsi" w:eastAsia="Calibri" w:hAnsiTheme="majorHAnsi" w:cstheme="majorHAnsi"/>
          <w:b w:val="0"/>
          <w:bCs/>
          <w:sz w:val="20"/>
          <w:lang w:eastAsia="en-US"/>
        </w:rPr>
      </w:pPr>
      <w:r w:rsidRPr="00964D77">
        <w:rPr>
          <w:rFonts w:asciiTheme="majorHAnsi" w:eastAsia="Calibri" w:hAnsiTheme="majorHAnsi" w:cstheme="majorHAnsi"/>
          <w:b w:val="0"/>
          <w:bCs/>
          <w:sz w:val="20"/>
          <w:lang w:eastAsia="en-US"/>
        </w:rPr>
        <w:t xml:space="preserve">Hasiace prístroje je potrebné umiestniť tak, aby rukoväť prístroja bola najviac </w:t>
      </w:r>
      <w:smartTag w:uri="urn:schemas-microsoft-com:office:smarttags" w:element="metricconverter">
        <w:smartTagPr>
          <w:attr w:name="ProductID" w:val="1,5 m"/>
        </w:smartTagPr>
        <w:r w:rsidRPr="00964D77">
          <w:rPr>
            <w:rFonts w:asciiTheme="majorHAnsi" w:eastAsia="Calibri" w:hAnsiTheme="majorHAnsi" w:cstheme="majorHAnsi"/>
            <w:b w:val="0"/>
            <w:bCs/>
            <w:sz w:val="20"/>
            <w:lang w:eastAsia="en-US"/>
          </w:rPr>
          <w:t>1,5 m</w:t>
        </w:r>
      </w:smartTag>
      <w:r w:rsidRPr="00964D77">
        <w:rPr>
          <w:rFonts w:asciiTheme="majorHAnsi" w:eastAsia="Calibri" w:hAnsiTheme="majorHAnsi" w:cstheme="majorHAnsi"/>
          <w:b w:val="0"/>
          <w:bCs/>
          <w:sz w:val="20"/>
          <w:lang w:eastAsia="en-US"/>
        </w:rPr>
        <w:t xml:space="preserve"> nad podlahou a vo vzájomných vzdialenostiach max. 30m. K prenosným hasiacim prístrojom musí byť zabezpečený trvale voľný prístup. Hasiace prístroje nesmú byť vystavené sálavému teplu ani priamemu slnečnému žiareniu, ktoré by mohlo spôsobiť zvýšenie ich teploty nad povolenú teplotu uvedenú výrobcom v súlade s STN 920202-1. Miesta osadenia musia byť  označené piktogramami podľa nariadenia vlády SR č.387/2006 Z.z.</w:t>
      </w:r>
    </w:p>
    <w:p w:rsidR="00964D77" w:rsidRPr="00964D77" w:rsidRDefault="00964D77" w:rsidP="00964D77">
      <w:pPr>
        <w:ind w:firstLine="709"/>
        <w:rPr>
          <w:rFonts w:asciiTheme="majorHAnsi" w:hAnsiTheme="majorHAnsi" w:cstheme="majorHAnsi"/>
          <w:sz w:val="20"/>
          <w:u w:val="single"/>
        </w:rPr>
      </w:pPr>
      <w:r w:rsidRPr="00964D77">
        <w:rPr>
          <w:rFonts w:asciiTheme="majorHAnsi" w:hAnsiTheme="majorHAnsi" w:cstheme="majorHAnsi"/>
          <w:sz w:val="20"/>
          <w:u w:val="single"/>
        </w:rPr>
        <w:t xml:space="preserve">Rozmiestnenie hasiacich prístrojov je znázornené vo výkresovej časti a stanovenie počtu je uvedené vo výpočtovej prílohe. </w:t>
      </w:r>
    </w:p>
    <w:p w:rsidR="00964D77" w:rsidRPr="00964D77" w:rsidRDefault="00964D77" w:rsidP="00964D77">
      <w:pPr>
        <w:ind w:firstLine="708"/>
        <w:rPr>
          <w:rFonts w:asciiTheme="majorHAnsi" w:hAnsiTheme="majorHAnsi" w:cstheme="majorHAnsi"/>
          <w:sz w:val="20"/>
        </w:rPr>
      </w:pPr>
    </w:p>
    <w:p w:rsidR="00964D77" w:rsidRPr="00964D77" w:rsidRDefault="00964D77" w:rsidP="00165ED7">
      <w:pPr>
        <w:pStyle w:val="Nadpis1"/>
      </w:pPr>
      <w:r w:rsidRPr="00964D77">
        <w:t>Elektroinštalácie ( Silnoprúd, slaboprúd)</w:t>
      </w:r>
    </w:p>
    <w:p w:rsidR="00964D77" w:rsidRPr="00964D77" w:rsidRDefault="00964D77" w:rsidP="00964D77">
      <w:pPr>
        <w:rPr>
          <w:rFonts w:asciiTheme="majorHAnsi" w:hAnsiTheme="majorHAnsi" w:cstheme="majorHAnsi"/>
          <w:sz w:val="20"/>
        </w:rPr>
      </w:pPr>
    </w:p>
    <w:p w:rsidR="00964D77" w:rsidRPr="00964D77" w:rsidRDefault="00964D77" w:rsidP="00964D77">
      <w:pPr>
        <w:ind w:firstLine="709"/>
        <w:rPr>
          <w:rFonts w:asciiTheme="majorHAnsi" w:hAnsiTheme="majorHAnsi" w:cstheme="majorHAnsi"/>
          <w:sz w:val="20"/>
        </w:rPr>
      </w:pPr>
      <w:bookmarkStart w:id="13" w:name="_Hlk2229813"/>
      <w:r w:rsidRPr="00964D77">
        <w:rPr>
          <w:rFonts w:asciiTheme="majorHAnsi" w:hAnsiTheme="majorHAnsi" w:cstheme="majorHAnsi"/>
          <w:sz w:val="20"/>
        </w:rPr>
        <w:t xml:space="preserve">Pre budovu bude spracovaný Protokol o určení prostredia a o určení vonkajších vplyvov. Rozvody a zariadenia sa navrhujú v súlade s príslušnými predpismi a normami. </w:t>
      </w:r>
    </w:p>
    <w:p w:rsidR="00964D77" w:rsidRPr="00964D77" w:rsidRDefault="00964D77" w:rsidP="00964D77">
      <w:pPr>
        <w:ind w:firstLine="709"/>
        <w:rPr>
          <w:rFonts w:asciiTheme="majorHAnsi" w:eastAsia="Calibri" w:hAnsiTheme="majorHAnsi" w:cstheme="majorHAnsi"/>
          <w:bCs/>
          <w:sz w:val="20"/>
          <w:lang w:eastAsia="en-US"/>
        </w:rPr>
      </w:pPr>
      <w:r w:rsidRPr="00964D77">
        <w:rPr>
          <w:rFonts w:asciiTheme="majorHAnsi" w:hAnsiTheme="majorHAnsi" w:cstheme="majorHAnsi"/>
          <w:sz w:val="20"/>
        </w:rPr>
        <w:t xml:space="preserve">Ochrana proti atmosférickým výbojom je navrhnutá v súlade s príslušnými STN EN 62305-1 až 4. </w:t>
      </w:r>
      <w:r w:rsidRPr="00964D77">
        <w:rPr>
          <w:rFonts w:asciiTheme="majorHAnsi" w:eastAsia="Calibri" w:hAnsiTheme="majorHAnsi" w:cstheme="majorHAnsi"/>
          <w:bCs/>
          <w:sz w:val="20"/>
          <w:lang w:eastAsia="en-US"/>
        </w:rPr>
        <w:t>Bleskozvod (zariadenie na ochranu pred účinkami atmosférickej elektriny) bude mať vedenia a zvody upevnené tak, aby boli dodržané požiadavky STN EN 62305-1 až 4 ( t.z. musia byť vyložené min. 100mm od okraja fasády).</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 xml:space="preserve">Stavba musí byť vybavená ovládacím prvkom CENTRAL STOP, ktorý slúži na zabezpečenie vypnutia dodávky elektrickej energie pre elektrické zariadenia v stavbe alebo jej časti (zóne), ktoré nie sú elektrickými zariadeniami v prevádzke počas požiaru v zmysle ods. 4.3.2 STN920203.  </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Vypínací prvok CENTRAL STOP musí byť chránený proti neoprávnenému či náhodnému použitiu v zmysle 4.3.5 STN 920203 - bude umiestnený v exteriéri pri hlavnom vstupe do stavby. V budove bude označenie v súlade s NV č. 387/2006 Z. z..</w:t>
      </w:r>
    </w:p>
    <w:bookmarkEnd w:id="13"/>
    <w:p w:rsidR="00964D77" w:rsidRPr="00964D77" w:rsidRDefault="00964D77" w:rsidP="00964D77">
      <w:pPr>
        <w:rPr>
          <w:rFonts w:asciiTheme="majorHAnsi" w:hAnsiTheme="majorHAnsi" w:cstheme="majorHAnsi"/>
          <w:sz w:val="20"/>
        </w:rPr>
      </w:pPr>
    </w:p>
    <w:p w:rsidR="00964D77" w:rsidRPr="00964D77" w:rsidRDefault="00964D77" w:rsidP="00165ED7">
      <w:pPr>
        <w:pStyle w:val="Nadpis1"/>
        <w:numPr>
          <w:ilvl w:val="0"/>
          <w:numId w:val="3"/>
        </w:numPr>
      </w:pPr>
      <w:r w:rsidRPr="00964D77">
        <w:t>Vykurovanie</w:t>
      </w:r>
    </w:p>
    <w:p w:rsidR="00964D77" w:rsidRPr="00964D77" w:rsidRDefault="00964D77" w:rsidP="00964D77">
      <w:pPr>
        <w:autoSpaceDE w:val="0"/>
        <w:autoSpaceDN w:val="0"/>
        <w:adjustRightInd w:val="0"/>
        <w:rPr>
          <w:rFonts w:asciiTheme="majorHAnsi" w:hAnsiTheme="majorHAnsi" w:cstheme="majorHAnsi"/>
          <w:sz w:val="20"/>
        </w:rPr>
      </w:pPr>
    </w:p>
    <w:p w:rsidR="00964D77" w:rsidRPr="00964D77" w:rsidRDefault="00964D77" w:rsidP="00964D77">
      <w:pPr>
        <w:autoSpaceDE w:val="0"/>
        <w:autoSpaceDN w:val="0"/>
        <w:adjustRightInd w:val="0"/>
        <w:rPr>
          <w:rFonts w:asciiTheme="majorHAnsi" w:hAnsiTheme="majorHAnsi" w:cstheme="majorHAnsi"/>
          <w:sz w:val="20"/>
        </w:rPr>
      </w:pPr>
      <w:r w:rsidRPr="00964D77">
        <w:rPr>
          <w:rFonts w:asciiTheme="majorHAnsi" w:hAnsiTheme="majorHAnsi" w:cstheme="majorHAnsi"/>
          <w:sz w:val="20"/>
        </w:rPr>
        <w:t>Stavba je nevykurovaná.</w:t>
      </w:r>
    </w:p>
    <w:p w:rsidR="00964D77" w:rsidRPr="00964D77" w:rsidRDefault="00964D77" w:rsidP="00964D77">
      <w:pPr>
        <w:autoSpaceDE w:val="0"/>
        <w:autoSpaceDN w:val="0"/>
        <w:adjustRightInd w:val="0"/>
        <w:rPr>
          <w:rFonts w:asciiTheme="majorHAnsi" w:hAnsiTheme="majorHAnsi" w:cstheme="majorHAnsi"/>
          <w:sz w:val="20"/>
        </w:rPr>
      </w:pPr>
      <w:r w:rsidRPr="00964D77">
        <w:rPr>
          <w:rFonts w:asciiTheme="majorHAnsi" w:hAnsiTheme="majorHAnsi" w:cstheme="majorHAnsi"/>
          <w:sz w:val="20"/>
        </w:rPr>
        <w:tab/>
      </w:r>
    </w:p>
    <w:p w:rsidR="00964D77" w:rsidRPr="00964D77" w:rsidRDefault="00964D77" w:rsidP="00165ED7">
      <w:pPr>
        <w:pStyle w:val="Nadpis1"/>
        <w:numPr>
          <w:ilvl w:val="0"/>
          <w:numId w:val="3"/>
        </w:numPr>
      </w:pPr>
      <w:r w:rsidRPr="00964D77">
        <w:t>Klimatizácia, Vetranie objektu</w:t>
      </w:r>
    </w:p>
    <w:p w:rsidR="00964D77" w:rsidRPr="00964D77" w:rsidRDefault="00964D77" w:rsidP="00964D77">
      <w:pPr>
        <w:rPr>
          <w:rFonts w:asciiTheme="majorHAnsi" w:hAnsiTheme="majorHAnsi" w:cstheme="majorHAnsi"/>
          <w:sz w:val="20"/>
        </w:rPr>
      </w:pPr>
    </w:p>
    <w:p w:rsidR="00964D77" w:rsidRPr="00964D77" w:rsidRDefault="00964D77" w:rsidP="00964D77">
      <w:pPr>
        <w:ind w:firstLine="708"/>
        <w:rPr>
          <w:rFonts w:asciiTheme="majorHAnsi" w:hAnsiTheme="majorHAnsi" w:cstheme="majorHAnsi"/>
          <w:sz w:val="20"/>
        </w:rPr>
      </w:pPr>
      <w:r w:rsidRPr="00964D77">
        <w:rPr>
          <w:rFonts w:asciiTheme="majorHAnsi" w:hAnsiTheme="majorHAnsi" w:cstheme="majorHAnsi"/>
          <w:sz w:val="20"/>
        </w:rPr>
        <w:t xml:space="preserve">Vetranie je riešené ako prirodzené- okennými a dvernými otvormi.  V požiarnych úsekoch N1.02, N1.03  je navrhnuté odvetranie pomocou vetracích otvorov na fasáde (pri podlahe a pod stropom) opatrených z vonkajšej strany protidažďovou žalúziou. </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 xml:space="preserve">Systém vzduchotechnických potrubí musí z hľadiska protipožiarnej bezpečnosti spĺňať STN 73 0872. Vzduchotechnické zariadenia musia byť vyhotovené tak, aby  sa nimi alebo po nich nemohol šíriť požiar alebo jeho splodiny do iných požiarnych úsekov v súlade s STN 730872. </w:t>
      </w:r>
    </w:p>
    <w:p w:rsidR="00964D77" w:rsidRPr="00964D77" w:rsidRDefault="00964D77" w:rsidP="00964D77">
      <w:pPr>
        <w:ind w:firstLine="708"/>
        <w:rPr>
          <w:rFonts w:asciiTheme="majorHAnsi" w:hAnsiTheme="majorHAnsi" w:cstheme="majorHAnsi"/>
          <w:sz w:val="20"/>
          <w:highlight w:val="yellow"/>
          <w:u w:val="single"/>
        </w:rPr>
      </w:pPr>
      <w:r w:rsidRPr="00964D77">
        <w:rPr>
          <w:rFonts w:asciiTheme="majorHAnsi" w:hAnsiTheme="majorHAnsi" w:cstheme="majorHAnsi"/>
          <w:sz w:val="20"/>
        </w:rPr>
        <w:t>Medzi požiarnymi úsekmi nie sú navrhnuté žiadne prestupy vzduchotechnických zariadení a potrubí.</w:t>
      </w:r>
      <w:r w:rsidRPr="00964D77">
        <w:rPr>
          <w:rFonts w:asciiTheme="majorHAnsi" w:hAnsiTheme="majorHAnsi" w:cstheme="majorHAnsi"/>
          <w:b/>
          <w:sz w:val="20"/>
          <w:u w:val="single"/>
        </w:rPr>
        <w:t xml:space="preserve"> </w:t>
      </w:r>
    </w:p>
    <w:p w:rsidR="00964D77" w:rsidRPr="00964D77" w:rsidRDefault="00964D77" w:rsidP="00964D77">
      <w:pPr>
        <w:ind w:firstLine="708"/>
        <w:rPr>
          <w:rFonts w:asciiTheme="majorHAnsi" w:hAnsiTheme="majorHAnsi" w:cstheme="majorHAnsi"/>
          <w:sz w:val="20"/>
          <w:highlight w:val="yellow"/>
        </w:rPr>
      </w:pPr>
    </w:p>
    <w:p w:rsidR="00964D77" w:rsidRPr="00964D77" w:rsidRDefault="00964D77" w:rsidP="00964D77">
      <w:pPr>
        <w:autoSpaceDE w:val="0"/>
        <w:autoSpaceDN w:val="0"/>
        <w:adjustRightInd w:val="0"/>
        <w:rPr>
          <w:rFonts w:asciiTheme="majorHAnsi" w:hAnsiTheme="majorHAnsi" w:cstheme="majorHAnsi"/>
          <w:b/>
          <w:sz w:val="20"/>
        </w:rPr>
      </w:pPr>
      <w:r w:rsidRPr="00964D77">
        <w:rPr>
          <w:rFonts w:asciiTheme="majorHAnsi" w:hAnsiTheme="majorHAnsi" w:cstheme="majorHAnsi"/>
          <w:b/>
          <w:sz w:val="20"/>
        </w:rPr>
        <w:t>Zdravotechnika</w:t>
      </w:r>
    </w:p>
    <w:p w:rsidR="00964D77" w:rsidRPr="00964D77" w:rsidRDefault="00964D77" w:rsidP="00964D77">
      <w:pPr>
        <w:autoSpaceDE w:val="0"/>
        <w:autoSpaceDN w:val="0"/>
        <w:adjustRightInd w:val="0"/>
        <w:rPr>
          <w:rFonts w:asciiTheme="majorHAnsi" w:hAnsiTheme="majorHAnsi" w:cstheme="majorHAnsi"/>
          <w:b/>
          <w:sz w:val="20"/>
        </w:rPr>
      </w:pPr>
    </w:p>
    <w:p w:rsidR="00964D77" w:rsidRPr="00964D77" w:rsidRDefault="00964D77" w:rsidP="00964D77">
      <w:pPr>
        <w:ind w:firstLine="708"/>
        <w:contextualSpacing/>
        <w:rPr>
          <w:rFonts w:asciiTheme="majorHAnsi" w:hAnsiTheme="majorHAnsi" w:cstheme="majorHAnsi"/>
          <w:sz w:val="20"/>
        </w:rPr>
      </w:pPr>
      <w:r w:rsidRPr="00964D77">
        <w:rPr>
          <w:rFonts w:asciiTheme="majorHAnsi" w:hAnsiTheme="majorHAnsi" w:cstheme="majorHAnsi"/>
          <w:sz w:val="20"/>
        </w:rPr>
        <w:t xml:space="preserve">Studená voda bude privádzaná do budovy vodovodnou prípojkou  z verejného vodovodného potrubia. Prestupy rozvodov a prestupy inštalácií cez požiarne deliace konštrukcie musia byť utesnené konštrukčnými prvkami takého druhu, ako sú požiarne deliace konštrukcie cez ktoré prestupujú. </w:t>
      </w:r>
    </w:p>
    <w:p w:rsidR="00964D77" w:rsidRPr="00964D77" w:rsidRDefault="00964D77" w:rsidP="00964D77">
      <w:pPr>
        <w:ind w:firstLine="709"/>
        <w:rPr>
          <w:rFonts w:asciiTheme="majorHAnsi" w:hAnsiTheme="majorHAnsi" w:cstheme="majorHAnsi"/>
          <w:sz w:val="20"/>
        </w:rPr>
      </w:pPr>
      <w:r w:rsidRPr="00964D77">
        <w:rPr>
          <w:rFonts w:asciiTheme="majorHAnsi" w:hAnsiTheme="majorHAnsi" w:cstheme="majorHAnsi"/>
          <w:sz w:val="20"/>
        </w:rPr>
        <w:t xml:space="preserve">Utesnený prestup musí spĺňať požiadavky na požiarnu odolnosť požiarne deliacej konštrukcie, ktorou prestupuje, najviac však </w:t>
      </w:r>
      <w:r w:rsidRPr="00964D77">
        <w:rPr>
          <w:rFonts w:asciiTheme="majorHAnsi" w:hAnsiTheme="majorHAnsi" w:cstheme="majorHAnsi"/>
          <w:b/>
          <w:sz w:val="20"/>
        </w:rPr>
        <w:t>EI90</w:t>
      </w:r>
      <w:r w:rsidRPr="00964D77">
        <w:rPr>
          <w:rFonts w:asciiTheme="majorHAnsi" w:hAnsiTheme="majorHAnsi" w:cstheme="majorHAnsi"/>
          <w:sz w:val="20"/>
        </w:rPr>
        <w:t xml:space="preserve"> ( v zmysle § 40, ods. 3 Vyhl. MV SR č. 94/2004 Z.z. v znení neskorších predpisov).  </w:t>
      </w:r>
    </w:p>
    <w:p w:rsidR="00964D77" w:rsidRPr="00964D77" w:rsidRDefault="00964D77" w:rsidP="00964D77">
      <w:pPr>
        <w:ind w:firstLine="709"/>
        <w:rPr>
          <w:rFonts w:asciiTheme="majorHAnsi" w:hAnsiTheme="majorHAnsi" w:cstheme="majorHAnsi"/>
          <w:sz w:val="20"/>
        </w:rPr>
      </w:pPr>
    </w:p>
    <w:p w:rsidR="00964D77" w:rsidRPr="00964D77" w:rsidRDefault="00964D77" w:rsidP="00964D77">
      <w:pPr>
        <w:spacing w:line="0" w:lineRule="atLeast"/>
        <w:rPr>
          <w:rFonts w:asciiTheme="majorHAnsi" w:hAnsiTheme="majorHAnsi" w:cstheme="majorHAnsi"/>
          <w:b/>
          <w:sz w:val="20"/>
        </w:rPr>
      </w:pPr>
      <w:r w:rsidRPr="00964D77">
        <w:rPr>
          <w:rFonts w:asciiTheme="majorHAnsi" w:hAnsiTheme="majorHAnsi" w:cstheme="majorHAnsi"/>
          <w:b/>
          <w:sz w:val="20"/>
        </w:rPr>
        <w:t>Zoznam použitých noriem a predpisov</w:t>
      </w:r>
    </w:p>
    <w:p w:rsidR="00964D77" w:rsidRPr="00964D77" w:rsidRDefault="00964D77" w:rsidP="00964D77">
      <w:pPr>
        <w:spacing w:line="0" w:lineRule="atLeast"/>
        <w:rPr>
          <w:rFonts w:asciiTheme="majorHAnsi" w:hAnsiTheme="majorHAnsi" w:cstheme="majorHAnsi"/>
          <w:b/>
          <w:sz w:val="20"/>
        </w:rPr>
      </w:pPr>
    </w:p>
    <w:p w:rsidR="00964D77" w:rsidRPr="00964D77" w:rsidRDefault="00964D77" w:rsidP="00964D77">
      <w:pPr>
        <w:rPr>
          <w:rFonts w:asciiTheme="majorHAnsi" w:hAnsiTheme="majorHAnsi" w:cstheme="majorHAnsi"/>
          <w:sz w:val="20"/>
        </w:rPr>
      </w:pPr>
      <w:r w:rsidRPr="00964D77">
        <w:rPr>
          <w:rFonts w:asciiTheme="majorHAnsi" w:hAnsiTheme="majorHAnsi" w:cstheme="majorHAnsi"/>
          <w:bCs/>
          <w:sz w:val="20"/>
          <w:u w:val="single"/>
        </w:rPr>
        <w:t xml:space="preserve">Vyhl. MV SR č.94/2004 Z.z., </w:t>
      </w:r>
      <w:r w:rsidRPr="00964D77">
        <w:rPr>
          <w:rFonts w:asciiTheme="majorHAnsi" w:hAnsiTheme="majorHAnsi" w:cstheme="majorHAnsi"/>
          <w:sz w:val="20"/>
          <w:u w:val="single"/>
          <w:shd w:val="clear" w:color="auto" w:fill="FFFFFF"/>
        </w:rPr>
        <w:t xml:space="preserve">s novelami </w:t>
      </w:r>
      <w:r w:rsidRPr="00964D77">
        <w:rPr>
          <w:rFonts w:asciiTheme="majorHAnsi" w:hAnsiTheme="majorHAnsi" w:cstheme="majorHAnsi"/>
          <w:iCs/>
          <w:sz w:val="20"/>
          <w:u w:val="single"/>
        </w:rPr>
        <w:t>č.307/2007 Z.z.</w:t>
      </w:r>
      <w:r w:rsidRPr="00964D77">
        <w:rPr>
          <w:rFonts w:asciiTheme="majorHAnsi" w:hAnsiTheme="majorHAnsi" w:cstheme="majorHAnsi"/>
          <w:sz w:val="20"/>
          <w:u w:val="single"/>
          <w:shd w:val="clear" w:color="auto" w:fill="FFFFFF"/>
        </w:rPr>
        <w:t xml:space="preserve"> a </w:t>
      </w:r>
      <w:r w:rsidRPr="00964D77">
        <w:rPr>
          <w:rFonts w:asciiTheme="majorHAnsi" w:hAnsiTheme="majorHAnsi" w:cstheme="majorHAnsi"/>
          <w:iCs/>
          <w:sz w:val="20"/>
          <w:u w:val="single"/>
        </w:rPr>
        <w:t>č.225/2012 Z.z , č. 334/2018 Z.z.</w:t>
      </w:r>
      <w:r w:rsidRPr="00964D77">
        <w:rPr>
          <w:rFonts w:asciiTheme="majorHAnsi" w:hAnsiTheme="majorHAnsi" w:cstheme="majorHAnsi"/>
          <w:b/>
          <w:bCs/>
          <w:sz w:val="20"/>
        </w:rPr>
        <w:t xml:space="preserve"> </w:t>
      </w:r>
      <w:r w:rsidRPr="00964D77">
        <w:rPr>
          <w:rFonts w:asciiTheme="majorHAnsi" w:hAnsiTheme="majorHAnsi" w:cstheme="majorHAnsi"/>
          <w:sz w:val="20"/>
        </w:rPr>
        <w:t>ktorou sa vykonávajú technické požiadavky na požiarnu bezpečnosť pri výstavbe a pri užívaní stavieb</w:t>
      </w:r>
      <w:r w:rsidRPr="00964D77">
        <w:rPr>
          <w:rFonts w:asciiTheme="majorHAnsi" w:hAnsiTheme="majorHAnsi" w:cstheme="majorHAnsi"/>
          <w:kern w:val="1"/>
          <w:sz w:val="20"/>
        </w:rPr>
        <w:t>,</w:t>
      </w:r>
    </w:p>
    <w:p w:rsidR="00964D77" w:rsidRPr="00964D77" w:rsidRDefault="00964D77" w:rsidP="00964D77">
      <w:pPr>
        <w:rPr>
          <w:rFonts w:asciiTheme="majorHAnsi" w:hAnsiTheme="majorHAnsi" w:cstheme="majorHAnsi"/>
          <w:sz w:val="20"/>
        </w:rPr>
      </w:pPr>
      <w:r w:rsidRPr="00964D77">
        <w:rPr>
          <w:rFonts w:asciiTheme="majorHAnsi" w:hAnsiTheme="majorHAnsi" w:cstheme="majorHAnsi"/>
          <w:bCs/>
          <w:sz w:val="20"/>
          <w:u w:val="single"/>
        </w:rPr>
        <w:t>Vyhl. MV SR č.699/2004 Z.z.,</w:t>
      </w:r>
      <w:r w:rsidRPr="00964D77">
        <w:rPr>
          <w:rFonts w:asciiTheme="majorHAnsi" w:hAnsiTheme="majorHAnsi" w:cstheme="majorHAnsi"/>
          <w:bCs/>
          <w:sz w:val="20"/>
        </w:rPr>
        <w:t xml:space="preserve"> </w:t>
      </w:r>
      <w:r w:rsidRPr="00964D77">
        <w:rPr>
          <w:rFonts w:asciiTheme="majorHAnsi" w:hAnsiTheme="majorHAnsi" w:cstheme="majorHAnsi"/>
          <w:sz w:val="20"/>
        </w:rPr>
        <w:t>o zabezpečení stavieb vodou na hasenie požiarov,</w:t>
      </w:r>
    </w:p>
    <w:p w:rsidR="00964D77" w:rsidRPr="00964D77" w:rsidRDefault="00964D77" w:rsidP="00964D77">
      <w:pPr>
        <w:tabs>
          <w:tab w:val="left" w:pos="2127"/>
        </w:tabs>
        <w:rPr>
          <w:rFonts w:asciiTheme="majorHAnsi" w:hAnsiTheme="majorHAnsi" w:cstheme="majorHAnsi"/>
          <w:iCs/>
          <w:sz w:val="20"/>
        </w:rPr>
      </w:pPr>
      <w:r w:rsidRPr="00964D77">
        <w:rPr>
          <w:rFonts w:asciiTheme="majorHAnsi" w:hAnsiTheme="majorHAnsi" w:cstheme="majorHAnsi"/>
          <w:bCs/>
          <w:iCs/>
          <w:sz w:val="20"/>
          <w:u w:val="single"/>
        </w:rPr>
        <w:t>STN 92 0201-1</w:t>
      </w:r>
      <w:r w:rsidRPr="00964D77">
        <w:rPr>
          <w:rFonts w:asciiTheme="majorHAnsi" w:hAnsiTheme="majorHAnsi" w:cstheme="majorHAnsi"/>
          <w:bCs/>
          <w:iCs/>
          <w:sz w:val="20"/>
        </w:rPr>
        <w:t xml:space="preserve">  </w:t>
      </w:r>
      <w:r w:rsidRPr="00964D77">
        <w:rPr>
          <w:rFonts w:asciiTheme="majorHAnsi" w:hAnsiTheme="majorHAnsi" w:cstheme="majorHAnsi"/>
          <w:iCs/>
          <w:sz w:val="20"/>
        </w:rPr>
        <w:t>Požiarna bezpečnosť stavieb. Spoločné ustanovenia. Časť 1 : Požiarne riziko, veľkosť požiarneho úseku,</w:t>
      </w:r>
    </w:p>
    <w:p w:rsidR="00964D77" w:rsidRPr="00964D77" w:rsidRDefault="00964D77" w:rsidP="00964D77">
      <w:pPr>
        <w:rPr>
          <w:rFonts w:asciiTheme="majorHAnsi" w:hAnsiTheme="majorHAnsi" w:cstheme="majorHAnsi"/>
          <w:sz w:val="20"/>
        </w:rPr>
      </w:pPr>
      <w:r w:rsidRPr="00964D77">
        <w:rPr>
          <w:rFonts w:asciiTheme="majorHAnsi" w:hAnsiTheme="majorHAnsi" w:cstheme="majorHAnsi"/>
          <w:sz w:val="20"/>
          <w:u w:val="single"/>
        </w:rPr>
        <w:lastRenderedPageBreak/>
        <w:t>Vyhl. MV SR č.401/2007 Z.z.</w:t>
      </w:r>
      <w:r w:rsidRPr="00964D77">
        <w:rPr>
          <w:rFonts w:asciiTheme="majorHAnsi" w:hAnsiTheme="majorHAnsi" w:cstheme="majorHAnsi"/>
          <w:sz w:val="20"/>
        </w:rPr>
        <w:t xml:space="preserve"> o technických podmienkach a požiadavkách na protipožiarnu bezpečnosť pri inštalácii a prevádzkovaní palivového spotrebiča, eletrotepelného spotrebiča a zariadenia ústredného vykurovania a pri výstavbe a pri používaní komína a dymovodu a o lehotách ich čistenia a vykonávania kontrol,</w:t>
      </w:r>
    </w:p>
    <w:p w:rsidR="00964D77" w:rsidRPr="00964D77" w:rsidRDefault="00964D77" w:rsidP="00964D77">
      <w:pPr>
        <w:rPr>
          <w:rFonts w:asciiTheme="majorHAnsi" w:hAnsiTheme="majorHAnsi" w:cstheme="majorHAnsi"/>
          <w:iCs/>
          <w:sz w:val="20"/>
        </w:rPr>
      </w:pPr>
      <w:r w:rsidRPr="00964D77">
        <w:rPr>
          <w:rFonts w:asciiTheme="majorHAnsi" w:hAnsiTheme="majorHAnsi" w:cstheme="majorHAnsi"/>
          <w:bCs/>
          <w:iCs/>
          <w:sz w:val="20"/>
          <w:u w:val="single"/>
        </w:rPr>
        <w:t>STN 92 0201-2</w:t>
      </w:r>
      <w:r w:rsidRPr="00964D77">
        <w:rPr>
          <w:rFonts w:asciiTheme="majorHAnsi" w:hAnsiTheme="majorHAnsi" w:cstheme="majorHAnsi"/>
          <w:bCs/>
          <w:iCs/>
          <w:sz w:val="20"/>
        </w:rPr>
        <w:t xml:space="preserve">   </w:t>
      </w:r>
      <w:r w:rsidRPr="00964D77">
        <w:rPr>
          <w:rFonts w:asciiTheme="majorHAnsi" w:hAnsiTheme="majorHAnsi" w:cstheme="majorHAnsi"/>
          <w:iCs/>
          <w:sz w:val="20"/>
        </w:rPr>
        <w:t>Požiarna bezpečnosť stavieb. Spoločné ustanovenia. Časť 2 : Stavebné konštrukcie,</w:t>
      </w:r>
    </w:p>
    <w:p w:rsidR="00964D77" w:rsidRPr="00964D77" w:rsidRDefault="00964D77" w:rsidP="00964D77">
      <w:pPr>
        <w:rPr>
          <w:rFonts w:asciiTheme="majorHAnsi" w:hAnsiTheme="majorHAnsi" w:cstheme="majorHAnsi"/>
          <w:iCs/>
          <w:sz w:val="20"/>
        </w:rPr>
      </w:pPr>
      <w:r w:rsidRPr="00964D77">
        <w:rPr>
          <w:rFonts w:asciiTheme="majorHAnsi" w:hAnsiTheme="majorHAnsi" w:cstheme="majorHAnsi"/>
          <w:bCs/>
          <w:iCs/>
          <w:sz w:val="20"/>
          <w:u w:val="single"/>
        </w:rPr>
        <w:t>STN 92 0201-3</w:t>
      </w:r>
      <w:r w:rsidRPr="00964D77">
        <w:rPr>
          <w:rFonts w:asciiTheme="majorHAnsi" w:hAnsiTheme="majorHAnsi" w:cstheme="majorHAnsi"/>
          <w:bCs/>
          <w:iCs/>
          <w:sz w:val="20"/>
        </w:rPr>
        <w:t xml:space="preserve">   </w:t>
      </w:r>
      <w:r w:rsidRPr="00964D77">
        <w:rPr>
          <w:rFonts w:asciiTheme="majorHAnsi" w:hAnsiTheme="majorHAnsi" w:cstheme="majorHAnsi"/>
          <w:iCs/>
          <w:sz w:val="20"/>
        </w:rPr>
        <w:t>Požiarna bezpečnosť stavieb. Spoločné ustanovenia. Časť 3 : Únikové cesty a evakuácia osôb,</w:t>
      </w:r>
    </w:p>
    <w:p w:rsidR="00964D77" w:rsidRPr="00964D77" w:rsidRDefault="00964D77" w:rsidP="00964D77">
      <w:pPr>
        <w:rPr>
          <w:rFonts w:asciiTheme="majorHAnsi" w:hAnsiTheme="majorHAnsi" w:cstheme="majorHAnsi"/>
          <w:iCs/>
          <w:sz w:val="20"/>
        </w:rPr>
      </w:pPr>
      <w:r w:rsidRPr="00964D77">
        <w:rPr>
          <w:rFonts w:asciiTheme="majorHAnsi" w:hAnsiTheme="majorHAnsi" w:cstheme="majorHAnsi"/>
          <w:bCs/>
          <w:iCs/>
          <w:sz w:val="20"/>
          <w:u w:val="single"/>
        </w:rPr>
        <w:t>STN 92 0201-4</w:t>
      </w:r>
      <w:r w:rsidRPr="00964D77">
        <w:rPr>
          <w:rFonts w:asciiTheme="majorHAnsi" w:hAnsiTheme="majorHAnsi" w:cstheme="majorHAnsi"/>
          <w:bCs/>
          <w:iCs/>
          <w:sz w:val="20"/>
        </w:rPr>
        <w:t xml:space="preserve">   </w:t>
      </w:r>
      <w:r w:rsidRPr="00964D77">
        <w:rPr>
          <w:rFonts w:asciiTheme="majorHAnsi" w:hAnsiTheme="majorHAnsi" w:cstheme="majorHAnsi"/>
          <w:iCs/>
          <w:sz w:val="20"/>
        </w:rPr>
        <w:t>Požiarna bezpečnosť stavieb. Spoločné ustanovenia. Časť 4 : Odstupové vzdialenosti,</w:t>
      </w:r>
    </w:p>
    <w:p w:rsidR="00964D77" w:rsidRPr="00964D77" w:rsidRDefault="00964D77" w:rsidP="00964D77">
      <w:pPr>
        <w:rPr>
          <w:rFonts w:asciiTheme="majorHAnsi" w:hAnsiTheme="majorHAnsi" w:cstheme="majorHAnsi"/>
          <w:sz w:val="20"/>
        </w:rPr>
      </w:pPr>
      <w:r w:rsidRPr="00964D77">
        <w:rPr>
          <w:rFonts w:asciiTheme="majorHAnsi" w:hAnsiTheme="majorHAnsi" w:cstheme="majorHAnsi"/>
          <w:bCs/>
          <w:sz w:val="20"/>
          <w:u w:val="single"/>
        </w:rPr>
        <w:t xml:space="preserve">STN 92 02 41 </w:t>
      </w:r>
      <w:r w:rsidRPr="00964D77">
        <w:rPr>
          <w:rFonts w:asciiTheme="majorHAnsi" w:hAnsiTheme="majorHAnsi" w:cstheme="majorHAnsi"/>
          <w:bCs/>
          <w:sz w:val="20"/>
        </w:rPr>
        <w:t xml:space="preserve">  </w:t>
      </w:r>
      <w:r w:rsidRPr="00964D77">
        <w:rPr>
          <w:rFonts w:asciiTheme="majorHAnsi" w:hAnsiTheme="majorHAnsi" w:cstheme="majorHAnsi"/>
          <w:sz w:val="20"/>
        </w:rPr>
        <w:t>Požiarna bezpečnosť stavieb</w:t>
      </w:r>
      <w:r w:rsidRPr="00964D77">
        <w:rPr>
          <w:rFonts w:asciiTheme="majorHAnsi" w:hAnsiTheme="majorHAnsi" w:cstheme="majorHAnsi"/>
          <w:bCs/>
          <w:sz w:val="20"/>
        </w:rPr>
        <w:t xml:space="preserve"> / </w:t>
      </w:r>
      <w:r w:rsidRPr="00964D77">
        <w:rPr>
          <w:rFonts w:asciiTheme="majorHAnsi" w:hAnsiTheme="majorHAnsi" w:cstheme="majorHAnsi"/>
          <w:sz w:val="20"/>
        </w:rPr>
        <w:t>Obsadenie objektov osobami,</w:t>
      </w:r>
    </w:p>
    <w:p w:rsidR="00964D77" w:rsidRPr="00964D77" w:rsidRDefault="00964D77" w:rsidP="00964D77">
      <w:pPr>
        <w:rPr>
          <w:rFonts w:asciiTheme="majorHAnsi" w:hAnsiTheme="majorHAnsi" w:cstheme="majorHAnsi"/>
          <w:sz w:val="20"/>
        </w:rPr>
      </w:pPr>
      <w:r w:rsidRPr="00964D77">
        <w:rPr>
          <w:rFonts w:asciiTheme="majorHAnsi" w:hAnsiTheme="majorHAnsi" w:cstheme="majorHAnsi"/>
          <w:bCs/>
          <w:iCs/>
          <w:sz w:val="20"/>
          <w:u w:val="single"/>
        </w:rPr>
        <w:t>STN 92 0400</w:t>
      </w:r>
      <w:r w:rsidRPr="00964D77">
        <w:rPr>
          <w:rFonts w:asciiTheme="majorHAnsi" w:hAnsiTheme="majorHAnsi" w:cstheme="majorHAnsi"/>
          <w:bCs/>
          <w:iCs/>
          <w:sz w:val="20"/>
        </w:rPr>
        <w:tab/>
      </w:r>
      <w:r w:rsidRPr="00964D77">
        <w:rPr>
          <w:rFonts w:asciiTheme="majorHAnsi" w:hAnsiTheme="majorHAnsi" w:cstheme="majorHAnsi"/>
          <w:iCs/>
          <w:sz w:val="20"/>
        </w:rPr>
        <w:t>Požiarna bezpečnosť stavieb. Zásobovanie vodou na hasenie požiarov,</w:t>
      </w:r>
    </w:p>
    <w:p w:rsidR="00964D77" w:rsidRPr="00964D77" w:rsidRDefault="00964D77" w:rsidP="00964D77">
      <w:pPr>
        <w:rPr>
          <w:rFonts w:asciiTheme="majorHAnsi" w:hAnsiTheme="majorHAnsi" w:cstheme="majorHAnsi"/>
          <w:sz w:val="20"/>
        </w:rPr>
      </w:pPr>
      <w:r w:rsidRPr="00964D77">
        <w:rPr>
          <w:rFonts w:asciiTheme="majorHAnsi" w:hAnsiTheme="majorHAnsi" w:cstheme="majorHAnsi"/>
          <w:bCs/>
          <w:iCs/>
          <w:sz w:val="20"/>
          <w:u w:val="single"/>
        </w:rPr>
        <w:t>STN  92 0202-1</w:t>
      </w:r>
      <w:r w:rsidRPr="00964D77">
        <w:rPr>
          <w:rFonts w:asciiTheme="majorHAnsi" w:hAnsiTheme="majorHAnsi" w:cstheme="majorHAnsi"/>
          <w:b/>
          <w:bCs/>
          <w:iCs/>
          <w:sz w:val="20"/>
        </w:rPr>
        <w:t xml:space="preserve"> </w:t>
      </w:r>
      <w:r w:rsidRPr="00964D77">
        <w:rPr>
          <w:rFonts w:asciiTheme="majorHAnsi" w:hAnsiTheme="majorHAnsi" w:cstheme="majorHAnsi"/>
          <w:iCs/>
          <w:sz w:val="20"/>
        </w:rPr>
        <w:t>Požiarna bezpečnosť stavieb. Vybavovanie stavieb hasiacimi prístrojmi.</w:t>
      </w:r>
      <w:r w:rsidRPr="00964D77">
        <w:rPr>
          <w:rFonts w:asciiTheme="majorHAnsi" w:hAnsiTheme="majorHAnsi" w:cstheme="majorHAnsi"/>
          <w:sz w:val="20"/>
        </w:rPr>
        <w:t xml:space="preserve"> </w:t>
      </w:r>
    </w:p>
    <w:p w:rsidR="00964D77" w:rsidRPr="00964D77" w:rsidRDefault="00964D77" w:rsidP="00964D77">
      <w:pPr>
        <w:rPr>
          <w:rFonts w:asciiTheme="majorHAnsi" w:hAnsiTheme="majorHAnsi" w:cstheme="majorHAnsi"/>
          <w:b/>
          <w:sz w:val="20"/>
          <w:lang w:eastAsia="cs-CZ"/>
        </w:rPr>
      </w:pPr>
    </w:p>
    <w:p w:rsidR="00964D77" w:rsidRPr="00964D77" w:rsidRDefault="00964D77" w:rsidP="00964D77">
      <w:pPr>
        <w:spacing w:line="0" w:lineRule="atLeast"/>
        <w:rPr>
          <w:rFonts w:asciiTheme="majorHAnsi" w:hAnsiTheme="majorHAnsi" w:cstheme="majorHAnsi"/>
          <w:b/>
          <w:sz w:val="20"/>
        </w:rPr>
      </w:pPr>
      <w:r w:rsidRPr="00964D77">
        <w:rPr>
          <w:rFonts w:asciiTheme="majorHAnsi" w:hAnsiTheme="majorHAnsi" w:cstheme="majorHAnsi"/>
          <w:b/>
          <w:sz w:val="20"/>
        </w:rPr>
        <w:t>Záver</w:t>
      </w:r>
    </w:p>
    <w:p w:rsidR="00964D77" w:rsidRPr="00964D77" w:rsidRDefault="00964D77" w:rsidP="00964D77">
      <w:pPr>
        <w:spacing w:line="0" w:lineRule="atLeast"/>
        <w:rPr>
          <w:rFonts w:asciiTheme="majorHAnsi" w:hAnsiTheme="majorHAnsi" w:cstheme="majorHAnsi"/>
          <w:b/>
          <w:sz w:val="20"/>
        </w:rPr>
      </w:pPr>
    </w:p>
    <w:p w:rsidR="00964D77" w:rsidRPr="00964D77" w:rsidRDefault="00964D77" w:rsidP="00964D77">
      <w:pPr>
        <w:rPr>
          <w:rFonts w:asciiTheme="majorHAnsi" w:hAnsiTheme="majorHAnsi" w:cstheme="majorHAnsi"/>
          <w:sz w:val="20"/>
        </w:rPr>
      </w:pPr>
      <w:r w:rsidRPr="00964D77">
        <w:rPr>
          <w:rFonts w:asciiTheme="majorHAnsi" w:hAnsiTheme="majorHAnsi" w:cstheme="majorHAnsi"/>
          <w:sz w:val="20"/>
        </w:rPr>
        <w:t xml:space="preserve">Projektová  dokumentácia protipožiarnej bezpečnosti stavby je vypracovaná v súlade s citovanými STN a predpismi. Preventívne opatrenia požiarnej ochrany musí zabezpečovať majiteľ a užívateľ v zmysle príslušných vyhlášok a smerníc. </w:t>
      </w:r>
      <w:r w:rsidRPr="00964D77">
        <w:rPr>
          <w:rFonts w:asciiTheme="majorHAnsi" w:hAnsiTheme="majorHAnsi" w:cstheme="majorHAnsi"/>
          <w:sz w:val="20"/>
          <w:shd w:val="clear" w:color="auto" w:fill="FFFFFF"/>
        </w:rPr>
        <w:t>Upozorňujem, že v prípade akýchkoľvek zmien ako v spracovanom projekte protipožiarnej bezpečnosti stavby, je nutné vypracovať ich posúdenie z hľadiska protipožiarnej bezpečnosti stavby špecialistom po a predložiť projekt na opätovné schválenie príslušnému orgánu.</w:t>
      </w:r>
    </w:p>
    <w:p w:rsidR="00780C24" w:rsidRDefault="00780C24" w:rsidP="0009245A">
      <w:pPr>
        <w:autoSpaceDE w:val="0"/>
        <w:autoSpaceDN w:val="0"/>
        <w:adjustRightInd w:val="0"/>
        <w:rPr>
          <w:rFonts w:ascii="Calibri" w:hAnsi="Calibri" w:cs="Calibri"/>
          <w:b/>
          <w:iCs/>
          <w:sz w:val="24"/>
          <w:highlight w:val="lightGray"/>
        </w:rPr>
      </w:pPr>
    </w:p>
    <w:p w:rsidR="00062C3F" w:rsidRPr="000D00F5" w:rsidRDefault="00062C3F" w:rsidP="0009245A">
      <w:pPr>
        <w:autoSpaceDE w:val="0"/>
        <w:autoSpaceDN w:val="0"/>
        <w:adjustRightInd w:val="0"/>
        <w:rPr>
          <w:rFonts w:ascii="Calibri" w:hAnsi="Calibri" w:cs="Calibri"/>
          <w:b/>
          <w:iCs/>
          <w:sz w:val="24"/>
          <w:highlight w:val="lightGray"/>
        </w:rPr>
      </w:pPr>
    </w:p>
    <w:p w:rsidR="00763F78" w:rsidRPr="00062C3F" w:rsidRDefault="00763F78" w:rsidP="0009245A">
      <w:pPr>
        <w:autoSpaceDE w:val="0"/>
        <w:autoSpaceDN w:val="0"/>
        <w:adjustRightInd w:val="0"/>
        <w:rPr>
          <w:rFonts w:ascii="Calibri" w:hAnsi="Calibri" w:cs="Calibri"/>
          <w:b/>
          <w:iCs/>
          <w:sz w:val="24"/>
        </w:rPr>
      </w:pPr>
      <w:r w:rsidRPr="00062C3F">
        <w:rPr>
          <w:rFonts w:ascii="Calibri" w:hAnsi="Calibri" w:cs="Calibri"/>
          <w:b/>
          <w:iCs/>
          <w:sz w:val="24"/>
        </w:rPr>
        <w:t>VYKUROVANIE</w:t>
      </w:r>
    </w:p>
    <w:p w:rsidR="00E70077" w:rsidRPr="00062C3F" w:rsidRDefault="00E70077" w:rsidP="00E70077">
      <w:pPr>
        <w:jc w:val="both"/>
        <w:rPr>
          <w:rFonts w:ascii="Calibri" w:hAnsi="Calibri" w:cs="Calibri"/>
          <w:sz w:val="20"/>
        </w:rPr>
      </w:pPr>
    </w:p>
    <w:p w:rsidR="00E70077" w:rsidRPr="00062C3F" w:rsidRDefault="00E70077" w:rsidP="00E70077">
      <w:pPr>
        <w:pStyle w:val="Zarkazkladnhotextu"/>
        <w:ind w:left="0"/>
        <w:jc w:val="both"/>
        <w:rPr>
          <w:rFonts w:ascii="Calibri" w:hAnsi="Calibri" w:cs="Calibri"/>
          <w:sz w:val="20"/>
        </w:rPr>
      </w:pPr>
      <w:r w:rsidRPr="00062C3F">
        <w:rPr>
          <w:rFonts w:ascii="Calibri" w:hAnsi="Calibri" w:cs="Calibri"/>
          <w:sz w:val="20"/>
        </w:rPr>
        <w:t>Projekt rieši návrh vykurovania objektov vinárstva. Na základe požiadaviek investora a dodaných projekčných podkladov.</w:t>
      </w:r>
    </w:p>
    <w:p w:rsidR="00E70077" w:rsidRPr="00062C3F" w:rsidRDefault="00E70077" w:rsidP="00E70077">
      <w:pPr>
        <w:jc w:val="both"/>
        <w:rPr>
          <w:rFonts w:ascii="Calibri" w:hAnsi="Calibri" w:cs="Calibri"/>
          <w:sz w:val="20"/>
        </w:rPr>
      </w:pPr>
    </w:p>
    <w:p w:rsidR="00E70077" w:rsidRPr="00062C3F" w:rsidRDefault="00E70077" w:rsidP="00E70077">
      <w:pPr>
        <w:jc w:val="both"/>
        <w:rPr>
          <w:rFonts w:ascii="Calibri" w:hAnsi="Calibri" w:cs="Calibri"/>
          <w:b/>
          <w:sz w:val="20"/>
        </w:rPr>
      </w:pPr>
      <w:r w:rsidRPr="00062C3F">
        <w:rPr>
          <w:rFonts w:ascii="Calibri" w:hAnsi="Calibri" w:cs="Calibri"/>
          <w:b/>
          <w:sz w:val="20"/>
        </w:rPr>
        <w:t>Energetická bilancia:</w:t>
      </w:r>
    </w:p>
    <w:p w:rsidR="00E70077" w:rsidRPr="00062C3F" w:rsidRDefault="00E70077" w:rsidP="00E70077">
      <w:pPr>
        <w:jc w:val="both"/>
        <w:rPr>
          <w:rFonts w:ascii="Calibri" w:hAnsi="Calibri" w:cs="Calibri"/>
          <w:sz w:val="20"/>
        </w:rPr>
      </w:pPr>
    </w:p>
    <w:p w:rsidR="00E70077" w:rsidRPr="00062C3F" w:rsidRDefault="00E70077" w:rsidP="00E70077">
      <w:pPr>
        <w:jc w:val="both"/>
        <w:rPr>
          <w:rFonts w:ascii="Calibri" w:hAnsi="Calibri" w:cs="Calibri"/>
          <w:sz w:val="20"/>
        </w:rPr>
      </w:pPr>
      <w:r w:rsidRPr="00062C3F">
        <w:rPr>
          <w:rFonts w:ascii="Calibri" w:hAnsi="Calibri" w:cs="Calibri"/>
          <w:sz w:val="20"/>
        </w:rPr>
        <w:t>Vonkajšia výpočtová teplota je t</w:t>
      </w:r>
      <w:r w:rsidRPr="00062C3F">
        <w:rPr>
          <w:rFonts w:ascii="Calibri" w:hAnsi="Calibri" w:cs="Calibri"/>
          <w:sz w:val="20"/>
          <w:vertAlign w:val="subscript"/>
        </w:rPr>
        <w:t>e</w:t>
      </w:r>
      <w:r w:rsidRPr="00062C3F">
        <w:rPr>
          <w:rFonts w:ascii="Calibri" w:hAnsi="Calibri" w:cs="Calibri"/>
          <w:sz w:val="20"/>
        </w:rPr>
        <w:t xml:space="preserve"> = -11°C, Pri výpočte boli uvažované nasledovné parametre stavebných konštrukcií : </w:t>
      </w:r>
    </w:p>
    <w:p w:rsidR="00E70077" w:rsidRPr="00062C3F" w:rsidRDefault="00E70077" w:rsidP="00E70077">
      <w:pPr>
        <w:jc w:val="both"/>
        <w:rPr>
          <w:rFonts w:ascii="Calibri" w:hAnsi="Calibri" w:cs="Calibri"/>
          <w:sz w:val="20"/>
        </w:rPr>
      </w:pPr>
    </w:p>
    <w:tbl>
      <w:tblPr>
        <w:tblW w:w="932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gridCol w:w="2518"/>
      </w:tblGrid>
      <w:tr w:rsidR="00E70077" w:rsidRPr="00062C3F" w:rsidTr="00FF2B38">
        <w:tc>
          <w:tcPr>
            <w:tcW w:w="6804" w:type="dxa"/>
            <w:shd w:val="pct10" w:color="auto" w:fill="auto"/>
          </w:tcPr>
          <w:p w:rsidR="00E70077" w:rsidRPr="00062C3F" w:rsidRDefault="00E70077" w:rsidP="00E70077">
            <w:pPr>
              <w:jc w:val="both"/>
              <w:rPr>
                <w:rFonts w:ascii="Calibri" w:hAnsi="Calibri" w:cs="Calibri"/>
                <w:sz w:val="20"/>
              </w:rPr>
            </w:pPr>
            <w:r w:rsidRPr="00062C3F">
              <w:rPr>
                <w:rFonts w:ascii="Calibri" w:hAnsi="Calibri" w:cs="Calibri"/>
                <w:b/>
                <w:sz w:val="20"/>
              </w:rPr>
              <w:t>druh konštrukcie</w:t>
            </w:r>
          </w:p>
        </w:tc>
        <w:tc>
          <w:tcPr>
            <w:tcW w:w="2518" w:type="dxa"/>
            <w:shd w:val="pct10" w:color="auto" w:fill="auto"/>
          </w:tcPr>
          <w:p w:rsidR="00E70077" w:rsidRPr="00062C3F" w:rsidRDefault="00E70077" w:rsidP="00E70077">
            <w:pPr>
              <w:jc w:val="both"/>
              <w:rPr>
                <w:rFonts w:ascii="Calibri" w:hAnsi="Calibri" w:cs="Calibri"/>
                <w:sz w:val="20"/>
              </w:rPr>
            </w:pPr>
            <w:r w:rsidRPr="00062C3F">
              <w:rPr>
                <w:rFonts w:ascii="Calibri" w:hAnsi="Calibri" w:cs="Calibri"/>
                <w:b/>
                <w:sz w:val="20"/>
              </w:rPr>
              <w:t>k (Wm</w:t>
            </w:r>
            <w:r w:rsidRPr="00062C3F">
              <w:rPr>
                <w:rFonts w:ascii="Calibri" w:hAnsi="Calibri" w:cs="Calibri"/>
                <w:b/>
                <w:sz w:val="20"/>
                <w:vertAlign w:val="superscript"/>
              </w:rPr>
              <w:t>-2</w:t>
            </w:r>
            <w:r w:rsidRPr="00062C3F">
              <w:rPr>
                <w:rFonts w:ascii="Calibri" w:hAnsi="Calibri" w:cs="Calibri"/>
                <w:b/>
                <w:sz w:val="20"/>
              </w:rPr>
              <w:t>K</w:t>
            </w:r>
            <w:r w:rsidRPr="00062C3F">
              <w:rPr>
                <w:rFonts w:ascii="Calibri" w:hAnsi="Calibri" w:cs="Calibri"/>
                <w:b/>
                <w:sz w:val="20"/>
                <w:vertAlign w:val="superscript"/>
              </w:rPr>
              <w:t>-1</w:t>
            </w:r>
            <w:r w:rsidRPr="00062C3F">
              <w:rPr>
                <w:rFonts w:ascii="Calibri" w:hAnsi="Calibri" w:cs="Calibri"/>
                <w:b/>
                <w:sz w:val="20"/>
              </w:rPr>
              <w:t>)</w:t>
            </w:r>
          </w:p>
        </w:tc>
      </w:tr>
      <w:tr w:rsidR="00E70077" w:rsidRPr="00062C3F" w:rsidTr="00FF2B38">
        <w:tc>
          <w:tcPr>
            <w:tcW w:w="6804" w:type="dxa"/>
          </w:tcPr>
          <w:p w:rsidR="00E70077" w:rsidRPr="00062C3F" w:rsidRDefault="00E70077" w:rsidP="00E70077">
            <w:pPr>
              <w:pStyle w:val="Pta"/>
              <w:jc w:val="both"/>
              <w:rPr>
                <w:rFonts w:ascii="Calibri" w:hAnsi="Calibri" w:cs="Calibri"/>
              </w:rPr>
            </w:pPr>
            <w:r w:rsidRPr="00062C3F">
              <w:rPr>
                <w:rFonts w:ascii="Calibri" w:hAnsi="Calibri" w:cs="Calibri"/>
              </w:rPr>
              <w:t xml:space="preserve">vonk. obv. stena </w:t>
            </w:r>
          </w:p>
        </w:tc>
        <w:tc>
          <w:tcPr>
            <w:tcW w:w="2518" w:type="dxa"/>
          </w:tcPr>
          <w:p w:rsidR="00E70077" w:rsidRPr="00062C3F" w:rsidRDefault="00E70077" w:rsidP="00E70077">
            <w:pPr>
              <w:jc w:val="both"/>
              <w:rPr>
                <w:rFonts w:ascii="Calibri" w:hAnsi="Calibri" w:cs="Calibri"/>
                <w:sz w:val="20"/>
              </w:rPr>
            </w:pPr>
            <w:r w:rsidRPr="00062C3F">
              <w:rPr>
                <w:rFonts w:ascii="Calibri" w:hAnsi="Calibri" w:cs="Calibri"/>
                <w:sz w:val="20"/>
              </w:rPr>
              <w:t>0,11 – 0,15</w:t>
            </w:r>
          </w:p>
        </w:tc>
      </w:tr>
      <w:tr w:rsidR="00E70077" w:rsidRPr="00062C3F" w:rsidTr="00FF2B38">
        <w:tc>
          <w:tcPr>
            <w:tcW w:w="6804" w:type="dxa"/>
          </w:tcPr>
          <w:p w:rsidR="00E70077" w:rsidRPr="00062C3F" w:rsidRDefault="00E70077" w:rsidP="00E70077">
            <w:pPr>
              <w:jc w:val="both"/>
              <w:rPr>
                <w:rFonts w:ascii="Calibri" w:hAnsi="Calibri" w:cs="Calibri"/>
                <w:sz w:val="20"/>
              </w:rPr>
            </w:pPr>
            <w:r w:rsidRPr="00062C3F">
              <w:rPr>
                <w:rFonts w:ascii="Calibri" w:hAnsi="Calibri" w:cs="Calibri"/>
                <w:sz w:val="20"/>
              </w:rPr>
              <w:t>strešná konštrukcia šikmá</w:t>
            </w:r>
          </w:p>
        </w:tc>
        <w:tc>
          <w:tcPr>
            <w:tcW w:w="2518" w:type="dxa"/>
          </w:tcPr>
          <w:p w:rsidR="00E70077" w:rsidRPr="00062C3F" w:rsidRDefault="00E70077" w:rsidP="00E70077">
            <w:pPr>
              <w:jc w:val="both"/>
              <w:rPr>
                <w:rFonts w:ascii="Calibri" w:hAnsi="Calibri" w:cs="Calibri"/>
                <w:sz w:val="20"/>
              </w:rPr>
            </w:pPr>
            <w:r w:rsidRPr="00062C3F">
              <w:rPr>
                <w:rFonts w:ascii="Calibri" w:hAnsi="Calibri" w:cs="Calibri"/>
                <w:sz w:val="20"/>
              </w:rPr>
              <w:t>0,15</w:t>
            </w:r>
          </w:p>
        </w:tc>
      </w:tr>
      <w:tr w:rsidR="00E70077" w:rsidRPr="00062C3F" w:rsidTr="00FF2B38">
        <w:tc>
          <w:tcPr>
            <w:tcW w:w="6804" w:type="dxa"/>
          </w:tcPr>
          <w:p w:rsidR="00E70077" w:rsidRPr="00062C3F" w:rsidRDefault="00E70077" w:rsidP="00E70077">
            <w:pPr>
              <w:jc w:val="both"/>
              <w:rPr>
                <w:rFonts w:ascii="Calibri" w:hAnsi="Calibri" w:cs="Calibri"/>
                <w:sz w:val="20"/>
              </w:rPr>
            </w:pPr>
            <w:r w:rsidRPr="00062C3F">
              <w:rPr>
                <w:rFonts w:ascii="Calibri" w:hAnsi="Calibri" w:cs="Calibri"/>
                <w:sz w:val="20"/>
              </w:rPr>
              <w:t>podlaha na 1. nadz. podlaží</w:t>
            </w:r>
          </w:p>
        </w:tc>
        <w:tc>
          <w:tcPr>
            <w:tcW w:w="2518" w:type="dxa"/>
          </w:tcPr>
          <w:p w:rsidR="00E70077" w:rsidRPr="00062C3F" w:rsidRDefault="00E70077" w:rsidP="00E70077">
            <w:pPr>
              <w:jc w:val="both"/>
              <w:rPr>
                <w:rFonts w:ascii="Calibri" w:hAnsi="Calibri" w:cs="Calibri"/>
                <w:sz w:val="20"/>
              </w:rPr>
            </w:pPr>
            <w:r w:rsidRPr="00062C3F">
              <w:rPr>
                <w:rFonts w:ascii="Calibri" w:hAnsi="Calibri" w:cs="Calibri"/>
                <w:sz w:val="20"/>
              </w:rPr>
              <w:t>0,24</w:t>
            </w:r>
          </w:p>
        </w:tc>
      </w:tr>
      <w:tr w:rsidR="00E70077" w:rsidRPr="00062C3F" w:rsidTr="00FF2B38">
        <w:tc>
          <w:tcPr>
            <w:tcW w:w="6804" w:type="dxa"/>
          </w:tcPr>
          <w:p w:rsidR="00E70077" w:rsidRPr="00062C3F" w:rsidRDefault="00E70077" w:rsidP="00E70077">
            <w:pPr>
              <w:jc w:val="both"/>
              <w:rPr>
                <w:rFonts w:ascii="Calibri" w:hAnsi="Calibri" w:cs="Calibri"/>
                <w:sz w:val="20"/>
              </w:rPr>
            </w:pPr>
            <w:r w:rsidRPr="00062C3F">
              <w:rPr>
                <w:rFonts w:ascii="Calibri" w:hAnsi="Calibri" w:cs="Calibri"/>
                <w:sz w:val="20"/>
              </w:rPr>
              <w:t>okná, dvere a zasklené steny</w:t>
            </w:r>
          </w:p>
        </w:tc>
        <w:tc>
          <w:tcPr>
            <w:tcW w:w="2518" w:type="dxa"/>
          </w:tcPr>
          <w:p w:rsidR="00E70077" w:rsidRPr="00062C3F" w:rsidRDefault="00E70077" w:rsidP="00E70077">
            <w:pPr>
              <w:jc w:val="both"/>
              <w:rPr>
                <w:rFonts w:ascii="Calibri" w:hAnsi="Calibri" w:cs="Calibri"/>
                <w:sz w:val="20"/>
              </w:rPr>
            </w:pPr>
            <w:r w:rsidRPr="00062C3F">
              <w:rPr>
                <w:rFonts w:ascii="Calibri" w:hAnsi="Calibri" w:cs="Calibri"/>
                <w:sz w:val="20"/>
              </w:rPr>
              <w:t>0,85</w:t>
            </w:r>
          </w:p>
        </w:tc>
      </w:tr>
    </w:tbl>
    <w:p w:rsidR="00E70077" w:rsidRPr="00062C3F" w:rsidRDefault="00E70077" w:rsidP="00E70077">
      <w:pPr>
        <w:jc w:val="both"/>
        <w:rPr>
          <w:rFonts w:ascii="Calibri" w:hAnsi="Calibri" w:cs="Calibri"/>
          <w:sz w:val="20"/>
        </w:rPr>
      </w:pPr>
    </w:p>
    <w:p w:rsidR="00E70077" w:rsidRPr="00062C3F" w:rsidRDefault="00E70077" w:rsidP="00E70077">
      <w:pPr>
        <w:jc w:val="both"/>
        <w:rPr>
          <w:rFonts w:ascii="Calibri" w:hAnsi="Calibri" w:cs="Calibri"/>
          <w:sz w:val="20"/>
        </w:rPr>
      </w:pPr>
      <w:r w:rsidRPr="00062C3F">
        <w:rPr>
          <w:rFonts w:ascii="Calibri" w:hAnsi="Calibri" w:cs="Calibri"/>
          <w:sz w:val="20"/>
        </w:rPr>
        <w:t>Vypočítaná tepelná strata vykurovaných  objektov je Qc = 10,8  kW</w:t>
      </w:r>
    </w:p>
    <w:p w:rsidR="00E70077" w:rsidRPr="00062C3F" w:rsidRDefault="00E70077" w:rsidP="00E70077">
      <w:pPr>
        <w:jc w:val="both"/>
        <w:rPr>
          <w:rFonts w:ascii="Calibri" w:hAnsi="Calibri" w:cs="Calibri"/>
          <w:sz w:val="20"/>
        </w:rPr>
      </w:pPr>
      <w:r w:rsidRPr="00062C3F">
        <w:rPr>
          <w:rFonts w:ascii="Calibri" w:hAnsi="Calibri" w:cs="Calibri"/>
          <w:sz w:val="20"/>
        </w:rPr>
        <w:t xml:space="preserve">Predpokladaná ročná potreba tepla na vykurovanie vo vykurovacom období je spolu 64GJ/rok, 17800 kWh/rok, </w:t>
      </w:r>
    </w:p>
    <w:p w:rsidR="00E70077" w:rsidRPr="00062C3F" w:rsidRDefault="00E70077" w:rsidP="00E70077">
      <w:pPr>
        <w:jc w:val="both"/>
        <w:rPr>
          <w:rFonts w:ascii="Calibri" w:hAnsi="Calibri" w:cs="Calibri"/>
          <w:sz w:val="20"/>
        </w:rPr>
      </w:pPr>
      <w:r w:rsidRPr="00062C3F">
        <w:rPr>
          <w:rFonts w:ascii="Calibri" w:hAnsi="Calibri" w:cs="Calibri"/>
          <w:sz w:val="20"/>
        </w:rPr>
        <w:t>Spotreba tepla na prípravu TUV je E</w:t>
      </w:r>
      <w:r w:rsidRPr="00062C3F">
        <w:rPr>
          <w:rFonts w:ascii="Calibri" w:hAnsi="Calibri" w:cs="Calibri"/>
          <w:sz w:val="20"/>
          <w:vertAlign w:val="subscript"/>
        </w:rPr>
        <w:t>TUV</w:t>
      </w:r>
      <w:r w:rsidRPr="00062C3F">
        <w:rPr>
          <w:rFonts w:ascii="Calibri" w:hAnsi="Calibri" w:cs="Calibri"/>
          <w:sz w:val="20"/>
        </w:rPr>
        <w:t>=15 GJ/rok, 4200 kWh/rok</w:t>
      </w:r>
    </w:p>
    <w:p w:rsidR="00E70077" w:rsidRPr="00062C3F" w:rsidRDefault="00E70077" w:rsidP="00E70077">
      <w:pPr>
        <w:jc w:val="both"/>
        <w:rPr>
          <w:rFonts w:ascii="Calibri" w:hAnsi="Calibri" w:cs="Calibri"/>
          <w:sz w:val="20"/>
        </w:rPr>
      </w:pPr>
      <w:r w:rsidRPr="00062C3F">
        <w:rPr>
          <w:rFonts w:ascii="Calibri" w:hAnsi="Calibri" w:cs="Calibri"/>
          <w:sz w:val="20"/>
        </w:rPr>
        <w:t xml:space="preserve">Spolu 79 GJ/rok, 22000 kWh/rok – pri predpoklade celoročného využitia. </w:t>
      </w:r>
    </w:p>
    <w:p w:rsidR="00E70077" w:rsidRPr="00062C3F" w:rsidRDefault="00E70077" w:rsidP="00E70077">
      <w:pPr>
        <w:jc w:val="both"/>
        <w:rPr>
          <w:rFonts w:ascii="Calibri" w:hAnsi="Calibri" w:cs="Calibri"/>
          <w:sz w:val="20"/>
        </w:rPr>
      </w:pPr>
    </w:p>
    <w:p w:rsidR="00E70077" w:rsidRPr="00062C3F" w:rsidRDefault="00E70077" w:rsidP="00616A16">
      <w:pPr>
        <w:tabs>
          <w:tab w:val="left" w:pos="0"/>
        </w:tabs>
        <w:rPr>
          <w:rFonts w:ascii="Calibri" w:hAnsi="Calibri" w:cs="Calibri"/>
          <w:b/>
          <w:sz w:val="20"/>
        </w:rPr>
      </w:pPr>
      <w:r w:rsidRPr="00062C3F">
        <w:rPr>
          <w:rFonts w:ascii="Calibri" w:hAnsi="Calibri" w:cs="Calibri"/>
          <w:b/>
          <w:sz w:val="20"/>
        </w:rPr>
        <w:t xml:space="preserve">Zdroj tepla, </w:t>
      </w:r>
    </w:p>
    <w:p w:rsidR="00E70077" w:rsidRPr="00062C3F" w:rsidRDefault="00E70077" w:rsidP="00616A16">
      <w:pPr>
        <w:tabs>
          <w:tab w:val="left" w:pos="0"/>
        </w:tabs>
        <w:rPr>
          <w:rFonts w:ascii="Calibri" w:hAnsi="Calibri" w:cs="Calibri"/>
          <w:b/>
          <w:sz w:val="20"/>
        </w:rPr>
      </w:pPr>
      <w:r w:rsidRPr="00062C3F">
        <w:rPr>
          <w:rFonts w:ascii="Calibri" w:hAnsi="Calibri" w:cs="Calibri"/>
          <w:b/>
          <w:sz w:val="20"/>
        </w:rPr>
        <w:t>SO 01,2 Podlahové vykurovanie</w:t>
      </w:r>
    </w:p>
    <w:p w:rsidR="00E70077" w:rsidRPr="00062C3F" w:rsidRDefault="00E70077" w:rsidP="00E70077">
      <w:pPr>
        <w:jc w:val="both"/>
        <w:rPr>
          <w:rFonts w:ascii="Calibri" w:hAnsi="Calibri" w:cs="Calibri"/>
          <w:sz w:val="20"/>
        </w:rPr>
      </w:pPr>
    </w:p>
    <w:p w:rsidR="00E70077" w:rsidRPr="00062C3F" w:rsidRDefault="00E70077" w:rsidP="00E70077">
      <w:pPr>
        <w:jc w:val="both"/>
        <w:rPr>
          <w:rFonts w:ascii="Calibri" w:hAnsi="Calibri" w:cs="Calibri"/>
          <w:sz w:val="20"/>
        </w:rPr>
      </w:pPr>
      <w:r w:rsidRPr="00062C3F">
        <w:rPr>
          <w:rFonts w:ascii="Calibri" w:hAnsi="Calibri" w:cs="Calibri"/>
          <w:sz w:val="20"/>
        </w:rPr>
        <w:t xml:space="preserve">Zdrojom tepla bude sústava vykurovacích rohoží vybavených  odporovými káblami DEVI s výkonom 100W/m2 - 150W/m2. </w:t>
      </w:r>
    </w:p>
    <w:p w:rsidR="00E70077" w:rsidRPr="00062C3F" w:rsidRDefault="00E70077" w:rsidP="00E70077">
      <w:pPr>
        <w:jc w:val="both"/>
        <w:rPr>
          <w:rFonts w:ascii="Calibri" w:hAnsi="Calibri" w:cs="Calibri"/>
          <w:sz w:val="20"/>
        </w:rPr>
      </w:pPr>
      <w:r w:rsidRPr="00062C3F">
        <w:rPr>
          <w:rFonts w:ascii="Calibri" w:hAnsi="Calibri" w:cs="Calibri"/>
          <w:sz w:val="20"/>
        </w:rPr>
        <w:t xml:space="preserve">Vykurovacie rohože budú ukladané na poter do lepidla pod dlažbu. </w:t>
      </w:r>
    </w:p>
    <w:p w:rsidR="00E70077" w:rsidRPr="00062C3F" w:rsidRDefault="00E70077" w:rsidP="00E70077">
      <w:pPr>
        <w:jc w:val="both"/>
        <w:rPr>
          <w:rFonts w:ascii="Calibri" w:hAnsi="Calibri" w:cs="Calibri"/>
          <w:sz w:val="20"/>
        </w:rPr>
      </w:pPr>
      <w:r w:rsidRPr="00062C3F">
        <w:rPr>
          <w:rFonts w:ascii="Calibri" w:hAnsi="Calibri" w:cs="Calibri"/>
          <w:sz w:val="20"/>
        </w:rPr>
        <w:t xml:space="preserve">Presné rozmiestnenie vykurovacích plôch je podmienené rozmiestnením nábytku podľa projektu interiéru. </w:t>
      </w:r>
    </w:p>
    <w:p w:rsidR="00E70077" w:rsidRPr="00062C3F" w:rsidRDefault="00E70077" w:rsidP="00E70077">
      <w:pPr>
        <w:jc w:val="both"/>
        <w:rPr>
          <w:rFonts w:ascii="Calibri" w:hAnsi="Calibri" w:cs="Calibri"/>
          <w:sz w:val="20"/>
        </w:rPr>
      </w:pPr>
      <w:r w:rsidRPr="00062C3F">
        <w:rPr>
          <w:rFonts w:ascii="Calibri" w:hAnsi="Calibri" w:cs="Calibri"/>
          <w:sz w:val="20"/>
        </w:rPr>
        <w:t>SO 01- Maximálny vykurovací Výkon rohoží je spolu 7063 W.</w:t>
      </w:r>
    </w:p>
    <w:p w:rsidR="00E70077" w:rsidRPr="00062C3F" w:rsidRDefault="00E70077" w:rsidP="00E70077">
      <w:pPr>
        <w:jc w:val="both"/>
        <w:rPr>
          <w:rFonts w:ascii="Calibri" w:hAnsi="Calibri" w:cs="Calibri"/>
          <w:sz w:val="20"/>
        </w:rPr>
      </w:pPr>
      <w:r w:rsidRPr="00062C3F">
        <w:rPr>
          <w:rFonts w:ascii="Calibri" w:hAnsi="Calibri" w:cs="Calibri"/>
          <w:sz w:val="20"/>
        </w:rPr>
        <w:t>SO 02- Maximálny vykurovací Výkon rohoží je spolu 349 W.</w:t>
      </w:r>
    </w:p>
    <w:p w:rsidR="00E70077" w:rsidRPr="00062C3F" w:rsidRDefault="00E70077" w:rsidP="00E70077">
      <w:pPr>
        <w:jc w:val="both"/>
        <w:rPr>
          <w:rFonts w:ascii="Calibri" w:hAnsi="Calibri" w:cs="Calibri"/>
          <w:sz w:val="20"/>
        </w:rPr>
      </w:pPr>
    </w:p>
    <w:p w:rsidR="00E70077" w:rsidRPr="00062C3F" w:rsidRDefault="00E70077" w:rsidP="00E70077">
      <w:pPr>
        <w:jc w:val="both"/>
        <w:rPr>
          <w:rFonts w:ascii="Calibri" w:hAnsi="Calibri" w:cs="Calibri"/>
          <w:sz w:val="20"/>
        </w:rPr>
      </w:pPr>
      <w:r w:rsidRPr="00062C3F">
        <w:rPr>
          <w:rFonts w:ascii="Calibri" w:hAnsi="Calibri" w:cs="Calibri"/>
          <w:sz w:val="20"/>
        </w:rPr>
        <w:t>Rohože budú ovládané priestorovými termostatmi Devireg touch s displayom resp. nadradenou reguláciou.</w:t>
      </w:r>
    </w:p>
    <w:p w:rsidR="00E70077" w:rsidRPr="00062C3F" w:rsidRDefault="00E70077" w:rsidP="00E70077">
      <w:pPr>
        <w:jc w:val="both"/>
        <w:rPr>
          <w:rFonts w:ascii="Calibri" w:hAnsi="Calibri" w:cs="Calibri"/>
          <w:sz w:val="20"/>
        </w:rPr>
      </w:pPr>
      <w:r w:rsidRPr="00062C3F">
        <w:rPr>
          <w:rFonts w:ascii="Calibri" w:hAnsi="Calibri" w:cs="Calibri"/>
          <w:sz w:val="20"/>
        </w:rPr>
        <w:t>Maximálny spínaný výkon termostatu je 3,5kW.</w:t>
      </w:r>
    </w:p>
    <w:p w:rsidR="00E70077" w:rsidRPr="00062C3F" w:rsidRDefault="00E70077" w:rsidP="00E70077">
      <w:pPr>
        <w:jc w:val="both"/>
        <w:rPr>
          <w:rFonts w:ascii="Calibri" w:hAnsi="Calibri" w:cs="Calibri"/>
          <w:sz w:val="20"/>
        </w:rPr>
      </w:pPr>
      <w:r w:rsidRPr="00062C3F">
        <w:rPr>
          <w:rFonts w:ascii="Calibri" w:hAnsi="Calibri" w:cs="Calibri"/>
          <w:sz w:val="20"/>
        </w:rPr>
        <w:t xml:space="preserve">Prepojenie odporového káblu s termostatom resp. spínacím prvkom bude studeným koncom. </w:t>
      </w:r>
    </w:p>
    <w:p w:rsidR="00E70077" w:rsidRPr="00062C3F" w:rsidRDefault="00E70077" w:rsidP="00E70077">
      <w:pPr>
        <w:jc w:val="both"/>
        <w:rPr>
          <w:rFonts w:ascii="Calibri" w:hAnsi="Calibri" w:cs="Calibri"/>
          <w:sz w:val="20"/>
        </w:rPr>
      </w:pPr>
      <w:r w:rsidRPr="00062C3F">
        <w:rPr>
          <w:rFonts w:ascii="Calibri" w:hAnsi="Calibri" w:cs="Calibri"/>
          <w:sz w:val="20"/>
        </w:rPr>
        <w:t>V kúpeľniach budú elektrické rebríkové telesá s výkonom 300W, ovládací termostat bude priamo na telese.</w:t>
      </w:r>
    </w:p>
    <w:p w:rsidR="00E70077" w:rsidRPr="00062C3F" w:rsidRDefault="00E70077" w:rsidP="00E70077">
      <w:pPr>
        <w:jc w:val="both"/>
        <w:rPr>
          <w:rFonts w:ascii="Calibri" w:hAnsi="Calibri" w:cs="Calibri"/>
          <w:sz w:val="20"/>
        </w:rPr>
      </w:pPr>
      <w:r w:rsidRPr="00062C3F">
        <w:rPr>
          <w:rFonts w:ascii="Calibri" w:hAnsi="Calibri" w:cs="Calibri"/>
          <w:sz w:val="20"/>
        </w:rPr>
        <w:t>Maximálny vykurovací Výkon elektrických radiátorov je spolu 900 W.</w:t>
      </w:r>
    </w:p>
    <w:p w:rsidR="00E70077" w:rsidRPr="00062C3F" w:rsidRDefault="00E70077" w:rsidP="00E70077">
      <w:pPr>
        <w:jc w:val="both"/>
        <w:rPr>
          <w:rFonts w:ascii="Calibri" w:hAnsi="Calibri" w:cs="Calibri"/>
          <w:sz w:val="20"/>
        </w:rPr>
      </w:pPr>
    </w:p>
    <w:p w:rsidR="00E70077" w:rsidRPr="00062C3F" w:rsidRDefault="00E70077" w:rsidP="00E70077">
      <w:pPr>
        <w:jc w:val="both"/>
        <w:rPr>
          <w:rFonts w:ascii="Calibri" w:hAnsi="Calibri" w:cs="Calibri"/>
          <w:sz w:val="20"/>
        </w:rPr>
      </w:pPr>
      <w:r w:rsidRPr="00062C3F">
        <w:rPr>
          <w:rFonts w:ascii="Calibri" w:hAnsi="Calibri" w:cs="Calibri"/>
          <w:sz w:val="20"/>
        </w:rPr>
        <w:t>Ohrev teplej pitnej vody v SO01,2 bude zabezpečený zásobníkom teplej vody s objemom 100Litrov LX ACDC/M+K 100.</w:t>
      </w:r>
    </w:p>
    <w:p w:rsidR="00E70077" w:rsidRPr="00062C3F" w:rsidRDefault="00E70077" w:rsidP="00E70077">
      <w:pPr>
        <w:tabs>
          <w:tab w:val="left" w:pos="0"/>
        </w:tabs>
        <w:ind w:firstLine="851"/>
        <w:jc w:val="both"/>
        <w:rPr>
          <w:rFonts w:ascii="Calibri" w:hAnsi="Calibri" w:cs="Calibri"/>
          <w:b/>
          <w:sz w:val="20"/>
        </w:rPr>
      </w:pPr>
    </w:p>
    <w:p w:rsidR="00E70077" w:rsidRPr="00062C3F" w:rsidRDefault="00E70077" w:rsidP="00816C0C">
      <w:pPr>
        <w:tabs>
          <w:tab w:val="left" w:pos="0"/>
        </w:tabs>
        <w:jc w:val="both"/>
        <w:rPr>
          <w:rFonts w:ascii="Calibri" w:hAnsi="Calibri" w:cs="Calibri"/>
          <w:b/>
          <w:sz w:val="20"/>
        </w:rPr>
      </w:pPr>
      <w:r w:rsidRPr="00062C3F">
        <w:rPr>
          <w:rFonts w:ascii="Calibri" w:hAnsi="Calibri" w:cs="Calibri"/>
          <w:b/>
          <w:sz w:val="20"/>
        </w:rPr>
        <w:t xml:space="preserve">Zdroj tepla, </w:t>
      </w:r>
    </w:p>
    <w:p w:rsidR="00E70077" w:rsidRPr="00062C3F" w:rsidRDefault="00E70077" w:rsidP="00816C0C">
      <w:pPr>
        <w:tabs>
          <w:tab w:val="left" w:pos="0"/>
        </w:tabs>
        <w:jc w:val="both"/>
        <w:rPr>
          <w:rFonts w:ascii="Calibri" w:hAnsi="Calibri" w:cs="Calibri"/>
          <w:b/>
          <w:sz w:val="20"/>
        </w:rPr>
      </w:pPr>
      <w:r w:rsidRPr="00062C3F">
        <w:rPr>
          <w:rFonts w:ascii="Calibri" w:hAnsi="Calibri" w:cs="Calibri"/>
          <w:b/>
          <w:sz w:val="20"/>
        </w:rPr>
        <w:t>SO 02,3 Konvekčné vykurovanie</w:t>
      </w:r>
    </w:p>
    <w:p w:rsidR="00E70077" w:rsidRPr="00062C3F" w:rsidRDefault="00E70077" w:rsidP="00E70077">
      <w:pPr>
        <w:jc w:val="both"/>
        <w:rPr>
          <w:rFonts w:ascii="Calibri" w:hAnsi="Calibri" w:cs="Calibri"/>
          <w:sz w:val="20"/>
        </w:rPr>
      </w:pPr>
    </w:p>
    <w:p w:rsidR="00E70077" w:rsidRPr="00062C3F" w:rsidRDefault="00E70077" w:rsidP="00E70077">
      <w:pPr>
        <w:jc w:val="both"/>
        <w:rPr>
          <w:rFonts w:ascii="Calibri" w:hAnsi="Calibri" w:cs="Calibri"/>
          <w:sz w:val="20"/>
        </w:rPr>
      </w:pPr>
      <w:r w:rsidRPr="00062C3F">
        <w:rPr>
          <w:rFonts w:ascii="Calibri" w:hAnsi="Calibri" w:cs="Calibri"/>
          <w:sz w:val="20"/>
        </w:rPr>
        <w:t xml:space="preserve">V miestnostiach prevádzky budú namontované elektrické radiátory s ovládacím panelom na telese. </w:t>
      </w:r>
    </w:p>
    <w:p w:rsidR="00E70077" w:rsidRPr="00062C3F" w:rsidRDefault="00E70077" w:rsidP="00E70077">
      <w:pPr>
        <w:jc w:val="both"/>
        <w:rPr>
          <w:rFonts w:ascii="Calibri" w:hAnsi="Calibri" w:cs="Calibri"/>
          <w:sz w:val="20"/>
        </w:rPr>
      </w:pPr>
      <w:r w:rsidRPr="00062C3F">
        <w:rPr>
          <w:rFonts w:ascii="Calibri" w:hAnsi="Calibri" w:cs="Calibri"/>
          <w:sz w:val="20"/>
        </w:rPr>
        <w:t>Maximálny vykurovací Výkon elektrických radiátorov je spolu 8300 W.</w:t>
      </w:r>
    </w:p>
    <w:p w:rsidR="00E70077" w:rsidRPr="00062C3F" w:rsidRDefault="00E70077" w:rsidP="00E70077">
      <w:pPr>
        <w:jc w:val="both"/>
        <w:rPr>
          <w:rFonts w:ascii="Calibri" w:hAnsi="Calibri" w:cs="Calibri"/>
          <w:sz w:val="20"/>
        </w:rPr>
      </w:pPr>
    </w:p>
    <w:p w:rsidR="00E70077" w:rsidRPr="00062C3F" w:rsidRDefault="00E70077" w:rsidP="00E70077">
      <w:pPr>
        <w:jc w:val="both"/>
        <w:rPr>
          <w:rFonts w:ascii="Calibri" w:hAnsi="Calibri" w:cs="Calibri"/>
          <w:sz w:val="20"/>
        </w:rPr>
      </w:pPr>
      <w:r w:rsidRPr="00062C3F">
        <w:rPr>
          <w:rFonts w:ascii="Calibri" w:hAnsi="Calibri" w:cs="Calibri"/>
          <w:sz w:val="20"/>
        </w:rPr>
        <w:t>Ostatné podmienky nutné k prevádzke zariadení určí ich  výrobca a dodávateľ</w:t>
      </w:r>
    </w:p>
    <w:p w:rsidR="00E70077" w:rsidRPr="00062C3F" w:rsidRDefault="00E70077" w:rsidP="00E70077">
      <w:pPr>
        <w:jc w:val="both"/>
        <w:rPr>
          <w:rFonts w:ascii="Calibri" w:hAnsi="Calibri" w:cs="Calibri"/>
          <w:sz w:val="20"/>
        </w:rPr>
      </w:pPr>
    </w:p>
    <w:p w:rsidR="00E70077" w:rsidRPr="00062C3F" w:rsidRDefault="00E70077" w:rsidP="00E70077">
      <w:pPr>
        <w:ind w:firstLine="1809"/>
        <w:jc w:val="both"/>
        <w:rPr>
          <w:rFonts w:ascii="Calibri" w:hAnsi="Calibri" w:cs="Calibri"/>
          <w:b/>
          <w:sz w:val="20"/>
        </w:rPr>
      </w:pPr>
    </w:p>
    <w:p w:rsidR="00E70077" w:rsidRPr="00062C3F" w:rsidRDefault="00E70077" w:rsidP="00816C0C">
      <w:pPr>
        <w:jc w:val="both"/>
        <w:rPr>
          <w:rFonts w:ascii="Calibri" w:hAnsi="Calibri" w:cs="Calibri"/>
          <w:sz w:val="20"/>
        </w:rPr>
      </w:pPr>
      <w:r w:rsidRPr="00062C3F">
        <w:rPr>
          <w:rFonts w:ascii="Calibri" w:hAnsi="Calibri" w:cs="Calibri"/>
          <w:b/>
          <w:sz w:val="20"/>
        </w:rPr>
        <w:t>Regulácia</w:t>
      </w:r>
      <w:r w:rsidRPr="00062C3F">
        <w:rPr>
          <w:rFonts w:ascii="Calibri" w:hAnsi="Calibri" w:cs="Calibri"/>
          <w:sz w:val="20"/>
        </w:rPr>
        <w:t xml:space="preserve"> </w:t>
      </w:r>
    </w:p>
    <w:p w:rsidR="00E70077" w:rsidRPr="00062C3F" w:rsidRDefault="00E70077" w:rsidP="00816C0C">
      <w:pPr>
        <w:jc w:val="both"/>
        <w:rPr>
          <w:rFonts w:ascii="Calibri" w:hAnsi="Calibri" w:cs="Calibri"/>
          <w:sz w:val="20"/>
        </w:rPr>
      </w:pPr>
      <w:r w:rsidRPr="00062C3F">
        <w:rPr>
          <w:rFonts w:ascii="Calibri" w:hAnsi="Calibri" w:cs="Calibri"/>
          <w:sz w:val="20"/>
        </w:rPr>
        <w:t>bude zabezpečená izbovými r</w:t>
      </w:r>
      <w:r w:rsidR="00062C3F">
        <w:rPr>
          <w:rFonts w:ascii="Calibri" w:hAnsi="Calibri" w:cs="Calibri"/>
          <w:sz w:val="20"/>
        </w:rPr>
        <w:t>egulátoromi v každej miestnosti</w:t>
      </w:r>
      <w:r w:rsidRPr="00062C3F">
        <w:rPr>
          <w:rFonts w:ascii="Calibri" w:hAnsi="Calibri" w:cs="Calibri"/>
          <w:sz w:val="20"/>
        </w:rPr>
        <w:t>, na vykurovacích telesách resp</w:t>
      </w:r>
      <w:r w:rsidR="00062C3F">
        <w:rPr>
          <w:rFonts w:ascii="Calibri" w:hAnsi="Calibri" w:cs="Calibri"/>
          <w:sz w:val="20"/>
        </w:rPr>
        <w:t>.</w:t>
      </w:r>
      <w:r w:rsidRPr="00062C3F">
        <w:rPr>
          <w:rFonts w:ascii="Calibri" w:hAnsi="Calibri" w:cs="Calibri"/>
          <w:sz w:val="20"/>
        </w:rPr>
        <w:t xml:space="preserve"> nadradeným systémom </w:t>
      </w:r>
    </w:p>
    <w:p w:rsidR="00E70077" w:rsidRPr="00062C3F" w:rsidRDefault="00E70077" w:rsidP="00E70077">
      <w:pPr>
        <w:ind w:firstLine="720"/>
        <w:jc w:val="both"/>
        <w:rPr>
          <w:rFonts w:ascii="Calibri" w:hAnsi="Calibri" w:cs="Calibri"/>
          <w:sz w:val="20"/>
        </w:rPr>
      </w:pPr>
    </w:p>
    <w:p w:rsidR="00E70077" w:rsidRPr="00062C3F" w:rsidRDefault="00E70077" w:rsidP="00816C0C">
      <w:pPr>
        <w:rPr>
          <w:rFonts w:ascii="Calibri" w:hAnsi="Calibri" w:cs="Calibri"/>
          <w:b/>
          <w:sz w:val="20"/>
        </w:rPr>
      </w:pPr>
      <w:r w:rsidRPr="00062C3F">
        <w:rPr>
          <w:rFonts w:ascii="Calibri" w:hAnsi="Calibri" w:cs="Calibri"/>
          <w:b/>
          <w:sz w:val="20"/>
        </w:rPr>
        <w:t>Požiadavka na ostatné profesie</w:t>
      </w:r>
    </w:p>
    <w:p w:rsidR="00E70077" w:rsidRPr="00062C3F" w:rsidRDefault="00E70077" w:rsidP="00E70077">
      <w:pPr>
        <w:jc w:val="both"/>
        <w:rPr>
          <w:rFonts w:ascii="Calibri" w:hAnsi="Calibri" w:cs="Calibri"/>
          <w:sz w:val="20"/>
        </w:rPr>
      </w:pPr>
      <w:r w:rsidRPr="00062C3F">
        <w:rPr>
          <w:rFonts w:ascii="Calibri" w:hAnsi="Calibri" w:cs="Calibri"/>
          <w:sz w:val="20"/>
        </w:rPr>
        <w:t>Elektroinštalácia:</w:t>
      </w:r>
    </w:p>
    <w:p w:rsidR="00E70077" w:rsidRPr="00062C3F" w:rsidRDefault="00E70077" w:rsidP="00E70077">
      <w:pPr>
        <w:jc w:val="both"/>
        <w:rPr>
          <w:rFonts w:ascii="Calibri" w:hAnsi="Calibri" w:cs="Calibri"/>
          <w:sz w:val="20"/>
        </w:rPr>
      </w:pPr>
      <w:r w:rsidRPr="00062C3F">
        <w:rPr>
          <w:rFonts w:ascii="Calibri" w:hAnsi="Calibri" w:cs="Calibri"/>
          <w:sz w:val="20"/>
        </w:rPr>
        <w:t>Je nutné zabezpečiť elektro časť:</w:t>
      </w:r>
    </w:p>
    <w:p w:rsidR="00E70077" w:rsidRPr="00062C3F" w:rsidRDefault="00E70077" w:rsidP="00E70077">
      <w:pPr>
        <w:jc w:val="both"/>
        <w:rPr>
          <w:rFonts w:ascii="Calibri" w:hAnsi="Calibri" w:cs="Calibri"/>
          <w:sz w:val="20"/>
        </w:rPr>
      </w:pPr>
      <w:r w:rsidRPr="00062C3F">
        <w:rPr>
          <w:rFonts w:ascii="Calibri" w:hAnsi="Calibri" w:cs="Calibri"/>
          <w:sz w:val="20"/>
        </w:rPr>
        <w:t xml:space="preserve">Napájací kábel </w:t>
      </w:r>
      <w:r w:rsidRPr="00062C3F">
        <w:rPr>
          <w:rFonts w:ascii="Calibri" w:hAnsi="Calibri" w:cs="Calibri"/>
          <w:sz w:val="20"/>
        </w:rPr>
        <w:tab/>
        <w:t xml:space="preserve">3Cx2,5-230V pre každý termostat resp pre každé vykurovacie teleso </w:t>
      </w:r>
    </w:p>
    <w:p w:rsidR="00E70077" w:rsidRPr="00062C3F" w:rsidRDefault="00E70077" w:rsidP="00E70077">
      <w:pPr>
        <w:jc w:val="both"/>
        <w:rPr>
          <w:rFonts w:ascii="Calibri" w:hAnsi="Calibri" w:cs="Calibri"/>
          <w:sz w:val="20"/>
        </w:rPr>
      </w:pPr>
      <w:r w:rsidRPr="00062C3F">
        <w:rPr>
          <w:rFonts w:ascii="Calibri" w:hAnsi="Calibri" w:cs="Calibri"/>
          <w:sz w:val="20"/>
        </w:rPr>
        <w:t>Napájací kábel</w:t>
      </w:r>
      <w:r w:rsidRPr="00062C3F">
        <w:rPr>
          <w:rFonts w:ascii="Calibri" w:hAnsi="Calibri" w:cs="Calibri"/>
          <w:sz w:val="20"/>
        </w:rPr>
        <w:tab/>
        <w:t>3Cx2,5-230V/16A 2,5kW ku každému zásobníku OPV</w:t>
      </w:r>
    </w:p>
    <w:p w:rsidR="00E70077" w:rsidRPr="00062C3F" w:rsidRDefault="00E70077" w:rsidP="00E70077">
      <w:pPr>
        <w:jc w:val="both"/>
        <w:rPr>
          <w:rFonts w:ascii="Calibri" w:hAnsi="Calibri" w:cs="Calibri"/>
          <w:sz w:val="20"/>
        </w:rPr>
      </w:pPr>
      <w:r w:rsidRPr="00062C3F">
        <w:rPr>
          <w:rFonts w:ascii="Calibri" w:hAnsi="Calibri" w:cs="Calibri"/>
          <w:sz w:val="20"/>
        </w:rPr>
        <w:t>Tepelné spotrebiče pripojiť cez stykač ovládaný cez HDO</w:t>
      </w:r>
    </w:p>
    <w:p w:rsidR="00E70077" w:rsidRPr="00062C3F" w:rsidRDefault="00E70077" w:rsidP="00E70077">
      <w:pPr>
        <w:jc w:val="both"/>
        <w:rPr>
          <w:rFonts w:ascii="Calibri" w:hAnsi="Calibri" w:cs="Calibri"/>
          <w:sz w:val="20"/>
        </w:rPr>
      </w:pPr>
      <w:r w:rsidRPr="00062C3F">
        <w:rPr>
          <w:rFonts w:ascii="Calibri" w:hAnsi="Calibri" w:cs="Calibri"/>
          <w:sz w:val="20"/>
        </w:rPr>
        <w:t xml:space="preserve">zásuvka   230V/16A 0,05kW k zásobníku OPV -  cirkulačné čerpadlo </w:t>
      </w:r>
    </w:p>
    <w:p w:rsidR="00E70077" w:rsidRPr="00062C3F" w:rsidRDefault="00E70077" w:rsidP="00E70077">
      <w:pPr>
        <w:jc w:val="both"/>
        <w:rPr>
          <w:rFonts w:ascii="Calibri" w:hAnsi="Calibri" w:cs="Calibri"/>
          <w:sz w:val="20"/>
        </w:rPr>
      </w:pPr>
      <w:r w:rsidRPr="00062C3F">
        <w:rPr>
          <w:rFonts w:ascii="Calibri" w:hAnsi="Calibri" w:cs="Calibri"/>
          <w:sz w:val="20"/>
        </w:rPr>
        <w:t>Celkový inštalovaný výkon zariadení 21,312 kW</w:t>
      </w:r>
    </w:p>
    <w:p w:rsidR="00E70077" w:rsidRPr="00062C3F" w:rsidRDefault="00E70077" w:rsidP="00E70077">
      <w:pPr>
        <w:jc w:val="both"/>
        <w:rPr>
          <w:rFonts w:ascii="Calibri" w:hAnsi="Calibri" w:cs="Calibri"/>
          <w:sz w:val="20"/>
        </w:rPr>
      </w:pPr>
      <w:r w:rsidRPr="00062C3F">
        <w:rPr>
          <w:rFonts w:ascii="Calibri" w:hAnsi="Calibri" w:cs="Calibri"/>
          <w:sz w:val="20"/>
        </w:rPr>
        <w:t>Zdravotechnika:</w:t>
      </w:r>
    </w:p>
    <w:p w:rsidR="00E70077" w:rsidRPr="00062C3F" w:rsidRDefault="00E70077" w:rsidP="00E70077">
      <w:pPr>
        <w:jc w:val="both"/>
        <w:rPr>
          <w:rFonts w:ascii="Calibri" w:hAnsi="Calibri" w:cs="Calibri"/>
          <w:sz w:val="20"/>
        </w:rPr>
      </w:pPr>
      <w:r w:rsidRPr="00062C3F">
        <w:rPr>
          <w:rFonts w:ascii="Calibri" w:hAnsi="Calibri" w:cs="Calibri"/>
          <w:sz w:val="20"/>
        </w:rPr>
        <w:t xml:space="preserve">Od poistného ventilu pri zásobníku OPV je nutné odviesť do kanalizácie prepustenú vodu </w:t>
      </w:r>
    </w:p>
    <w:p w:rsidR="00E70077" w:rsidRPr="00062C3F" w:rsidRDefault="00E70077" w:rsidP="00E70077">
      <w:pPr>
        <w:jc w:val="both"/>
        <w:rPr>
          <w:rFonts w:ascii="Calibri" w:hAnsi="Calibri" w:cs="Calibri"/>
          <w:sz w:val="20"/>
        </w:rPr>
      </w:pPr>
      <w:r w:rsidRPr="00062C3F">
        <w:rPr>
          <w:rFonts w:ascii="Calibri" w:hAnsi="Calibri" w:cs="Calibri"/>
          <w:sz w:val="20"/>
        </w:rPr>
        <w:t>Je nutné zabezpečiť zo strany stavby všetky prestupy cez stavebné konštrukcie a ich začistenie po montáži technológie.</w:t>
      </w:r>
    </w:p>
    <w:p w:rsidR="00E70077" w:rsidRPr="00062C3F" w:rsidRDefault="00E70077" w:rsidP="00E70077">
      <w:pPr>
        <w:jc w:val="both"/>
        <w:rPr>
          <w:rFonts w:ascii="Calibri" w:hAnsi="Calibri" w:cs="Calibri"/>
          <w:sz w:val="20"/>
        </w:rPr>
      </w:pPr>
    </w:p>
    <w:p w:rsidR="00E70077" w:rsidRPr="00062C3F" w:rsidRDefault="00E70077" w:rsidP="00816C0C">
      <w:pPr>
        <w:pStyle w:val="Nadpis4"/>
        <w:jc w:val="both"/>
        <w:rPr>
          <w:rFonts w:ascii="Calibri" w:hAnsi="Calibri" w:cs="Calibri"/>
          <w:b/>
          <w:i w:val="0"/>
          <w:color w:val="auto"/>
          <w:sz w:val="20"/>
        </w:rPr>
      </w:pPr>
      <w:r w:rsidRPr="00062C3F">
        <w:rPr>
          <w:rFonts w:ascii="Calibri" w:hAnsi="Calibri" w:cs="Calibri"/>
          <w:b/>
          <w:i w:val="0"/>
          <w:color w:val="auto"/>
          <w:sz w:val="20"/>
        </w:rPr>
        <w:t>Montáž</w:t>
      </w:r>
    </w:p>
    <w:p w:rsidR="00E70077" w:rsidRPr="00062C3F" w:rsidRDefault="00E70077" w:rsidP="00816C0C">
      <w:pPr>
        <w:jc w:val="both"/>
        <w:rPr>
          <w:rFonts w:ascii="Calibri" w:hAnsi="Calibri" w:cs="Calibri"/>
          <w:sz w:val="20"/>
        </w:rPr>
      </w:pPr>
      <w:r w:rsidRPr="00062C3F">
        <w:rPr>
          <w:rFonts w:ascii="Calibri" w:hAnsi="Calibri" w:cs="Calibri"/>
          <w:sz w:val="20"/>
        </w:rPr>
        <w:t xml:space="preserve">Pri montáži je nutné dodržať všetky technické predpisy výrobcov jednotlivých zariadení a prvkov. Montáž smie previesť len firma, ktorá má patričné oprávnenia na montáž. Súčasťou dodávky vykurovania je zaškolenie užívateľa na obsluhu zariadenia. </w:t>
      </w:r>
    </w:p>
    <w:p w:rsidR="00E70077" w:rsidRPr="00062C3F" w:rsidRDefault="00E70077" w:rsidP="00816C0C">
      <w:pPr>
        <w:jc w:val="both"/>
        <w:rPr>
          <w:rFonts w:ascii="Calibri" w:hAnsi="Calibri" w:cs="Calibri"/>
          <w:sz w:val="20"/>
        </w:rPr>
      </w:pPr>
      <w:r w:rsidRPr="00062C3F">
        <w:rPr>
          <w:rFonts w:ascii="Calibri" w:hAnsi="Calibri" w:cs="Calibri"/>
          <w:sz w:val="20"/>
        </w:rPr>
        <w:t>Pri montáži všetkých komponentov vykurovacej sústavy je nutné dodržať všetky technické návody výrobcov jednotlivých výrobkov a všetky platne normy a predpisy.</w:t>
      </w:r>
    </w:p>
    <w:p w:rsidR="00E70077" w:rsidRPr="00062C3F" w:rsidRDefault="00E70077" w:rsidP="00E70077">
      <w:pPr>
        <w:ind w:firstLine="720"/>
        <w:jc w:val="both"/>
        <w:rPr>
          <w:rFonts w:ascii="Calibri" w:hAnsi="Calibri" w:cs="Calibri"/>
          <w:sz w:val="20"/>
        </w:rPr>
      </w:pPr>
    </w:p>
    <w:p w:rsidR="00E70077" w:rsidRPr="00062C3F" w:rsidRDefault="00E70077" w:rsidP="00E70077">
      <w:pPr>
        <w:autoSpaceDE w:val="0"/>
        <w:autoSpaceDN w:val="0"/>
        <w:adjustRightInd w:val="0"/>
        <w:jc w:val="both"/>
        <w:rPr>
          <w:rFonts w:ascii="Calibri" w:hAnsi="Calibri" w:cs="Calibri"/>
          <w:color w:val="000000"/>
          <w:sz w:val="20"/>
        </w:rPr>
      </w:pPr>
      <w:r w:rsidRPr="00062C3F">
        <w:rPr>
          <w:rFonts w:ascii="Calibri" w:hAnsi="Calibri" w:cs="Calibri"/>
          <w:color w:val="000000"/>
          <w:sz w:val="20"/>
        </w:rPr>
        <w:t>Dokumentácia slúži pre účely stavebného konania a v žiadnom prípade nenahrádza realizačný projekt ktorý je nutné vyhotoviť podľa projektu interiéru</w:t>
      </w:r>
      <w:r w:rsidR="00062C3F">
        <w:rPr>
          <w:rFonts w:ascii="Calibri" w:hAnsi="Calibri" w:cs="Calibri"/>
          <w:color w:val="000000"/>
          <w:sz w:val="20"/>
        </w:rPr>
        <w:t>.</w:t>
      </w:r>
    </w:p>
    <w:p w:rsidR="00763F78" w:rsidRDefault="00763F78" w:rsidP="0009245A">
      <w:pPr>
        <w:autoSpaceDE w:val="0"/>
        <w:autoSpaceDN w:val="0"/>
        <w:adjustRightInd w:val="0"/>
        <w:rPr>
          <w:rFonts w:ascii="Calibri" w:hAnsi="Calibri" w:cs="Calibri"/>
          <w:b/>
          <w:iCs/>
          <w:sz w:val="24"/>
        </w:rPr>
      </w:pPr>
    </w:p>
    <w:p w:rsidR="00964D77" w:rsidRDefault="00964D77" w:rsidP="0009245A">
      <w:pPr>
        <w:autoSpaceDE w:val="0"/>
        <w:autoSpaceDN w:val="0"/>
        <w:adjustRightInd w:val="0"/>
        <w:rPr>
          <w:rFonts w:ascii="Calibri" w:hAnsi="Calibri" w:cs="Calibri"/>
          <w:b/>
          <w:iCs/>
          <w:sz w:val="24"/>
        </w:rPr>
      </w:pPr>
    </w:p>
    <w:p w:rsidR="00EE6A26" w:rsidRDefault="00EE6A26" w:rsidP="0009245A">
      <w:pPr>
        <w:autoSpaceDE w:val="0"/>
        <w:autoSpaceDN w:val="0"/>
        <w:adjustRightInd w:val="0"/>
        <w:rPr>
          <w:rFonts w:ascii="Calibri" w:hAnsi="Calibri" w:cs="Calibri"/>
          <w:b/>
          <w:iCs/>
          <w:sz w:val="24"/>
        </w:rPr>
      </w:pPr>
    </w:p>
    <w:p w:rsidR="00763F78" w:rsidRPr="00EE6A26" w:rsidRDefault="00763F78" w:rsidP="0009245A">
      <w:pPr>
        <w:autoSpaceDE w:val="0"/>
        <w:autoSpaceDN w:val="0"/>
        <w:adjustRightInd w:val="0"/>
        <w:rPr>
          <w:rFonts w:ascii="Calibri" w:hAnsi="Calibri" w:cs="Calibri"/>
          <w:b/>
          <w:iCs/>
          <w:sz w:val="24"/>
        </w:rPr>
      </w:pPr>
      <w:r w:rsidRPr="00EE6A26">
        <w:rPr>
          <w:rFonts w:ascii="Calibri" w:hAnsi="Calibri" w:cs="Calibri"/>
          <w:b/>
          <w:iCs/>
          <w:sz w:val="24"/>
        </w:rPr>
        <w:t>ELEKTROINŠTALÁCIA A BLESKOZVOD</w:t>
      </w:r>
    </w:p>
    <w:p w:rsidR="00763F78" w:rsidRDefault="00763F78" w:rsidP="0009245A">
      <w:pPr>
        <w:autoSpaceDE w:val="0"/>
        <w:autoSpaceDN w:val="0"/>
        <w:adjustRightInd w:val="0"/>
        <w:rPr>
          <w:rFonts w:ascii="Calibri" w:hAnsi="Calibri" w:cs="Calibri"/>
          <w:b/>
          <w:iCs/>
          <w:sz w:val="24"/>
        </w:rPr>
      </w:pPr>
    </w:p>
    <w:p w:rsidR="00EE6A26" w:rsidRPr="00EE6A26" w:rsidRDefault="00EE6A26" w:rsidP="00165ED7">
      <w:pPr>
        <w:pStyle w:val="Nadpis1"/>
        <w:numPr>
          <w:ilvl w:val="0"/>
          <w:numId w:val="14"/>
        </w:numPr>
      </w:pPr>
      <w:r w:rsidRPr="00EE6A26">
        <w:t>ZáKLADNÉ ÚDAJE</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ROZSAH PROJEKTU</w:t>
      </w:r>
    </w:p>
    <w:p w:rsidR="00EE6A26" w:rsidRPr="00EE6A26" w:rsidRDefault="00EE6A26" w:rsidP="00EE6A26">
      <w:pPr>
        <w:keepNext/>
        <w:spacing w:before="120"/>
        <w:ind w:firstLine="567"/>
        <w:rPr>
          <w:rFonts w:asciiTheme="majorHAnsi" w:hAnsiTheme="majorHAnsi" w:cstheme="majorHAnsi"/>
          <w:b/>
          <w:sz w:val="20"/>
        </w:rPr>
      </w:pPr>
      <w:r w:rsidRPr="00EE6A26">
        <w:rPr>
          <w:rFonts w:asciiTheme="majorHAnsi" w:hAnsiTheme="majorHAnsi" w:cstheme="majorHAnsi"/>
          <w:b/>
          <w:sz w:val="20"/>
        </w:rPr>
        <w:t>Predmetmi tohto projektu pre realizáciu stavby sú:</w:t>
      </w:r>
    </w:p>
    <w:p w:rsidR="00EE6A26" w:rsidRPr="00EE6A26" w:rsidRDefault="00EE6A26" w:rsidP="00EE6A26">
      <w:pPr>
        <w:numPr>
          <w:ilvl w:val="0"/>
          <w:numId w:val="19"/>
        </w:numPr>
        <w:contextualSpacing/>
        <w:rPr>
          <w:rFonts w:asciiTheme="majorHAnsi" w:hAnsiTheme="majorHAnsi" w:cstheme="majorHAnsi"/>
          <w:color w:val="000000"/>
          <w:sz w:val="20"/>
        </w:rPr>
      </w:pPr>
      <w:r w:rsidRPr="00EE6A26">
        <w:rPr>
          <w:rFonts w:asciiTheme="majorHAnsi" w:hAnsiTheme="majorHAnsi" w:cstheme="majorHAnsi"/>
          <w:color w:val="000000"/>
          <w:sz w:val="20"/>
        </w:rPr>
        <w:t>umelé osvetlenie priestorov (vrátane núdzového osvetlenia vo vyhradených priestoroch podľa PBS),</w:t>
      </w:r>
    </w:p>
    <w:p w:rsidR="00EE6A26" w:rsidRPr="00EE6A26" w:rsidRDefault="00EE6A26" w:rsidP="00EE6A26">
      <w:pPr>
        <w:numPr>
          <w:ilvl w:val="0"/>
          <w:numId w:val="19"/>
        </w:numPr>
        <w:contextualSpacing/>
        <w:rPr>
          <w:rFonts w:asciiTheme="majorHAnsi" w:hAnsiTheme="majorHAnsi" w:cstheme="majorHAnsi"/>
          <w:color w:val="000000"/>
          <w:sz w:val="20"/>
        </w:rPr>
      </w:pPr>
      <w:r w:rsidRPr="00EE6A26">
        <w:rPr>
          <w:rFonts w:asciiTheme="majorHAnsi" w:hAnsiTheme="majorHAnsi" w:cstheme="majorHAnsi"/>
          <w:color w:val="000000"/>
          <w:sz w:val="20"/>
        </w:rPr>
        <w:t>zásuvkové rozvody 230V/400V,technologické zásuvky 24V,</w:t>
      </w:r>
    </w:p>
    <w:p w:rsidR="00EE6A26" w:rsidRPr="00EE6A26" w:rsidRDefault="00EE6A26" w:rsidP="00EE6A26">
      <w:pPr>
        <w:pStyle w:val="Odsekzoznamu"/>
        <w:keepNext/>
        <w:numPr>
          <w:ilvl w:val="0"/>
          <w:numId w:val="19"/>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 xml:space="preserve">núdzové odpojenie od stavby (CENTRAL STOP </w:t>
      </w:r>
      <w:r w:rsidRPr="00EE6A26">
        <w:rPr>
          <w:rFonts w:asciiTheme="majorHAnsi" w:hAnsiTheme="majorHAnsi" w:cstheme="majorHAnsi"/>
          <w:color w:val="000000"/>
          <w:sz w:val="20"/>
          <w:szCs w:val="20"/>
        </w:rPr>
        <w:t>podľa PBS</w:t>
      </w:r>
      <w:r w:rsidRPr="00EE6A26">
        <w:rPr>
          <w:rFonts w:asciiTheme="majorHAnsi" w:hAnsiTheme="majorHAnsi" w:cstheme="majorHAnsi"/>
          <w:sz w:val="20"/>
          <w:szCs w:val="20"/>
        </w:rPr>
        <w:t>),</w:t>
      </w:r>
    </w:p>
    <w:p w:rsidR="00EE6A26" w:rsidRPr="00EE6A26" w:rsidRDefault="00EE6A26" w:rsidP="00EE6A26">
      <w:pPr>
        <w:pStyle w:val="Odsekzoznamu"/>
        <w:keepNext/>
        <w:numPr>
          <w:ilvl w:val="0"/>
          <w:numId w:val="19"/>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vnútorné slaboprúdové rozvody-štruktúrovaná kabeláž,</w:t>
      </w:r>
    </w:p>
    <w:p w:rsidR="00EE6A26" w:rsidRPr="00EE6A26" w:rsidRDefault="00EE6A26" w:rsidP="00EE6A26">
      <w:pPr>
        <w:numPr>
          <w:ilvl w:val="0"/>
          <w:numId w:val="19"/>
        </w:numPr>
        <w:spacing w:after="160"/>
        <w:contextualSpacing/>
        <w:rPr>
          <w:rFonts w:asciiTheme="majorHAnsi" w:hAnsiTheme="majorHAnsi" w:cstheme="majorHAnsi"/>
          <w:color w:val="000000"/>
          <w:sz w:val="20"/>
        </w:rPr>
      </w:pPr>
      <w:r w:rsidRPr="00EE6A26">
        <w:rPr>
          <w:rFonts w:asciiTheme="majorHAnsi" w:hAnsiTheme="majorHAnsi" w:cstheme="majorHAnsi"/>
          <w:color w:val="000000"/>
          <w:sz w:val="20"/>
        </w:rPr>
        <w:t>napojenie elektrických zariadení zainteresovaných profesií:</w:t>
      </w:r>
    </w:p>
    <w:p w:rsidR="00EE6A26" w:rsidRPr="00EE6A26" w:rsidRDefault="00EE6A26" w:rsidP="00EE6A26">
      <w:pPr>
        <w:spacing w:after="160"/>
        <w:ind w:left="1068"/>
        <w:contextualSpacing/>
        <w:rPr>
          <w:rFonts w:asciiTheme="majorHAnsi" w:hAnsiTheme="majorHAnsi" w:cstheme="majorHAnsi"/>
          <w:color w:val="000000"/>
          <w:sz w:val="20"/>
        </w:rPr>
      </w:pPr>
      <w:r w:rsidRPr="00EE6A26">
        <w:rPr>
          <w:rFonts w:asciiTheme="majorHAnsi" w:hAnsiTheme="majorHAnsi" w:cstheme="majorHAnsi"/>
          <w:color w:val="000000"/>
          <w:sz w:val="20"/>
        </w:rPr>
        <w:t>- UK (Elektrické vykurovanie),</w:t>
      </w:r>
    </w:p>
    <w:p w:rsidR="00EE6A26" w:rsidRPr="00EE6A26" w:rsidRDefault="00EE6A26" w:rsidP="00EE6A26">
      <w:pPr>
        <w:spacing w:after="160"/>
        <w:ind w:left="1068"/>
        <w:contextualSpacing/>
        <w:rPr>
          <w:rFonts w:asciiTheme="majorHAnsi" w:hAnsiTheme="majorHAnsi" w:cstheme="majorHAnsi"/>
          <w:color w:val="000000"/>
          <w:sz w:val="20"/>
        </w:rPr>
      </w:pPr>
      <w:r w:rsidRPr="00EE6A26">
        <w:rPr>
          <w:rFonts w:asciiTheme="majorHAnsi" w:hAnsiTheme="majorHAnsi" w:cstheme="majorHAnsi"/>
          <w:color w:val="000000"/>
          <w:sz w:val="20"/>
        </w:rPr>
        <w:lastRenderedPageBreak/>
        <w:t>- ZTI (Zdravotechnika),</w:t>
      </w:r>
    </w:p>
    <w:p w:rsidR="00EE6A26" w:rsidRPr="00EE6A26" w:rsidRDefault="00EE6A26" w:rsidP="00EE6A26">
      <w:pPr>
        <w:spacing w:after="160"/>
        <w:ind w:left="1068"/>
        <w:contextualSpacing/>
        <w:rPr>
          <w:rFonts w:asciiTheme="majorHAnsi" w:hAnsiTheme="majorHAnsi" w:cstheme="majorHAnsi"/>
          <w:color w:val="000000"/>
          <w:sz w:val="20"/>
        </w:rPr>
      </w:pPr>
      <w:r w:rsidRPr="00EE6A26">
        <w:rPr>
          <w:rFonts w:asciiTheme="majorHAnsi" w:hAnsiTheme="majorHAnsi" w:cstheme="majorHAnsi"/>
          <w:color w:val="000000"/>
          <w:sz w:val="20"/>
        </w:rPr>
        <w:t>- VZT (Vzduchotechnika a vetranie),</w:t>
      </w:r>
    </w:p>
    <w:p w:rsidR="00EE6A26" w:rsidRPr="00EE6A26" w:rsidRDefault="00EE6A26" w:rsidP="00EE6A26">
      <w:pPr>
        <w:spacing w:after="160"/>
        <w:ind w:left="1068"/>
        <w:contextualSpacing/>
        <w:rPr>
          <w:rFonts w:asciiTheme="majorHAnsi" w:hAnsiTheme="majorHAnsi" w:cstheme="majorHAnsi"/>
          <w:color w:val="000000"/>
          <w:sz w:val="20"/>
        </w:rPr>
      </w:pPr>
      <w:r w:rsidRPr="00EE6A26">
        <w:rPr>
          <w:rFonts w:asciiTheme="majorHAnsi" w:hAnsiTheme="majorHAnsi" w:cstheme="majorHAnsi"/>
          <w:color w:val="000000"/>
          <w:sz w:val="20"/>
        </w:rPr>
        <w:t>- PO (Požiarna ochrana),</w:t>
      </w:r>
    </w:p>
    <w:p w:rsidR="00EE6A26" w:rsidRPr="00EE6A26" w:rsidRDefault="00EE6A26" w:rsidP="00EE6A26">
      <w:pPr>
        <w:spacing w:after="160"/>
        <w:ind w:left="1068"/>
        <w:contextualSpacing/>
        <w:rPr>
          <w:rFonts w:asciiTheme="majorHAnsi" w:hAnsiTheme="majorHAnsi" w:cstheme="majorHAnsi"/>
          <w:color w:val="000000"/>
          <w:sz w:val="20"/>
        </w:rPr>
      </w:pPr>
      <w:r w:rsidRPr="00EE6A26">
        <w:rPr>
          <w:rFonts w:asciiTheme="majorHAnsi" w:hAnsiTheme="majorHAnsi" w:cstheme="majorHAnsi"/>
          <w:color w:val="000000"/>
          <w:sz w:val="20"/>
        </w:rPr>
        <w:t>- TECH (technológia výroby vína).</w:t>
      </w:r>
    </w:p>
    <w:p w:rsidR="00EE6A26" w:rsidRPr="00EE6A26" w:rsidRDefault="00EE6A26" w:rsidP="00EE6A26">
      <w:pPr>
        <w:numPr>
          <w:ilvl w:val="0"/>
          <w:numId w:val="19"/>
        </w:numPr>
        <w:spacing w:after="160"/>
        <w:contextualSpacing/>
        <w:rPr>
          <w:rFonts w:asciiTheme="majorHAnsi" w:hAnsiTheme="majorHAnsi" w:cstheme="majorHAnsi"/>
          <w:color w:val="000000"/>
          <w:sz w:val="20"/>
        </w:rPr>
      </w:pPr>
      <w:r w:rsidRPr="00EE6A26">
        <w:rPr>
          <w:rFonts w:asciiTheme="majorHAnsi" w:hAnsiTheme="majorHAnsi" w:cstheme="majorHAnsi"/>
          <w:color w:val="000000"/>
          <w:sz w:val="20"/>
        </w:rPr>
        <w:t>nosný systém kabeláže (kovové žľaby, káblové úchytky a gripy),</w:t>
      </w:r>
    </w:p>
    <w:p w:rsidR="00EE6A26" w:rsidRPr="00EE6A26" w:rsidRDefault="00EE6A26" w:rsidP="00EE6A26">
      <w:pPr>
        <w:numPr>
          <w:ilvl w:val="0"/>
          <w:numId w:val="19"/>
        </w:numPr>
        <w:spacing w:after="160"/>
        <w:contextualSpacing/>
        <w:rPr>
          <w:rFonts w:asciiTheme="majorHAnsi" w:hAnsiTheme="majorHAnsi" w:cstheme="majorHAnsi"/>
          <w:color w:val="000000"/>
          <w:sz w:val="20"/>
        </w:rPr>
      </w:pPr>
      <w:r w:rsidRPr="00EE6A26">
        <w:rPr>
          <w:rFonts w:asciiTheme="majorHAnsi" w:hAnsiTheme="majorHAnsi" w:cstheme="majorHAnsi"/>
          <w:color w:val="000000"/>
          <w:sz w:val="20"/>
        </w:rPr>
        <w:t>hlavný rozvádzač a podružné rozvádzače RH,RS1,RS2,</w:t>
      </w:r>
    </w:p>
    <w:p w:rsidR="00EE6A26" w:rsidRPr="00EE6A26" w:rsidRDefault="00EE6A26" w:rsidP="00EE6A26">
      <w:pPr>
        <w:numPr>
          <w:ilvl w:val="0"/>
          <w:numId w:val="19"/>
        </w:numPr>
        <w:spacing w:after="160"/>
        <w:contextualSpacing/>
        <w:rPr>
          <w:rFonts w:asciiTheme="majorHAnsi" w:hAnsiTheme="majorHAnsi" w:cstheme="majorHAnsi"/>
          <w:color w:val="000000"/>
          <w:sz w:val="20"/>
        </w:rPr>
      </w:pPr>
      <w:r w:rsidRPr="00EE6A26">
        <w:rPr>
          <w:rFonts w:asciiTheme="majorHAnsi" w:hAnsiTheme="majorHAnsi" w:cstheme="majorHAnsi"/>
          <w:color w:val="000000"/>
          <w:sz w:val="20"/>
        </w:rPr>
        <w:t>elektrické podlahové vykurovanie DEVI a elektrické výhrevné telesa,</w:t>
      </w:r>
    </w:p>
    <w:p w:rsidR="00EE6A26" w:rsidRPr="00EE6A26" w:rsidRDefault="00EE6A26" w:rsidP="00EE6A26">
      <w:pPr>
        <w:numPr>
          <w:ilvl w:val="0"/>
          <w:numId w:val="19"/>
        </w:numPr>
        <w:spacing w:after="160"/>
        <w:contextualSpacing/>
        <w:rPr>
          <w:rFonts w:asciiTheme="majorHAnsi" w:hAnsiTheme="majorHAnsi" w:cstheme="majorHAnsi"/>
          <w:color w:val="000000"/>
          <w:sz w:val="20"/>
        </w:rPr>
      </w:pPr>
      <w:r w:rsidRPr="00EE6A26">
        <w:rPr>
          <w:rFonts w:asciiTheme="majorHAnsi" w:hAnsiTheme="majorHAnsi" w:cstheme="majorHAnsi"/>
          <w:color w:val="000000"/>
          <w:sz w:val="20"/>
        </w:rPr>
        <w:t>napojenie vyhrievania strešných vpustí,</w:t>
      </w:r>
    </w:p>
    <w:p w:rsidR="00EE6A26" w:rsidRPr="00EE6A26" w:rsidRDefault="00EE6A26" w:rsidP="00EE6A26">
      <w:pPr>
        <w:numPr>
          <w:ilvl w:val="0"/>
          <w:numId w:val="19"/>
        </w:numPr>
        <w:spacing w:after="160"/>
        <w:contextualSpacing/>
        <w:rPr>
          <w:rFonts w:asciiTheme="majorHAnsi" w:hAnsiTheme="majorHAnsi" w:cstheme="majorHAnsi"/>
          <w:color w:val="000000"/>
          <w:sz w:val="20"/>
        </w:rPr>
      </w:pPr>
      <w:r w:rsidRPr="00EE6A26">
        <w:rPr>
          <w:rFonts w:asciiTheme="majorHAnsi" w:hAnsiTheme="majorHAnsi" w:cstheme="majorHAnsi"/>
          <w:color w:val="000000"/>
          <w:sz w:val="20"/>
        </w:rPr>
        <w:t>prípojka NN a elektromerový rozvádzač RE,</w:t>
      </w:r>
    </w:p>
    <w:p w:rsidR="00EE6A26" w:rsidRPr="00EE6A26" w:rsidRDefault="00EE6A26" w:rsidP="00EE6A26">
      <w:pPr>
        <w:numPr>
          <w:ilvl w:val="0"/>
          <w:numId w:val="19"/>
        </w:numPr>
        <w:spacing w:after="160"/>
        <w:contextualSpacing/>
        <w:rPr>
          <w:rFonts w:asciiTheme="majorHAnsi" w:hAnsiTheme="majorHAnsi" w:cstheme="majorHAnsi"/>
          <w:color w:val="000000"/>
          <w:sz w:val="20"/>
        </w:rPr>
      </w:pPr>
      <w:r w:rsidRPr="00EE6A26">
        <w:rPr>
          <w:rFonts w:asciiTheme="majorHAnsi" w:hAnsiTheme="majorHAnsi" w:cstheme="majorHAnsi"/>
          <w:color w:val="000000"/>
          <w:sz w:val="20"/>
        </w:rPr>
        <w:t>koordinovaný systém ochrany pred bleskom,</w:t>
      </w:r>
    </w:p>
    <w:p w:rsidR="00EE6A26" w:rsidRPr="00EE6A26" w:rsidRDefault="00EE6A26" w:rsidP="00EE6A26">
      <w:pPr>
        <w:numPr>
          <w:ilvl w:val="0"/>
          <w:numId w:val="19"/>
        </w:numPr>
        <w:contextualSpacing/>
        <w:rPr>
          <w:rFonts w:asciiTheme="majorHAnsi" w:hAnsiTheme="majorHAnsi" w:cstheme="majorHAnsi"/>
          <w:color w:val="000000"/>
          <w:sz w:val="20"/>
        </w:rPr>
      </w:pPr>
      <w:r w:rsidRPr="00EE6A26">
        <w:rPr>
          <w:rFonts w:asciiTheme="majorHAnsi" w:hAnsiTheme="majorHAnsi" w:cstheme="majorHAnsi"/>
          <w:color w:val="000000"/>
          <w:sz w:val="20"/>
        </w:rPr>
        <w:t>uzemnenie a ekvipotenciálne pospojovanie,</w:t>
      </w:r>
    </w:p>
    <w:p w:rsidR="00EE6A26" w:rsidRPr="00EE6A26" w:rsidRDefault="00EE6A26" w:rsidP="00EE6A26">
      <w:pPr>
        <w:numPr>
          <w:ilvl w:val="0"/>
          <w:numId w:val="19"/>
        </w:numPr>
        <w:contextualSpacing/>
        <w:rPr>
          <w:rFonts w:asciiTheme="majorHAnsi" w:hAnsiTheme="majorHAnsi" w:cstheme="majorHAnsi"/>
          <w:color w:val="000000"/>
          <w:sz w:val="20"/>
        </w:rPr>
      </w:pPr>
      <w:r w:rsidRPr="00EE6A26">
        <w:rPr>
          <w:rFonts w:asciiTheme="majorHAnsi" w:hAnsiTheme="majorHAnsi" w:cstheme="majorHAnsi"/>
          <w:color w:val="000000"/>
          <w:sz w:val="20"/>
        </w:rPr>
        <w:t>kamerový systém CCTV a zabezpečenie objektu,</w:t>
      </w:r>
    </w:p>
    <w:p w:rsidR="00EE6A26" w:rsidRPr="00EE6A26" w:rsidRDefault="00EE6A26" w:rsidP="00EE6A26">
      <w:pPr>
        <w:numPr>
          <w:ilvl w:val="0"/>
          <w:numId w:val="19"/>
        </w:numPr>
        <w:contextualSpacing/>
        <w:rPr>
          <w:rFonts w:asciiTheme="majorHAnsi" w:hAnsiTheme="majorHAnsi" w:cstheme="majorHAnsi"/>
          <w:color w:val="000000"/>
          <w:sz w:val="20"/>
        </w:rPr>
      </w:pPr>
      <w:r w:rsidRPr="00EE6A26">
        <w:rPr>
          <w:rFonts w:asciiTheme="majorHAnsi" w:hAnsiTheme="majorHAnsi" w:cstheme="majorHAnsi"/>
          <w:color w:val="000000"/>
          <w:sz w:val="20"/>
        </w:rPr>
        <w:t>vonkajšie osvetlenie v exteriéry.</w:t>
      </w:r>
    </w:p>
    <w:p w:rsidR="00EE6A26" w:rsidRPr="00EE6A26" w:rsidRDefault="00EE6A26" w:rsidP="00EE6A26">
      <w:pPr>
        <w:keepNext/>
        <w:spacing w:before="120"/>
        <w:ind w:firstLine="567"/>
        <w:rPr>
          <w:rFonts w:asciiTheme="majorHAnsi" w:hAnsiTheme="majorHAnsi" w:cstheme="majorHAnsi"/>
          <w:b/>
          <w:color w:val="000000"/>
          <w:sz w:val="20"/>
        </w:rPr>
      </w:pPr>
      <w:r w:rsidRPr="00EE6A26">
        <w:rPr>
          <w:rFonts w:asciiTheme="majorHAnsi" w:hAnsiTheme="majorHAnsi" w:cstheme="majorHAnsi"/>
          <w:b/>
          <w:sz w:val="20"/>
        </w:rPr>
        <w:t>Predmetmi tohto projektu stavby nie sú:</w:t>
      </w:r>
    </w:p>
    <w:p w:rsidR="00EE6A26" w:rsidRPr="00EE6A26" w:rsidRDefault="00EE6A26" w:rsidP="00EE6A26">
      <w:pPr>
        <w:pStyle w:val="Odsekzoznamu"/>
        <w:keepNext/>
        <w:numPr>
          <w:ilvl w:val="0"/>
          <w:numId w:val="16"/>
        </w:numPr>
        <w:autoSpaceDE w:val="0"/>
        <w:autoSpaceDN w:val="0"/>
        <w:adjustRightInd w:val="0"/>
        <w:ind w:left="1134" w:hanging="357"/>
        <w:jc w:val="both"/>
        <w:rPr>
          <w:rFonts w:asciiTheme="majorHAnsi" w:hAnsiTheme="majorHAnsi" w:cstheme="majorHAnsi"/>
          <w:sz w:val="20"/>
          <w:szCs w:val="20"/>
        </w:rPr>
      </w:pPr>
      <w:r w:rsidRPr="00EE6A26">
        <w:rPr>
          <w:rFonts w:asciiTheme="majorHAnsi" w:hAnsiTheme="majorHAnsi" w:cstheme="majorHAnsi"/>
          <w:sz w:val="20"/>
          <w:szCs w:val="20"/>
        </w:rPr>
        <w:t>ovládanie vybraných zariadení VZT rieši MaR,</w:t>
      </w:r>
    </w:p>
    <w:p w:rsidR="00EE6A26" w:rsidRPr="00EE6A26" w:rsidRDefault="00EE6A26" w:rsidP="00EE6A26">
      <w:pPr>
        <w:pStyle w:val="Odsekzoznamu"/>
        <w:keepNext/>
        <w:numPr>
          <w:ilvl w:val="0"/>
          <w:numId w:val="16"/>
        </w:numPr>
        <w:autoSpaceDE w:val="0"/>
        <w:autoSpaceDN w:val="0"/>
        <w:adjustRightInd w:val="0"/>
        <w:ind w:left="1134" w:hanging="357"/>
        <w:jc w:val="both"/>
        <w:rPr>
          <w:rFonts w:asciiTheme="majorHAnsi" w:hAnsiTheme="majorHAnsi" w:cstheme="majorHAnsi"/>
          <w:sz w:val="20"/>
          <w:szCs w:val="20"/>
        </w:rPr>
      </w:pPr>
      <w:r w:rsidRPr="00EE6A26">
        <w:rPr>
          <w:rFonts w:asciiTheme="majorHAnsi" w:hAnsiTheme="majorHAnsi" w:cstheme="majorHAnsi"/>
          <w:sz w:val="20"/>
          <w:szCs w:val="20"/>
        </w:rPr>
        <w:t>fotovoltický systém FVE-rieši samostatný prevádzkový súbor PS01,</w:t>
      </w:r>
    </w:p>
    <w:p w:rsidR="00EE6A26" w:rsidRPr="00EE6A26" w:rsidRDefault="00EE6A26" w:rsidP="00EE6A26">
      <w:pPr>
        <w:pStyle w:val="Odsekzoznamu"/>
        <w:keepNext/>
        <w:numPr>
          <w:ilvl w:val="0"/>
          <w:numId w:val="16"/>
        </w:numPr>
        <w:autoSpaceDE w:val="0"/>
        <w:autoSpaceDN w:val="0"/>
        <w:adjustRightInd w:val="0"/>
        <w:ind w:left="1134" w:hanging="357"/>
        <w:jc w:val="both"/>
        <w:rPr>
          <w:rFonts w:asciiTheme="majorHAnsi" w:hAnsiTheme="majorHAnsi" w:cstheme="majorHAnsi"/>
          <w:sz w:val="20"/>
          <w:szCs w:val="20"/>
        </w:rPr>
      </w:pPr>
      <w:r w:rsidRPr="00EE6A26">
        <w:rPr>
          <w:rFonts w:asciiTheme="majorHAnsi" w:hAnsiTheme="majorHAnsi" w:cstheme="majorHAnsi"/>
          <w:sz w:val="20"/>
          <w:szCs w:val="20"/>
        </w:rPr>
        <w:t>pospojovanie technológie na pripravené uzemňovacie body – rieši si každá profesia samostatne,</w:t>
      </w:r>
    </w:p>
    <w:p w:rsidR="00EE6A26" w:rsidRPr="00EE6A26" w:rsidRDefault="00EE6A26" w:rsidP="00EE6A26">
      <w:pPr>
        <w:pStyle w:val="Odsekzoznamu"/>
        <w:keepNext/>
        <w:numPr>
          <w:ilvl w:val="0"/>
          <w:numId w:val="16"/>
        </w:numPr>
        <w:autoSpaceDE w:val="0"/>
        <w:autoSpaceDN w:val="0"/>
        <w:adjustRightInd w:val="0"/>
        <w:ind w:left="1134" w:hanging="357"/>
        <w:jc w:val="both"/>
        <w:rPr>
          <w:rFonts w:asciiTheme="majorHAnsi" w:hAnsiTheme="majorHAnsi" w:cstheme="majorHAnsi"/>
          <w:sz w:val="20"/>
          <w:szCs w:val="20"/>
        </w:rPr>
      </w:pPr>
      <w:r w:rsidRPr="00EE6A26">
        <w:rPr>
          <w:rFonts w:asciiTheme="majorHAnsi" w:hAnsiTheme="majorHAnsi" w:cstheme="majorHAnsi"/>
          <w:sz w:val="20"/>
          <w:szCs w:val="20"/>
        </w:rPr>
        <w:t>Iné časti ako spomenuté.</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Projektové PODKLADY</w:t>
      </w:r>
    </w:p>
    <w:p w:rsidR="00EE6A26" w:rsidRPr="00EE6A26" w:rsidRDefault="00EE6A26" w:rsidP="00EE6A26">
      <w:pPr>
        <w:keepNext/>
        <w:spacing w:before="120"/>
        <w:ind w:firstLine="567"/>
        <w:rPr>
          <w:rFonts w:asciiTheme="majorHAnsi" w:hAnsiTheme="majorHAnsi" w:cstheme="majorHAnsi"/>
          <w:sz w:val="20"/>
        </w:rPr>
      </w:pPr>
      <w:r w:rsidRPr="00EE6A26">
        <w:rPr>
          <w:rFonts w:asciiTheme="majorHAnsi" w:hAnsiTheme="majorHAnsi" w:cstheme="majorHAnsi"/>
          <w:sz w:val="20"/>
        </w:rPr>
        <w:t>Podklady pre spracovanie projektu boli vypracované na základe podkladov poskytnutých od investora, generálneho zadávateľa projektovej dokumentácie a jednotlivých zainteresovaných profesií predmetnej stavby:</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architektúra – stavebné výkresy objektu,</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protokol o určení prostredia vonkajších vplyvov vypracovaný odbornou komisiou,</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projektová dokumentácia požiarnej ochrany objektu,</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požiadavky pre napájanie od jednotlivých profesií,</w:t>
      </w:r>
    </w:p>
    <w:p w:rsidR="00EE6A26" w:rsidRPr="00EE6A26" w:rsidRDefault="00EE6A26" w:rsidP="00EE6A26">
      <w:pPr>
        <w:numPr>
          <w:ilvl w:val="0"/>
          <w:numId w:val="17"/>
        </w:numPr>
        <w:ind w:left="1134"/>
        <w:jc w:val="both"/>
        <w:rPr>
          <w:rFonts w:asciiTheme="majorHAnsi" w:hAnsiTheme="majorHAnsi" w:cstheme="majorHAnsi"/>
          <w:sz w:val="20"/>
        </w:rPr>
      </w:pPr>
      <w:r w:rsidRPr="00EE6A26">
        <w:rPr>
          <w:rFonts w:asciiTheme="majorHAnsi" w:hAnsiTheme="majorHAnsi" w:cstheme="majorHAnsi"/>
          <w:sz w:val="20"/>
        </w:rPr>
        <w:t>vstupná konzultácia medzi objednávateľom a spracovateľom projektu.</w:t>
      </w:r>
    </w:p>
    <w:p w:rsidR="00EE6A26" w:rsidRPr="00EE6A26" w:rsidRDefault="00EE6A26" w:rsidP="00EE6A26">
      <w:pPr>
        <w:keepNext/>
        <w:spacing w:before="120"/>
        <w:ind w:firstLine="567"/>
        <w:rPr>
          <w:rFonts w:asciiTheme="majorHAnsi" w:hAnsiTheme="majorHAnsi" w:cstheme="majorHAnsi"/>
          <w:sz w:val="20"/>
        </w:rPr>
      </w:pPr>
      <w:r w:rsidRPr="00EE6A26">
        <w:rPr>
          <w:rFonts w:asciiTheme="majorHAnsi" w:hAnsiTheme="majorHAnsi" w:cstheme="majorHAnsi"/>
          <w:sz w:val="20"/>
        </w:rPr>
        <w:t>Ďalšie projekčné podklady:</w:t>
      </w:r>
    </w:p>
    <w:p w:rsidR="00EE6A26" w:rsidRPr="00EE6A26" w:rsidRDefault="00EE6A26" w:rsidP="00EE6A26">
      <w:pPr>
        <w:numPr>
          <w:ilvl w:val="0"/>
          <w:numId w:val="17"/>
        </w:numPr>
        <w:ind w:left="1134"/>
        <w:jc w:val="both"/>
        <w:rPr>
          <w:rFonts w:asciiTheme="majorHAnsi" w:hAnsiTheme="majorHAnsi" w:cstheme="majorHAnsi"/>
          <w:sz w:val="20"/>
        </w:rPr>
      </w:pPr>
      <w:r w:rsidRPr="00EE6A26">
        <w:rPr>
          <w:rFonts w:asciiTheme="majorHAnsi" w:hAnsiTheme="majorHAnsi" w:cstheme="majorHAnsi"/>
          <w:sz w:val="20"/>
        </w:rPr>
        <w:t>aktuálne a platné zákony, vyhlášky, normy STN a EN a katalógy</w:t>
      </w:r>
      <w:bookmarkStart w:id="14" w:name="_Hlt454623391"/>
      <w:bookmarkEnd w:id="14"/>
      <w:r w:rsidRPr="00EE6A26">
        <w:rPr>
          <w:rFonts w:asciiTheme="majorHAnsi" w:hAnsiTheme="majorHAnsi" w:cstheme="majorHAnsi"/>
          <w:sz w:val="20"/>
        </w:rPr>
        <w:t xml:space="preserve">. </w:t>
      </w:r>
    </w:p>
    <w:p w:rsidR="00EE6A26" w:rsidRPr="00EE6A26" w:rsidRDefault="00EE6A26" w:rsidP="00EE6A26">
      <w:pPr>
        <w:numPr>
          <w:ilvl w:val="0"/>
          <w:numId w:val="17"/>
        </w:numPr>
        <w:ind w:left="1134"/>
        <w:jc w:val="both"/>
        <w:rPr>
          <w:rFonts w:asciiTheme="majorHAnsi" w:hAnsiTheme="majorHAnsi" w:cstheme="majorHAnsi"/>
          <w:sz w:val="20"/>
        </w:rPr>
      </w:pPr>
      <w:r w:rsidRPr="00EE6A26">
        <w:rPr>
          <w:rFonts w:asciiTheme="majorHAnsi" w:hAnsiTheme="majorHAnsi" w:cstheme="majorHAnsi"/>
          <w:sz w:val="20"/>
        </w:rPr>
        <w:t xml:space="preserve">interné výpočtové programy a dizajn manuály. </w:t>
      </w:r>
    </w:p>
    <w:p w:rsidR="00EE6A26" w:rsidRPr="00EE6A26" w:rsidRDefault="00EE6A26" w:rsidP="00165ED7">
      <w:pPr>
        <w:pStyle w:val="Nadpis1"/>
        <w:numPr>
          <w:ilvl w:val="0"/>
          <w:numId w:val="14"/>
        </w:numPr>
      </w:pPr>
      <w:r w:rsidRPr="00EE6A26">
        <w:t>ZÁKLADNÉ TECHNICKÉ ÚDAJE</w:t>
      </w:r>
    </w:p>
    <w:p w:rsidR="00EE6A26" w:rsidRPr="00EE6A26" w:rsidRDefault="00EE6A26" w:rsidP="00EE6A26">
      <w:pPr>
        <w:pStyle w:val="Odsekzoznamu"/>
        <w:keepNext/>
        <w:keepLines/>
        <w:widowControl w:val="0"/>
        <w:numPr>
          <w:ilvl w:val="0"/>
          <w:numId w:val="15"/>
        </w:numPr>
        <w:tabs>
          <w:tab w:val="left" w:pos="567"/>
        </w:tabs>
        <w:overflowPunct w:val="0"/>
        <w:autoSpaceDE w:val="0"/>
        <w:autoSpaceDN w:val="0"/>
        <w:adjustRightInd w:val="0"/>
        <w:spacing w:before="200" w:after="120" w:line="276" w:lineRule="auto"/>
        <w:contextualSpacing w:val="0"/>
        <w:jc w:val="both"/>
        <w:outlineLvl w:val="1"/>
        <w:rPr>
          <w:rFonts w:asciiTheme="majorHAnsi" w:eastAsiaTheme="majorEastAsia" w:hAnsiTheme="majorHAnsi" w:cstheme="majorHAnsi"/>
          <w:b/>
          <w:bCs/>
          <w:caps/>
          <w:vanish/>
          <w:color w:val="000000" w:themeColor="text1"/>
          <w:sz w:val="20"/>
          <w:szCs w:val="20"/>
          <w:lang w:eastAsia="en-US"/>
        </w:rPr>
      </w:pP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PREDPISY A NORMY</w:t>
      </w:r>
    </w:p>
    <w:p w:rsidR="00EE6A26" w:rsidRPr="00EE6A26" w:rsidRDefault="00EE6A26" w:rsidP="00EE6A26">
      <w:pPr>
        <w:keepNext/>
        <w:spacing w:before="120" w:after="120"/>
        <w:rPr>
          <w:rFonts w:asciiTheme="majorHAnsi" w:hAnsiTheme="majorHAnsi" w:cstheme="majorHAnsi"/>
          <w:sz w:val="20"/>
        </w:rPr>
      </w:pPr>
      <w:r w:rsidRPr="00EE6A26">
        <w:rPr>
          <w:rFonts w:asciiTheme="majorHAnsi" w:hAnsiTheme="majorHAnsi" w:cstheme="majorHAnsi"/>
          <w:sz w:val="20"/>
        </w:rPr>
        <w:t>Tento projekt vychádza  z nasledujúcich noriem STN a EN predpisov pre vypracovanie:</w:t>
      </w:r>
    </w:p>
    <w:p w:rsidR="00EE6A26" w:rsidRPr="00EE6A26" w:rsidRDefault="00EE6A26" w:rsidP="00EE6A26">
      <w:pPr>
        <w:tabs>
          <w:tab w:val="left" w:pos="2127"/>
        </w:tabs>
        <w:rPr>
          <w:rFonts w:asciiTheme="majorHAnsi" w:hAnsiTheme="majorHAnsi" w:cstheme="majorHAnsi"/>
          <w:i/>
          <w:sz w:val="20"/>
        </w:rPr>
      </w:pPr>
      <w:bookmarkStart w:id="15" w:name="OLE_LINK6"/>
      <w:bookmarkStart w:id="16" w:name="OLE_LINK7"/>
      <w:r w:rsidRPr="00EE6A26">
        <w:rPr>
          <w:rFonts w:asciiTheme="majorHAnsi" w:hAnsiTheme="majorHAnsi" w:cstheme="majorHAnsi"/>
          <w:b/>
          <w:bCs/>
          <w:sz w:val="20"/>
        </w:rPr>
        <w:t xml:space="preserve">STN EN 12464-1 </w:t>
      </w:r>
      <w:bookmarkEnd w:id="15"/>
      <w:bookmarkEnd w:id="16"/>
      <w:r w:rsidRPr="00EE6A26">
        <w:rPr>
          <w:rFonts w:asciiTheme="majorHAnsi" w:hAnsiTheme="majorHAnsi" w:cstheme="majorHAnsi"/>
          <w:b/>
          <w:bCs/>
          <w:sz w:val="20"/>
        </w:rPr>
        <w:tab/>
      </w:r>
      <w:r w:rsidRPr="00EE6A26">
        <w:rPr>
          <w:rFonts w:asciiTheme="majorHAnsi" w:hAnsiTheme="majorHAnsi" w:cstheme="majorHAnsi"/>
          <w:i/>
          <w:sz w:val="20"/>
        </w:rPr>
        <w:t>Svetlo a osvetlenie. Osvetlenie pracovných miest Časť 1: Vnútorné pracoviská: r.v.2012</w:t>
      </w:r>
    </w:p>
    <w:p w:rsidR="00EE6A26" w:rsidRPr="00EE6A26" w:rsidRDefault="00EE6A26" w:rsidP="00EE6A26">
      <w:pPr>
        <w:tabs>
          <w:tab w:val="left" w:pos="2127"/>
        </w:tabs>
        <w:rPr>
          <w:rFonts w:asciiTheme="majorHAnsi" w:hAnsiTheme="majorHAnsi" w:cstheme="majorHAnsi"/>
          <w:i/>
          <w:sz w:val="20"/>
        </w:rPr>
      </w:pPr>
      <w:r w:rsidRPr="00EE6A26">
        <w:rPr>
          <w:rFonts w:asciiTheme="majorHAnsi" w:hAnsiTheme="majorHAnsi" w:cstheme="majorHAnsi"/>
          <w:b/>
          <w:bCs/>
          <w:sz w:val="20"/>
        </w:rPr>
        <w:t xml:space="preserve">STN EN 12655 </w:t>
      </w:r>
      <w:r w:rsidRPr="00EE6A26">
        <w:rPr>
          <w:rFonts w:asciiTheme="majorHAnsi" w:hAnsiTheme="majorHAnsi" w:cstheme="majorHAnsi"/>
          <w:b/>
          <w:bCs/>
          <w:sz w:val="20"/>
        </w:rPr>
        <w:tab/>
      </w:r>
      <w:r w:rsidRPr="00EE6A26">
        <w:rPr>
          <w:rFonts w:asciiTheme="majorHAnsi" w:hAnsiTheme="majorHAnsi" w:cstheme="majorHAnsi"/>
          <w:i/>
          <w:sz w:val="20"/>
        </w:rPr>
        <w:t xml:space="preserve">Svetlo a osvetlenie. Základne termíny a kritéria na stanovenie požiadaviek na osvetlenie: r.v.2012 </w:t>
      </w:r>
    </w:p>
    <w:p w:rsidR="00EE6A26" w:rsidRPr="00EE6A26" w:rsidRDefault="00EE6A26" w:rsidP="00EE6A26">
      <w:pPr>
        <w:tabs>
          <w:tab w:val="left" w:pos="2127"/>
        </w:tabs>
        <w:rPr>
          <w:rFonts w:asciiTheme="majorHAnsi" w:hAnsiTheme="majorHAnsi" w:cstheme="majorHAnsi"/>
          <w:sz w:val="20"/>
        </w:rPr>
      </w:pPr>
      <w:bookmarkStart w:id="17" w:name="OLE_LINK8"/>
      <w:bookmarkStart w:id="18" w:name="OLE_LINK9"/>
      <w:r w:rsidRPr="00EE6A26">
        <w:rPr>
          <w:rFonts w:asciiTheme="majorHAnsi" w:hAnsiTheme="majorHAnsi" w:cstheme="majorHAnsi"/>
          <w:b/>
          <w:bCs/>
          <w:sz w:val="20"/>
        </w:rPr>
        <w:t>STN EN 13201 1-4</w:t>
      </w:r>
      <w:bookmarkEnd w:id="17"/>
      <w:bookmarkEnd w:id="18"/>
      <w:r w:rsidRPr="00EE6A26">
        <w:rPr>
          <w:rFonts w:asciiTheme="majorHAnsi" w:hAnsiTheme="majorHAnsi" w:cstheme="majorHAnsi"/>
          <w:b/>
          <w:bCs/>
          <w:sz w:val="20"/>
        </w:rPr>
        <w:tab/>
      </w:r>
      <w:r w:rsidRPr="00EE6A26">
        <w:rPr>
          <w:rFonts w:asciiTheme="majorHAnsi" w:hAnsiTheme="majorHAnsi" w:cstheme="majorHAnsi"/>
          <w:i/>
          <w:sz w:val="20"/>
        </w:rPr>
        <w:t>Osvetlenie pozemných komunikácií. Časť 4: Metódy merania svetelnotechnických vlastností: r.v.2005</w:t>
      </w:r>
    </w:p>
    <w:p w:rsidR="00EE6A26" w:rsidRPr="00EE6A26" w:rsidRDefault="00EE6A26" w:rsidP="00EE6A26">
      <w:pPr>
        <w:tabs>
          <w:tab w:val="left" w:pos="2127"/>
        </w:tabs>
        <w:rPr>
          <w:rFonts w:asciiTheme="majorHAnsi" w:hAnsiTheme="majorHAnsi" w:cstheme="majorHAnsi"/>
          <w:i/>
          <w:sz w:val="20"/>
        </w:rPr>
      </w:pPr>
      <w:bookmarkStart w:id="19" w:name="OLE_LINK10"/>
      <w:r w:rsidRPr="00EE6A26">
        <w:rPr>
          <w:rFonts w:asciiTheme="majorHAnsi" w:hAnsiTheme="majorHAnsi" w:cstheme="majorHAnsi"/>
          <w:b/>
          <w:bCs/>
          <w:sz w:val="20"/>
        </w:rPr>
        <w:t xml:space="preserve">STN EN 1838 </w:t>
      </w:r>
      <w:bookmarkEnd w:id="19"/>
      <w:r w:rsidRPr="00EE6A26">
        <w:rPr>
          <w:rFonts w:asciiTheme="majorHAnsi" w:hAnsiTheme="majorHAnsi" w:cstheme="majorHAnsi"/>
          <w:b/>
          <w:bCs/>
          <w:sz w:val="20"/>
        </w:rPr>
        <w:tab/>
      </w:r>
      <w:r w:rsidRPr="00EE6A26">
        <w:rPr>
          <w:rFonts w:asciiTheme="majorHAnsi" w:hAnsiTheme="majorHAnsi" w:cstheme="majorHAnsi"/>
          <w:i/>
          <w:sz w:val="20"/>
        </w:rPr>
        <w:t>Svetlo a osvetlenie – núdzové osvetlenie: r.v.2014</w:t>
      </w:r>
    </w:p>
    <w:p w:rsidR="00EE6A26" w:rsidRPr="00EE6A26" w:rsidRDefault="00EE6A26" w:rsidP="00EE6A26">
      <w:pPr>
        <w:tabs>
          <w:tab w:val="left" w:pos="2127"/>
        </w:tabs>
        <w:rPr>
          <w:rFonts w:asciiTheme="majorHAnsi" w:hAnsiTheme="majorHAnsi" w:cstheme="majorHAnsi"/>
          <w:i/>
          <w:sz w:val="20"/>
        </w:rPr>
      </w:pPr>
      <w:bookmarkStart w:id="20" w:name="OLE_LINK11"/>
      <w:r w:rsidRPr="00EE6A26">
        <w:rPr>
          <w:rFonts w:asciiTheme="majorHAnsi" w:hAnsiTheme="majorHAnsi" w:cstheme="majorHAnsi"/>
          <w:b/>
          <w:bCs/>
          <w:sz w:val="20"/>
        </w:rPr>
        <w:t>STN 33 2000-</w:t>
      </w:r>
      <w:bookmarkEnd w:id="20"/>
      <w:r w:rsidRPr="00EE6A26">
        <w:rPr>
          <w:rFonts w:asciiTheme="majorHAnsi" w:hAnsiTheme="majorHAnsi" w:cstheme="majorHAnsi"/>
          <w:b/>
          <w:bCs/>
          <w:sz w:val="20"/>
        </w:rPr>
        <w:t>1</w:t>
      </w:r>
      <w:r w:rsidRPr="00EE6A26">
        <w:rPr>
          <w:rFonts w:asciiTheme="majorHAnsi" w:hAnsiTheme="majorHAnsi" w:cstheme="majorHAnsi"/>
          <w:b/>
          <w:bCs/>
          <w:sz w:val="20"/>
        </w:rPr>
        <w:tab/>
      </w:r>
      <w:r w:rsidRPr="00EE6A26">
        <w:rPr>
          <w:rFonts w:asciiTheme="majorHAnsi" w:hAnsiTheme="majorHAnsi" w:cstheme="majorHAnsi"/>
          <w:i/>
          <w:sz w:val="20"/>
        </w:rPr>
        <w:t>Elektrické inštalácie nízkeho napätia. Časť 1: Základné princípy, stanovenie všeobecných charakteristík: r.v.2009</w:t>
      </w:r>
    </w:p>
    <w:p w:rsidR="00EE6A26" w:rsidRPr="00EE6A26" w:rsidRDefault="00EE6A26" w:rsidP="00EE6A26">
      <w:pPr>
        <w:tabs>
          <w:tab w:val="left" w:pos="2127"/>
        </w:tabs>
        <w:ind w:left="2124" w:hanging="2124"/>
        <w:rPr>
          <w:rFonts w:asciiTheme="majorHAnsi" w:hAnsiTheme="majorHAnsi" w:cstheme="majorHAnsi"/>
          <w:i/>
          <w:sz w:val="20"/>
        </w:rPr>
      </w:pPr>
      <w:r w:rsidRPr="00EE6A26">
        <w:rPr>
          <w:rStyle w:val="formtitle"/>
          <w:rFonts w:asciiTheme="majorHAnsi" w:hAnsiTheme="majorHAnsi" w:cstheme="majorHAnsi"/>
          <w:b/>
          <w:bCs/>
          <w:sz w:val="20"/>
        </w:rPr>
        <w:t>STN 33 2000-8-1</w:t>
      </w:r>
      <w:r w:rsidRPr="00EE6A26">
        <w:rPr>
          <w:rStyle w:val="formtitle"/>
          <w:rFonts w:asciiTheme="majorHAnsi" w:hAnsiTheme="majorHAnsi" w:cstheme="majorHAnsi"/>
          <w:b/>
          <w:bCs/>
          <w:sz w:val="20"/>
        </w:rPr>
        <w:tab/>
      </w:r>
      <w:r w:rsidRPr="00EE6A26">
        <w:rPr>
          <w:rFonts w:asciiTheme="majorHAnsi" w:hAnsiTheme="majorHAnsi" w:cstheme="majorHAnsi"/>
          <w:i/>
          <w:sz w:val="20"/>
        </w:rPr>
        <w:t>Elektrické inštalácie nízkeho napätia. Časť 8-1: Energetická účinnosť</w:t>
      </w:r>
    </w:p>
    <w:p w:rsidR="00EE6A26" w:rsidRPr="00EE6A26" w:rsidRDefault="00EE6A26" w:rsidP="00EE6A26">
      <w:pPr>
        <w:rPr>
          <w:rFonts w:asciiTheme="majorHAnsi" w:hAnsiTheme="majorHAnsi" w:cstheme="majorHAnsi"/>
          <w:i/>
          <w:sz w:val="20"/>
        </w:rPr>
      </w:pPr>
      <w:r w:rsidRPr="00EE6A26">
        <w:rPr>
          <w:rStyle w:val="formtitle"/>
          <w:rFonts w:asciiTheme="majorHAnsi" w:hAnsiTheme="majorHAnsi" w:cstheme="majorHAnsi"/>
          <w:b/>
          <w:bCs/>
          <w:sz w:val="20"/>
        </w:rPr>
        <w:t>STN 33 2030</w:t>
      </w:r>
      <w:r w:rsidRPr="00EE6A26">
        <w:rPr>
          <w:rStyle w:val="formtitle"/>
          <w:rFonts w:asciiTheme="majorHAnsi" w:hAnsiTheme="majorHAnsi" w:cstheme="majorHAnsi"/>
          <w:b/>
          <w:bCs/>
          <w:sz w:val="20"/>
        </w:rPr>
        <w:tab/>
      </w:r>
      <w:r w:rsidRPr="00EE6A26">
        <w:rPr>
          <w:rFonts w:asciiTheme="majorHAnsi" w:hAnsiTheme="majorHAnsi" w:cstheme="majorHAnsi"/>
          <w:sz w:val="20"/>
        </w:rPr>
        <w:tab/>
      </w:r>
      <w:r w:rsidRPr="00EE6A26">
        <w:rPr>
          <w:rFonts w:asciiTheme="majorHAnsi" w:hAnsiTheme="majorHAnsi" w:cstheme="majorHAnsi"/>
          <w:i/>
          <w:sz w:val="20"/>
        </w:rPr>
        <w:t>Elektrotechnické predpisy. Ochrana pred nebezpečnými účinkami statickej elektriny:r.v.1984</w:t>
      </w:r>
    </w:p>
    <w:p w:rsidR="00EE6A26" w:rsidRPr="00EE6A26" w:rsidRDefault="00EE6A26" w:rsidP="00EE6A26">
      <w:pPr>
        <w:rPr>
          <w:rFonts w:asciiTheme="majorHAnsi" w:hAnsiTheme="majorHAnsi" w:cstheme="majorHAnsi"/>
          <w:i/>
          <w:sz w:val="20"/>
        </w:rPr>
      </w:pPr>
      <w:r w:rsidRPr="00EE6A26">
        <w:rPr>
          <w:rStyle w:val="formtitle"/>
          <w:rFonts w:asciiTheme="majorHAnsi" w:hAnsiTheme="majorHAnsi" w:cstheme="majorHAnsi"/>
          <w:b/>
          <w:bCs/>
          <w:sz w:val="20"/>
        </w:rPr>
        <w:t>STN 33 3320</w:t>
      </w:r>
      <w:r w:rsidRPr="00EE6A26">
        <w:rPr>
          <w:rStyle w:val="formtitle"/>
          <w:rFonts w:asciiTheme="majorHAnsi" w:hAnsiTheme="majorHAnsi" w:cstheme="majorHAnsi"/>
          <w:b/>
          <w:bCs/>
          <w:sz w:val="20"/>
        </w:rPr>
        <w:tab/>
      </w:r>
      <w:r w:rsidRPr="00EE6A26">
        <w:rPr>
          <w:rFonts w:asciiTheme="majorHAnsi" w:hAnsiTheme="majorHAnsi" w:cstheme="majorHAnsi"/>
          <w:sz w:val="20"/>
        </w:rPr>
        <w:tab/>
      </w:r>
      <w:r w:rsidRPr="00EE6A26">
        <w:rPr>
          <w:rFonts w:asciiTheme="majorHAnsi" w:hAnsiTheme="majorHAnsi" w:cstheme="majorHAnsi"/>
          <w:i/>
          <w:sz w:val="20"/>
        </w:rPr>
        <w:t>Elektrické prípojky: r.v.2002</w:t>
      </w:r>
    </w:p>
    <w:p w:rsidR="00EE6A26" w:rsidRPr="00EE6A26" w:rsidRDefault="00EE6A26" w:rsidP="00EE6A26">
      <w:pPr>
        <w:tabs>
          <w:tab w:val="left" w:pos="2127"/>
        </w:tabs>
        <w:rPr>
          <w:rFonts w:asciiTheme="majorHAnsi" w:hAnsiTheme="majorHAnsi" w:cstheme="majorHAnsi"/>
          <w:i/>
          <w:sz w:val="20"/>
        </w:rPr>
      </w:pPr>
      <w:bookmarkStart w:id="21" w:name="OLE_LINK12"/>
      <w:bookmarkStart w:id="22" w:name="OLE_LINK71"/>
      <w:r w:rsidRPr="00EE6A26">
        <w:rPr>
          <w:rFonts w:asciiTheme="majorHAnsi" w:hAnsiTheme="majorHAnsi" w:cstheme="majorHAnsi"/>
          <w:b/>
          <w:bCs/>
          <w:sz w:val="20"/>
        </w:rPr>
        <w:t>STN 33 2000-4-41</w:t>
      </w:r>
      <w:bookmarkEnd w:id="21"/>
      <w:r w:rsidRPr="00EE6A26">
        <w:rPr>
          <w:rFonts w:asciiTheme="majorHAnsi" w:hAnsiTheme="majorHAnsi" w:cstheme="majorHAnsi"/>
          <w:sz w:val="20"/>
        </w:rPr>
        <w:tab/>
      </w:r>
      <w:r w:rsidRPr="00EE6A26">
        <w:rPr>
          <w:rFonts w:asciiTheme="majorHAnsi" w:hAnsiTheme="majorHAnsi" w:cstheme="majorHAnsi"/>
          <w:i/>
          <w:sz w:val="20"/>
        </w:rPr>
        <w:t xml:space="preserve">Elektrické inštalácie nízkeho napätia. Časť 4-41: Zaistenie bezpečnosti. </w:t>
      </w:r>
    </w:p>
    <w:bookmarkEnd w:id="22"/>
    <w:p w:rsidR="00EE6A26" w:rsidRPr="00EE6A26" w:rsidRDefault="00EE6A26" w:rsidP="00EE6A26">
      <w:pPr>
        <w:tabs>
          <w:tab w:val="left" w:pos="2127"/>
        </w:tabs>
        <w:rPr>
          <w:rFonts w:asciiTheme="majorHAnsi" w:hAnsiTheme="majorHAnsi" w:cstheme="majorHAnsi"/>
          <w:i/>
          <w:sz w:val="20"/>
        </w:rPr>
      </w:pPr>
      <w:r w:rsidRPr="00EE6A26">
        <w:rPr>
          <w:rFonts w:asciiTheme="majorHAnsi" w:hAnsiTheme="majorHAnsi" w:cstheme="majorHAnsi"/>
          <w:b/>
          <w:bCs/>
          <w:sz w:val="20"/>
        </w:rPr>
        <w:t>STN 33 2000-4-42-A2</w:t>
      </w:r>
      <w:r w:rsidRPr="00EE6A26">
        <w:rPr>
          <w:rFonts w:asciiTheme="majorHAnsi" w:hAnsiTheme="majorHAnsi" w:cstheme="majorHAnsi"/>
          <w:sz w:val="20"/>
        </w:rPr>
        <w:tab/>
      </w:r>
      <w:r w:rsidRPr="00EE6A26">
        <w:rPr>
          <w:rFonts w:asciiTheme="majorHAnsi" w:hAnsiTheme="majorHAnsi" w:cstheme="majorHAnsi"/>
          <w:i/>
          <w:sz w:val="20"/>
        </w:rPr>
        <w:t xml:space="preserve">Elektrické inštalácie nízkeho napätia. Časť 4-42: Zaistenie bezpečnosti. Ochrana pred účinkami tepla: r.v. 2015 </w:t>
      </w:r>
    </w:p>
    <w:p w:rsidR="00EE6A26" w:rsidRPr="00EE6A26" w:rsidRDefault="00EE6A26" w:rsidP="00EE6A26">
      <w:pPr>
        <w:tabs>
          <w:tab w:val="left" w:pos="2127"/>
        </w:tabs>
        <w:rPr>
          <w:rFonts w:asciiTheme="majorHAnsi" w:hAnsiTheme="majorHAnsi" w:cstheme="majorHAnsi"/>
          <w:i/>
          <w:sz w:val="20"/>
        </w:rPr>
      </w:pPr>
      <w:r w:rsidRPr="00EE6A26">
        <w:rPr>
          <w:rFonts w:asciiTheme="majorHAnsi" w:hAnsiTheme="majorHAnsi" w:cstheme="majorHAnsi"/>
          <w:i/>
          <w:sz w:val="20"/>
        </w:rPr>
        <w:tab/>
      </w:r>
      <w:r w:rsidRPr="00EE6A26">
        <w:rPr>
          <w:rFonts w:asciiTheme="majorHAnsi" w:hAnsiTheme="majorHAnsi" w:cstheme="majorHAnsi"/>
          <w:i/>
          <w:sz w:val="20"/>
        </w:rPr>
        <w:tab/>
        <w:t>Ochrana pred úrazom elektrickým prúdom: r.v. 2007</w:t>
      </w:r>
    </w:p>
    <w:p w:rsidR="00EE6A26" w:rsidRPr="00EE6A26" w:rsidRDefault="00EE6A26" w:rsidP="00EE6A26">
      <w:pPr>
        <w:tabs>
          <w:tab w:val="left" w:pos="2127"/>
        </w:tabs>
        <w:rPr>
          <w:rFonts w:asciiTheme="majorHAnsi" w:hAnsiTheme="majorHAnsi" w:cstheme="majorHAnsi"/>
          <w:i/>
          <w:sz w:val="20"/>
        </w:rPr>
      </w:pPr>
      <w:bookmarkStart w:id="23" w:name="OLE_LINK13"/>
      <w:r w:rsidRPr="00EE6A26">
        <w:rPr>
          <w:rFonts w:asciiTheme="majorHAnsi" w:hAnsiTheme="majorHAnsi" w:cstheme="majorHAnsi"/>
          <w:b/>
          <w:bCs/>
          <w:sz w:val="20"/>
        </w:rPr>
        <w:t xml:space="preserve">STN 33 2000-4-43 </w:t>
      </w:r>
      <w:bookmarkEnd w:id="23"/>
      <w:r w:rsidRPr="00EE6A26">
        <w:rPr>
          <w:rFonts w:asciiTheme="majorHAnsi" w:hAnsiTheme="majorHAnsi" w:cstheme="majorHAnsi"/>
          <w:b/>
          <w:bCs/>
          <w:sz w:val="20"/>
        </w:rPr>
        <w:tab/>
      </w:r>
      <w:r w:rsidRPr="00EE6A26">
        <w:rPr>
          <w:rFonts w:asciiTheme="majorHAnsi" w:hAnsiTheme="majorHAnsi" w:cstheme="majorHAnsi"/>
          <w:i/>
          <w:sz w:val="20"/>
        </w:rPr>
        <w:t xml:space="preserve">Elektrické inštalácie budov. Časť 4-43: Zaistenie bezpečnosti. Ochrana pred nadprúdom: </w:t>
      </w:r>
      <w:bookmarkStart w:id="24" w:name="OLE_LINK14"/>
      <w:r w:rsidRPr="00EE6A26">
        <w:rPr>
          <w:rFonts w:asciiTheme="majorHAnsi" w:hAnsiTheme="majorHAnsi" w:cstheme="majorHAnsi"/>
          <w:i/>
          <w:sz w:val="20"/>
        </w:rPr>
        <w:t>r.v.2010</w:t>
      </w:r>
      <w:bookmarkEnd w:id="24"/>
    </w:p>
    <w:p w:rsidR="00EE6A26" w:rsidRPr="00EE6A26" w:rsidRDefault="00EE6A26" w:rsidP="00EE6A26">
      <w:pPr>
        <w:tabs>
          <w:tab w:val="left" w:pos="2127"/>
        </w:tabs>
        <w:rPr>
          <w:rFonts w:asciiTheme="majorHAnsi" w:hAnsiTheme="majorHAnsi" w:cstheme="majorHAnsi"/>
          <w:i/>
          <w:sz w:val="20"/>
        </w:rPr>
      </w:pPr>
      <w:r w:rsidRPr="00EE6A26">
        <w:rPr>
          <w:rFonts w:asciiTheme="majorHAnsi" w:hAnsiTheme="majorHAnsi" w:cstheme="majorHAnsi"/>
          <w:b/>
          <w:bCs/>
          <w:sz w:val="20"/>
        </w:rPr>
        <w:lastRenderedPageBreak/>
        <w:t>STN 33 2000-4-43/C1</w:t>
      </w:r>
      <w:r w:rsidRPr="00EE6A26">
        <w:rPr>
          <w:rFonts w:asciiTheme="majorHAnsi" w:hAnsiTheme="majorHAnsi" w:cstheme="majorHAnsi"/>
          <w:b/>
          <w:bCs/>
          <w:sz w:val="20"/>
        </w:rPr>
        <w:tab/>
      </w:r>
      <w:r w:rsidRPr="00EE6A26">
        <w:rPr>
          <w:rFonts w:asciiTheme="majorHAnsi" w:hAnsiTheme="majorHAnsi" w:cstheme="majorHAnsi"/>
          <w:i/>
          <w:sz w:val="20"/>
        </w:rPr>
        <w:t>Elektrické inštalácie budov. Časť 4-43: Zaistenie bezpečnosti. Ochrana pred nadprúdom: r.v.2010</w:t>
      </w:r>
    </w:p>
    <w:p w:rsidR="00EE6A26" w:rsidRPr="00EE6A26" w:rsidRDefault="00EE6A26" w:rsidP="00EE6A26">
      <w:pPr>
        <w:tabs>
          <w:tab w:val="left" w:pos="2127"/>
        </w:tabs>
        <w:rPr>
          <w:rFonts w:asciiTheme="majorHAnsi" w:hAnsiTheme="majorHAnsi" w:cstheme="majorHAnsi"/>
          <w:i/>
          <w:sz w:val="20"/>
        </w:rPr>
      </w:pPr>
      <w:bookmarkStart w:id="25" w:name="OLE_LINK15"/>
      <w:r w:rsidRPr="00EE6A26">
        <w:rPr>
          <w:rFonts w:asciiTheme="majorHAnsi" w:hAnsiTheme="majorHAnsi" w:cstheme="majorHAnsi"/>
          <w:b/>
          <w:bCs/>
          <w:sz w:val="20"/>
        </w:rPr>
        <w:t>STN 33 2000-4-443</w:t>
      </w:r>
      <w:bookmarkEnd w:id="25"/>
      <w:r w:rsidRPr="00EE6A26">
        <w:rPr>
          <w:rFonts w:asciiTheme="majorHAnsi" w:hAnsiTheme="majorHAnsi" w:cstheme="majorHAnsi"/>
          <w:b/>
          <w:bCs/>
          <w:sz w:val="20"/>
        </w:rPr>
        <w:tab/>
      </w:r>
      <w:r w:rsidRPr="00EE6A26">
        <w:rPr>
          <w:rFonts w:asciiTheme="majorHAnsi" w:hAnsiTheme="majorHAnsi" w:cstheme="majorHAnsi"/>
          <w:i/>
          <w:sz w:val="20"/>
        </w:rPr>
        <w:t>Elektrické inštalácie budov.</w:t>
      </w:r>
    </w:p>
    <w:p w:rsidR="00EE6A26" w:rsidRPr="00EE6A26" w:rsidRDefault="00EE6A26" w:rsidP="00EE6A26">
      <w:pPr>
        <w:tabs>
          <w:tab w:val="left" w:pos="2127"/>
        </w:tabs>
        <w:rPr>
          <w:rFonts w:asciiTheme="majorHAnsi" w:hAnsiTheme="majorHAnsi" w:cstheme="majorHAnsi"/>
          <w:i/>
          <w:sz w:val="20"/>
        </w:rPr>
      </w:pPr>
      <w:r w:rsidRPr="00EE6A26">
        <w:rPr>
          <w:rFonts w:asciiTheme="majorHAnsi" w:hAnsiTheme="majorHAnsi" w:cstheme="majorHAnsi"/>
          <w:i/>
          <w:sz w:val="20"/>
        </w:rPr>
        <w:tab/>
      </w:r>
      <w:r w:rsidRPr="00EE6A26">
        <w:rPr>
          <w:rFonts w:asciiTheme="majorHAnsi" w:hAnsiTheme="majorHAnsi" w:cstheme="majorHAnsi"/>
          <w:i/>
          <w:sz w:val="20"/>
        </w:rPr>
        <w:tab/>
        <w:t>Časť 4-44: Zaistenie bezpečnosti. Ochrana pred rušivými napätiami a elektromagnetickým rušením.</w:t>
      </w:r>
    </w:p>
    <w:p w:rsidR="00EE6A26" w:rsidRPr="00EE6A26" w:rsidRDefault="00EE6A26" w:rsidP="00EE6A26">
      <w:pPr>
        <w:tabs>
          <w:tab w:val="left" w:pos="2127"/>
        </w:tabs>
        <w:rPr>
          <w:rFonts w:asciiTheme="majorHAnsi" w:hAnsiTheme="majorHAnsi" w:cstheme="majorHAnsi"/>
          <w:i/>
          <w:sz w:val="20"/>
        </w:rPr>
      </w:pPr>
      <w:r w:rsidRPr="00EE6A26">
        <w:rPr>
          <w:rFonts w:asciiTheme="majorHAnsi" w:hAnsiTheme="majorHAnsi" w:cstheme="majorHAnsi"/>
          <w:i/>
          <w:sz w:val="20"/>
        </w:rPr>
        <w:tab/>
      </w:r>
      <w:r w:rsidRPr="00EE6A26">
        <w:rPr>
          <w:rFonts w:asciiTheme="majorHAnsi" w:hAnsiTheme="majorHAnsi" w:cstheme="majorHAnsi"/>
          <w:i/>
          <w:sz w:val="20"/>
        </w:rPr>
        <w:tab/>
        <w:t>Oddiel 443: Ochrana pred prepätiami atmosférického pôvodu a pred spínacími prepätiami: r.v.2007</w:t>
      </w:r>
    </w:p>
    <w:p w:rsidR="00EE6A26" w:rsidRPr="00EE6A26" w:rsidRDefault="00EE6A26" w:rsidP="00EE6A26">
      <w:pPr>
        <w:tabs>
          <w:tab w:val="left" w:pos="2127"/>
        </w:tabs>
        <w:ind w:left="2124" w:hanging="2124"/>
        <w:rPr>
          <w:rFonts w:asciiTheme="majorHAnsi" w:hAnsiTheme="majorHAnsi" w:cstheme="majorHAnsi"/>
          <w:i/>
          <w:sz w:val="20"/>
        </w:rPr>
      </w:pPr>
      <w:r w:rsidRPr="00EE6A26">
        <w:rPr>
          <w:rStyle w:val="formtitle"/>
          <w:rFonts w:asciiTheme="majorHAnsi" w:hAnsiTheme="majorHAnsi" w:cstheme="majorHAnsi"/>
          <w:b/>
          <w:bCs/>
          <w:sz w:val="20"/>
        </w:rPr>
        <w:t>STN 33 2000-4-444/O1</w:t>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Elektrické inštalácie nízkeho napätia. Časť 4-444: Zaistenie bezpečnosti. Ochrana pred rušivými prepätiami a elektromagnetickým rušením: r.v.2013</w:t>
      </w:r>
    </w:p>
    <w:p w:rsidR="00EE6A26" w:rsidRPr="00EE6A26" w:rsidRDefault="00EE6A26" w:rsidP="00EE6A26">
      <w:pPr>
        <w:tabs>
          <w:tab w:val="left" w:pos="2127"/>
        </w:tabs>
        <w:ind w:left="2124" w:hanging="2124"/>
        <w:rPr>
          <w:rFonts w:asciiTheme="majorHAnsi" w:hAnsiTheme="majorHAnsi" w:cstheme="majorHAnsi"/>
          <w:i/>
          <w:sz w:val="20"/>
        </w:rPr>
      </w:pPr>
      <w:bookmarkStart w:id="26" w:name="OLE_LINK16"/>
      <w:r w:rsidRPr="00EE6A26">
        <w:rPr>
          <w:rFonts w:asciiTheme="majorHAnsi" w:hAnsiTheme="majorHAnsi" w:cstheme="majorHAnsi"/>
          <w:b/>
          <w:bCs/>
          <w:sz w:val="20"/>
        </w:rPr>
        <w:t xml:space="preserve">STN 33 2000-4-473 </w:t>
      </w:r>
      <w:bookmarkEnd w:id="26"/>
      <w:r w:rsidRPr="00EE6A26">
        <w:rPr>
          <w:rFonts w:asciiTheme="majorHAnsi" w:hAnsiTheme="majorHAnsi" w:cstheme="majorHAnsi"/>
          <w:b/>
          <w:bCs/>
          <w:sz w:val="20"/>
        </w:rPr>
        <w:tab/>
      </w:r>
      <w:r w:rsidRPr="00EE6A26">
        <w:rPr>
          <w:rFonts w:asciiTheme="majorHAnsi" w:hAnsiTheme="majorHAnsi" w:cstheme="majorHAnsi"/>
          <w:i/>
          <w:sz w:val="20"/>
        </w:rPr>
        <w:t>Elektrotechnické predpisy. Elektrické zariadenia. 4. časť: Bezpečnosť. Kapitola 47: Použitie  ochranných opatrení na zaistenie bezpečnosti. Oddiel 473: Opatrenia na ochranu proti nadprúdom: r.v.1995</w:t>
      </w:r>
    </w:p>
    <w:p w:rsidR="00EE6A26" w:rsidRPr="00EE6A26" w:rsidRDefault="00EE6A26" w:rsidP="00EE6A26">
      <w:pPr>
        <w:tabs>
          <w:tab w:val="left" w:pos="2127"/>
        </w:tabs>
        <w:rPr>
          <w:rFonts w:asciiTheme="majorHAnsi" w:hAnsiTheme="majorHAnsi" w:cstheme="majorHAnsi"/>
          <w:i/>
          <w:sz w:val="20"/>
        </w:rPr>
      </w:pPr>
      <w:bookmarkStart w:id="27" w:name="OLE_LINK17"/>
      <w:r w:rsidRPr="00EE6A26">
        <w:rPr>
          <w:rFonts w:asciiTheme="majorHAnsi" w:hAnsiTheme="majorHAnsi" w:cstheme="majorHAnsi"/>
          <w:b/>
          <w:bCs/>
          <w:sz w:val="20"/>
        </w:rPr>
        <w:t>STN 33 2000-4-473/O1</w:t>
      </w:r>
      <w:bookmarkEnd w:id="27"/>
      <w:r w:rsidRPr="00EE6A26">
        <w:rPr>
          <w:rFonts w:asciiTheme="majorHAnsi" w:hAnsiTheme="majorHAnsi" w:cstheme="majorHAnsi"/>
          <w:b/>
          <w:bCs/>
          <w:sz w:val="20"/>
        </w:rPr>
        <w:tab/>
      </w:r>
      <w:r w:rsidRPr="00EE6A26">
        <w:rPr>
          <w:rFonts w:asciiTheme="majorHAnsi" w:hAnsiTheme="majorHAnsi" w:cstheme="majorHAnsi"/>
          <w:i/>
          <w:sz w:val="20"/>
        </w:rPr>
        <w:t>Elektrotechnické predpisy.</w:t>
      </w:r>
    </w:p>
    <w:p w:rsidR="00EE6A26" w:rsidRPr="00EE6A26" w:rsidRDefault="00EE6A26" w:rsidP="00EE6A26">
      <w:pPr>
        <w:tabs>
          <w:tab w:val="left" w:pos="2127"/>
        </w:tabs>
        <w:rPr>
          <w:rFonts w:asciiTheme="majorHAnsi" w:hAnsiTheme="majorHAnsi" w:cstheme="majorHAnsi"/>
          <w:i/>
          <w:sz w:val="20"/>
        </w:rPr>
      </w:pPr>
      <w:r w:rsidRPr="00EE6A26">
        <w:rPr>
          <w:rFonts w:asciiTheme="majorHAnsi" w:hAnsiTheme="majorHAnsi" w:cstheme="majorHAnsi"/>
          <w:i/>
          <w:sz w:val="20"/>
        </w:rPr>
        <w:tab/>
      </w:r>
      <w:r w:rsidRPr="00EE6A26">
        <w:rPr>
          <w:rFonts w:asciiTheme="majorHAnsi" w:hAnsiTheme="majorHAnsi" w:cstheme="majorHAnsi"/>
          <w:i/>
          <w:sz w:val="20"/>
        </w:rPr>
        <w:tab/>
        <w:t>Elektrické zariadenia. 4. časť: Bezpečnosť. Kapitola 47: Použitie ochranných opatrení na zaistenie bezpečnosti.</w:t>
      </w:r>
    </w:p>
    <w:p w:rsidR="00EE6A26" w:rsidRPr="00EE6A26" w:rsidRDefault="00EE6A26" w:rsidP="00EE6A26">
      <w:pPr>
        <w:tabs>
          <w:tab w:val="left" w:pos="2127"/>
        </w:tabs>
        <w:rPr>
          <w:rFonts w:asciiTheme="majorHAnsi" w:hAnsiTheme="majorHAnsi" w:cstheme="majorHAnsi"/>
          <w:i/>
          <w:sz w:val="20"/>
        </w:rPr>
      </w:pPr>
      <w:r w:rsidRPr="00EE6A26">
        <w:rPr>
          <w:rFonts w:asciiTheme="majorHAnsi" w:hAnsiTheme="majorHAnsi" w:cstheme="majorHAnsi"/>
          <w:i/>
          <w:sz w:val="20"/>
        </w:rPr>
        <w:tab/>
      </w:r>
      <w:r w:rsidRPr="00EE6A26">
        <w:rPr>
          <w:rFonts w:asciiTheme="majorHAnsi" w:hAnsiTheme="majorHAnsi" w:cstheme="majorHAnsi"/>
          <w:i/>
          <w:sz w:val="20"/>
        </w:rPr>
        <w:tab/>
        <w:t>Oddiel 473: Opatrenia na ochranu proti nadprúdom: r.v.1995</w:t>
      </w:r>
    </w:p>
    <w:p w:rsidR="00EE6A26" w:rsidRPr="00EE6A26" w:rsidRDefault="00EE6A26" w:rsidP="00EE6A26">
      <w:pPr>
        <w:tabs>
          <w:tab w:val="left" w:pos="2127"/>
        </w:tabs>
        <w:rPr>
          <w:rFonts w:asciiTheme="majorHAnsi" w:hAnsiTheme="majorHAnsi" w:cstheme="majorHAnsi"/>
          <w:i/>
          <w:sz w:val="20"/>
        </w:rPr>
      </w:pPr>
      <w:bookmarkStart w:id="28" w:name="OLE_LINK20"/>
      <w:r w:rsidRPr="00EE6A26">
        <w:rPr>
          <w:rFonts w:asciiTheme="majorHAnsi" w:hAnsiTheme="majorHAnsi" w:cstheme="majorHAnsi"/>
          <w:b/>
          <w:bCs/>
          <w:sz w:val="20"/>
        </w:rPr>
        <w:t>STN 33 2000-5-51</w:t>
      </w:r>
      <w:bookmarkEnd w:id="28"/>
      <w:r w:rsidRPr="00EE6A26">
        <w:rPr>
          <w:rFonts w:asciiTheme="majorHAnsi" w:hAnsiTheme="majorHAnsi" w:cstheme="majorHAnsi"/>
          <w:b/>
          <w:bCs/>
          <w:sz w:val="20"/>
        </w:rPr>
        <w:tab/>
      </w:r>
      <w:r w:rsidRPr="00EE6A26">
        <w:rPr>
          <w:rFonts w:asciiTheme="majorHAnsi" w:hAnsiTheme="majorHAnsi" w:cstheme="majorHAnsi"/>
          <w:i/>
          <w:sz w:val="20"/>
        </w:rPr>
        <w:t>Elektrické inštalácie budov Časť 5-51: Výber a stavba elektrických zariadení. Spoločné pravidlá: r.v.2010</w:t>
      </w:r>
    </w:p>
    <w:p w:rsidR="00EE6A26" w:rsidRPr="00EE6A26" w:rsidRDefault="00EE6A26" w:rsidP="00EE6A26">
      <w:pPr>
        <w:tabs>
          <w:tab w:val="left" w:pos="2127"/>
        </w:tabs>
        <w:rPr>
          <w:rFonts w:asciiTheme="majorHAnsi" w:hAnsiTheme="majorHAnsi" w:cstheme="majorHAnsi"/>
          <w:i/>
          <w:sz w:val="20"/>
        </w:rPr>
      </w:pPr>
      <w:bookmarkStart w:id="29" w:name="OLE_LINK21"/>
      <w:r w:rsidRPr="00EE6A26">
        <w:rPr>
          <w:rFonts w:asciiTheme="majorHAnsi" w:hAnsiTheme="majorHAnsi" w:cstheme="majorHAnsi"/>
          <w:b/>
          <w:bCs/>
          <w:sz w:val="20"/>
        </w:rPr>
        <w:t xml:space="preserve">STN 33 2000-5-52 </w:t>
      </w:r>
      <w:bookmarkEnd w:id="29"/>
      <w:r w:rsidRPr="00EE6A26">
        <w:rPr>
          <w:rFonts w:asciiTheme="majorHAnsi" w:hAnsiTheme="majorHAnsi" w:cstheme="majorHAnsi"/>
          <w:b/>
          <w:bCs/>
          <w:sz w:val="20"/>
        </w:rPr>
        <w:tab/>
      </w:r>
      <w:r w:rsidRPr="00EE6A26">
        <w:rPr>
          <w:rFonts w:asciiTheme="majorHAnsi" w:hAnsiTheme="majorHAnsi" w:cstheme="majorHAnsi"/>
          <w:i/>
          <w:sz w:val="20"/>
        </w:rPr>
        <w:t>Elektrické inštalácie budov Časť 5-52:Výber a stavba elektrických zariadení, Elektrické rozvody: r.v.2012</w:t>
      </w:r>
    </w:p>
    <w:p w:rsidR="00EE6A26" w:rsidRPr="00EE6A26" w:rsidRDefault="00EE6A26" w:rsidP="00EE6A26">
      <w:pPr>
        <w:ind w:left="2124" w:hanging="2124"/>
        <w:rPr>
          <w:rFonts w:asciiTheme="majorHAnsi" w:hAnsiTheme="majorHAnsi" w:cstheme="majorHAnsi"/>
          <w:sz w:val="20"/>
        </w:rPr>
      </w:pPr>
      <w:r w:rsidRPr="00EE6A26">
        <w:rPr>
          <w:rStyle w:val="formtitle"/>
          <w:rFonts w:asciiTheme="majorHAnsi" w:hAnsiTheme="majorHAnsi" w:cstheme="majorHAnsi"/>
          <w:b/>
          <w:bCs/>
          <w:sz w:val="20"/>
        </w:rPr>
        <w:t>STN 33 2000-5-53</w:t>
      </w:r>
      <w:r w:rsidRPr="00EE6A26">
        <w:rPr>
          <w:rStyle w:val="formtitle"/>
          <w:rFonts w:asciiTheme="majorHAnsi" w:hAnsiTheme="majorHAnsi" w:cstheme="majorHAnsi"/>
          <w:b/>
          <w:bCs/>
          <w:sz w:val="20"/>
        </w:rPr>
        <w:tab/>
      </w:r>
      <w:r w:rsidRPr="00EE6A26">
        <w:rPr>
          <w:rFonts w:asciiTheme="majorHAnsi" w:hAnsiTheme="majorHAnsi" w:cstheme="majorHAnsi"/>
          <w:i/>
          <w:sz w:val="20"/>
        </w:rPr>
        <w:t>Elektrické inštalácie nízkeho napätia. Časť 5-53: Výber a stavba elektrických zariadení. Spínacie a riadiace zariadenia: r.v.2016</w:t>
      </w:r>
    </w:p>
    <w:p w:rsidR="00EE6A26" w:rsidRPr="00EE6A26" w:rsidRDefault="00EE6A26" w:rsidP="00EE6A26">
      <w:pPr>
        <w:tabs>
          <w:tab w:val="left" w:pos="2127"/>
        </w:tabs>
        <w:rPr>
          <w:rFonts w:asciiTheme="majorHAnsi" w:hAnsiTheme="majorHAnsi" w:cstheme="majorHAnsi"/>
          <w:i/>
          <w:sz w:val="20"/>
        </w:rPr>
      </w:pPr>
      <w:bookmarkStart w:id="30" w:name="OLE_LINK23"/>
      <w:r w:rsidRPr="00EE6A26">
        <w:rPr>
          <w:rFonts w:asciiTheme="majorHAnsi" w:hAnsiTheme="majorHAnsi" w:cstheme="majorHAnsi"/>
          <w:b/>
          <w:bCs/>
          <w:sz w:val="20"/>
        </w:rPr>
        <w:t>STN 33 2000-5-54</w:t>
      </w:r>
      <w:bookmarkEnd w:id="30"/>
      <w:r w:rsidRPr="00EE6A26">
        <w:rPr>
          <w:rFonts w:asciiTheme="majorHAnsi" w:hAnsiTheme="majorHAnsi" w:cstheme="majorHAnsi"/>
          <w:b/>
          <w:bCs/>
          <w:sz w:val="20"/>
        </w:rPr>
        <w:tab/>
      </w:r>
      <w:r w:rsidRPr="00EE6A26">
        <w:rPr>
          <w:rFonts w:asciiTheme="majorHAnsi" w:hAnsiTheme="majorHAnsi" w:cstheme="majorHAnsi"/>
          <w:i/>
          <w:sz w:val="20"/>
        </w:rPr>
        <w:t>Elektrické inštalácie nízkeho napätia. Časť 5-54: Výber a stavba elektrických zariadení.</w:t>
      </w:r>
    </w:p>
    <w:p w:rsidR="00EE6A26" w:rsidRPr="00EE6A26" w:rsidRDefault="00EE6A26" w:rsidP="00EE6A26">
      <w:pPr>
        <w:tabs>
          <w:tab w:val="left" w:pos="2127"/>
        </w:tabs>
        <w:rPr>
          <w:rFonts w:asciiTheme="majorHAnsi" w:hAnsiTheme="majorHAnsi" w:cstheme="majorHAnsi"/>
          <w:i/>
          <w:sz w:val="20"/>
        </w:rPr>
      </w:pPr>
      <w:r w:rsidRPr="00EE6A26">
        <w:rPr>
          <w:rFonts w:asciiTheme="majorHAnsi" w:hAnsiTheme="majorHAnsi" w:cstheme="majorHAnsi"/>
          <w:i/>
          <w:sz w:val="20"/>
        </w:rPr>
        <w:tab/>
      </w:r>
      <w:r w:rsidRPr="00EE6A26">
        <w:rPr>
          <w:rFonts w:asciiTheme="majorHAnsi" w:hAnsiTheme="majorHAnsi" w:cstheme="majorHAnsi"/>
          <w:i/>
          <w:sz w:val="20"/>
        </w:rPr>
        <w:tab/>
        <w:t>Uzemňovacie sústavy a ochranné vodiče: r.v. 2012</w:t>
      </w:r>
    </w:p>
    <w:p w:rsidR="00EE6A26" w:rsidRPr="00EE6A26" w:rsidRDefault="00EE6A26" w:rsidP="00EE6A26">
      <w:pPr>
        <w:tabs>
          <w:tab w:val="left" w:pos="2127"/>
        </w:tabs>
        <w:ind w:left="2124" w:hanging="2124"/>
        <w:rPr>
          <w:rFonts w:asciiTheme="majorHAnsi" w:hAnsiTheme="majorHAnsi" w:cstheme="majorHAnsi"/>
          <w:i/>
          <w:sz w:val="20"/>
        </w:rPr>
      </w:pPr>
      <w:r w:rsidRPr="00EE6A26">
        <w:rPr>
          <w:rStyle w:val="formtitle"/>
          <w:rFonts w:asciiTheme="majorHAnsi" w:hAnsiTheme="majorHAnsi" w:cstheme="majorHAnsi"/>
          <w:b/>
          <w:bCs/>
          <w:sz w:val="20"/>
        </w:rPr>
        <w:t>STN 33 2000-5-559</w:t>
      </w:r>
      <w:r w:rsidRPr="00EE6A26">
        <w:rPr>
          <w:rStyle w:val="formtitle"/>
          <w:rFonts w:asciiTheme="majorHAnsi" w:hAnsiTheme="majorHAnsi" w:cstheme="majorHAnsi"/>
          <w:b/>
          <w:bCs/>
          <w:sz w:val="20"/>
        </w:rPr>
        <w:tab/>
      </w:r>
      <w:r w:rsidRPr="00EE6A26">
        <w:rPr>
          <w:rStyle w:val="formtitle"/>
          <w:rFonts w:asciiTheme="majorHAnsi" w:hAnsiTheme="majorHAnsi" w:cstheme="majorHAnsi"/>
          <w:b/>
          <w:bCs/>
          <w:sz w:val="20"/>
        </w:rPr>
        <w:tab/>
      </w:r>
      <w:r w:rsidRPr="00EE6A26">
        <w:rPr>
          <w:rFonts w:asciiTheme="majorHAnsi" w:hAnsiTheme="majorHAnsi" w:cstheme="majorHAnsi"/>
          <w:sz w:val="20"/>
          <w:shd w:val="clear" w:color="auto" w:fill="FFFFFF"/>
        </w:rPr>
        <w:t>Elektrické inštalácie nízkeho napätia. Časť 5-559: Výber a stavba elektrických zariadení. Svietidlá a svetelné inštalácie: r.v.2013</w:t>
      </w:r>
    </w:p>
    <w:p w:rsidR="00EE6A26" w:rsidRPr="00EE6A26" w:rsidRDefault="00EE6A26" w:rsidP="00EE6A26">
      <w:pPr>
        <w:tabs>
          <w:tab w:val="left" w:pos="2127"/>
        </w:tabs>
        <w:ind w:left="2124" w:hanging="2124"/>
        <w:rPr>
          <w:rFonts w:asciiTheme="majorHAnsi" w:hAnsiTheme="majorHAnsi" w:cstheme="majorHAnsi"/>
          <w:i/>
          <w:sz w:val="20"/>
        </w:rPr>
      </w:pPr>
      <w:bookmarkStart w:id="31" w:name="OLE_LINK24"/>
      <w:r w:rsidRPr="00EE6A26">
        <w:rPr>
          <w:rFonts w:asciiTheme="majorHAnsi" w:hAnsiTheme="majorHAnsi" w:cstheme="majorHAnsi"/>
          <w:b/>
          <w:bCs/>
          <w:sz w:val="20"/>
        </w:rPr>
        <w:t>STN 33 2000-7-701</w:t>
      </w:r>
      <w:bookmarkEnd w:id="31"/>
      <w:r w:rsidRPr="00EE6A26">
        <w:rPr>
          <w:rFonts w:asciiTheme="majorHAnsi" w:hAnsiTheme="majorHAnsi" w:cstheme="majorHAnsi"/>
          <w:b/>
          <w:bCs/>
          <w:sz w:val="20"/>
        </w:rPr>
        <w:tab/>
      </w:r>
      <w:r w:rsidRPr="00EE6A26">
        <w:rPr>
          <w:rFonts w:asciiTheme="majorHAnsi" w:hAnsiTheme="majorHAnsi" w:cstheme="majorHAnsi"/>
          <w:i/>
          <w:sz w:val="20"/>
        </w:rPr>
        <w:t xml:space="preserve">Elektrické inštalácie nízkeho napätia. Časť 7-701: Požiadavky na osobitné inštalácie alebo priestory. </w:t>
      </w:r>
      <w:r w:rsidRPr="00EE6A26">
        <w:rPr>
          <w:rFonts w:asciiTheme="majorHAnsi" w:hAnsiTheme="majorHAnsi" w:cstheme="majorHAnsi"/>
          <w:i/>
          <w:sz w:val="20"/>
        </w:rPr>
        <w:tab/>
        <w:t>Priestory s vaňou alebo sprchou: r.v.2007</w:t>
      </w:r>
    </w:p>
    <w:p w:rsidR="00EE6A26" w:rsidRPr="00EE6A26" w:rsidRDefault="00EE6A26" w:rsidP="00EE6A26">
      <w:pPr>
        <w:rPr>
          <w:rFonts w:asciiTheme="majorHAnsi" w:hAnsiTheme="majorHAnsi" w:cstheme="majorHAnsi"/>
          <w:i/>
          <w:sz w:val="20"/>
        </w:rPr>
      </w:pPr>
      <w:bookmarkStart w:id="32" w:name="OLE_LINK25"/>
      <w:bookmarkStart w:id="33" w:name="OLE_LINK26"/>
      <w:r w:rsidRPr="00EE6A26">
        <w:rPr>
          <w:rFonts w:asciiTheme="majorHAnsi" w:hAnsiTheme="majorHAnsi" w:cstheme="majorHAnsi"/>
          <w:b/>
          <w:bCs/>
          <w:sz w:val="20"/>
        </w:rPr>
        <w:t>STN 33 2000-7-714</w:t>
      </w:r>
      <w:r w:rsidRPr="00EE6A26">
        <w:rPr>
          <w:rFonts w:asciiTheme="majorHAnsi" w:hAnsiTheme="majorHAnsi" w:cstheme="majorHAnsi"/>
          <w:b/>
          <w:bCs/>
          <w:sz w:val="20"/>
        </w:rPr>
        <w:tab/>
      </w:r>
      <w:bookmarkEnd w:id="32"/>
      <w:bookmarkEnd w:id="33"/>
      <w:r w:rsidRPr="00EE6A26">
        <w:rPr>
          <w:rFonts w:asciiTheme="majorHAnsi" w:hAnsiTheme="majorHAnsi" w:cstheme="majorHAnsi"/>
          <w:b/>
          <w:bCs/>
          <w:sz w:val="20"/>
        </w:rPr>
        <w:tab/>
      </w:r>
      <w:r w:rsidRPr="00EE6A26">
        <w:rPr>
          <w:rFonts w:asciiTheme="majorHAnsi" w:hAnsiTheme="majorHAnsi" w:cstheme="majorHAnsi"/>
          <w:i/>
          <w:sz w:val="20"/>
        </w:rPr>
        <w:t>Elektrické inštalácie budov. Časť 7-714: Požiadavky na osobitné inštalácie alebo priestory.</w:t>
      </w:r>
    </w:p>
    <w:p w:rsidR="00EE6A26" w:rsidRPr="00EE6A26" w:rsidRDefault="00EE6A26" w:rsidP="00EE6A26">
      <w:pPr>
        <w:tabs>
          <w:tab w:val="left" w:pos="2127"/>
        </w:tabs>
        <w:rPr>
          <w:rFonts w:asciiTheme="majorHAnsi" w:hAnsiTheme="majorHAnsi" w:cstheme="majorHAnsi"/>
          <w:i/>
          <w:sz w:val="20"/>
        </w:rPr>
      </w:pPr>
      <w:r w:rsidRPr="00EE6A26">
        <w:rPr>
          <w:rFonts w:asciiTheme="majorHAnsi" w:hAnsiTheme="majorHAnsi" w:cstheme="majorHAnsi"/>
          <w:i/>
          <w:sz w:val="20"/>
        </w:rPr>
        <w:tab/>
      </w:r>
      <w:r w:rsidRPr="00EE6A26">
        <w:rPr>
          <w:rFonts w:asciiTheme="majorHAnsi" w:hAnsiTheme="majorHAnsi" w:cstheme="majorHAnsi"/>
          <w:i/>
          <w:sz w:val="20"/>
        </w:rPr>
        <w:tab/>
        <w:t>Vonkajšie svetelné inštalácie: r.v.2013</w:t>
      </w:r>
    </w:p>
    <w:p w:rsidR="00EE6A26" w:rsidRPr="00EE6A26" w:rsidRDefault="00EE6A26" w:rsidP="00EE6A26">
      <w:pPr>
        <w:tabs>
          <w:tab w:val="left" w:pos="2127"/>
        </w:tabs>
        <w:ind w:left="2124" w:hanging="2124"/>
        <w:rPr>
          <w:rFonts w:asciiTheme="majorHAnsi" w:hAnsiTheme="majorHAnsi" w:cstheme="majorHAnsi"/>
          <w:i/>
          <w:sz w:val="20"/>
        </w:rPr>
      </w:pPr>
      <w:r w:rsidRPr="00EE6A26">
        <w:rPr>
          <w:rStyle w:val="formtitle"/>
          <w:rFonts w:asciiTheme="majorHAnsi" w:hAnsiTheme="majorHAnsi" w:cstheme="majorHAnsi"/>
          <w:b/>
          <w:bCs/>
          <w:sz w:val="20"/>
        </w:rPr>
        <w:t>STN 33 2000-7-753</w:t>
      </w:r>
      <w:r w:rsidRPr="00EE6A26">
        <w:rPr>
          <w:rStyle w:val="formtitle"/>
          <w:rFonts w:asciiTheme="majorHAnsi" w:hAnsiTheme="majorHAnsi" w:cstheme="majorHAnsi"/>
          <w:b/>
          <w:bCs/>
          <w:sz w:val="20"/>
        </w:rPr>
        <w:tab/>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Elektrické inštalácie budov. Časť 7: Požiadavky na osobitné inštalácie alebo priestory. Kapitola 753: Podlahové a stropné vykurovacie systémy: r.v. 2015</w:t>
      </w:r>
    </w:p>
    <w:p w:rsidR="00EE6A26" w:rsidRPr="00EE6A26" w:rsidRDefault="00EE6A26" w:rsidP="00EE6A26">
      <w:pPr>
        <w:tabs>
          <w:tab w:val="left" w:pos="2127"/>
        </w:tabs>
        <w:rPr>
          <w:rFonts w:asciiTheme="majorHAnsi" w:hAnsiTheme="majorHAnsi" w:cstheme="majorHAnsi"/>
          <w:i/>
          <w:sz w:val="20"/>
        </w:rPr>
      </w:pPr>
      <w:bookmarkStart w:id="34" w:name="OLE_LINK27"/>
      <w:bookmarkStart w:id="35" w:name="OLE_LINK28"/>
      <w:r w:rsidRPr="00EE6A26">
        <w:rPr>
          <w:rFonts w:asciiTheme="majorHAnsi" w:hAnsiTheme="majorHAnsi" w:cstheme="majorHAnsi"/>
          <w:b/>
          <w:bCs/>
          <w:sz w:val="20"/>
        </w:rPr>
        <w:t xml:space="preserve">STN 33 2130 </w:t>
      </w:r>
      <w:bookmarkEnd w:id="34"/>
      <w:bookmarkEnd w:id="35"/>
      <w:r w:rsidRPr="00EE6A26">
        <w:rPr>
          <w:rFonts w:asciiTheme="majorHAnsi" w:hAnsiTheme="majorHAnsi" w:cstheme="majorHAnsi"/>
          <w:b/>
          <w:bCs/>
          <w:sz w:val="20"/>
        </w:rPr>
        <w:tab/>
      </w:r>
      <w:r w:rsidRPr="00EE6A26">
        <w:rPr>
          <w:rFonts w:asciiTheme="majorHAnsi" w:hAnsiTheme="majorHAnsi" w:cstheme="majorHAnsi"/>
          <w:i/>
          <w:sz w:val="20"/>
        </w:rPr>
        <w:t>Elektrotechnické predpisy. Vnútorné elektrické rozvody</w:t>
      </w:r>
      <w:bookmarkStart w:id="36" w:name="OLE_LINK29"/>
      <w:bookmarkStart w:id="37" w:name="OLE_LINK30"/>
      <w:r w:rsidRPr="00EE6A26">
        <w:rPr>
          <w:rFonts w:asciiTheme="majorHAnsi" w:hAnsiTheme="majorHAnsi" w:cstheme="majorHAnsi"/>
          <w:i/>
          <w:sz w:val="20"/>
        </w:rPr>
        <w:t>: r.v.1995</w:t>
      </w:r>
      <w:bookmarkEnd w:id="36"/>
      <w:bookmarkEnd w:id="37"/>
    </w:p>
    <w:p w:rsidR="00EE6A26" w:rsidRPr="00EE6A26" w:rsidRDefault="00EE6A26" w:rsidP="00EE6A26">
      <w:pPr>
        <w:tabs>
          <w:tab w:val="left" w:pos="2127"/>
        </w:tabs>
        <w:rPr>
          <w:rFonts w:asciiTheme="majorHAnsi" w:hAnsiTheme="majorHAnsi" w:cstheme="majorHAnsi"/>
          <w:b/>
          <w:bCs/>
          <w:sz w:val="20"/>
        </w:rPr>
      </w:pPr>
      <w:r w:rsidRPr="00EE6A26">
        <w:rPr>
          <w:rFonts w:asciiTheme="majorHAnsi" w:hAnsiTheme="majorHAnsi" w:cstheme="majorHAnsi"/>
          <w:b/>
          <w:bCs/>
          <w:sz w:val="20"/>
        </w:rPr>
        <w:t xml:space="preserve">STN 33 2130/a </w:t>
      </w:r>
      <w:r w:rsidRPr="00EE6A26">
        <w:rPr>
          <w:rFonts w:asciiTheme="majorHAnsi" w:hAnsiTheme="majorHAnsi" w:cstheme="majorHAnsi"/>
          <w:b/>
          <w:bCs/>
          <w:sz w:val="20"/>
        </w:rPr>
        <w:tab/>
      </w:r>
      <w:r w:rsidRPr="00EE6A26">
        <w:rPr>
          <w:rFonts w:asciiTheme="majorHAnsi" w:hAnsiTheme="majorHAnsi" w:cstheme="majorHAnsi"/>
          <w:i/>
          <w:sz w:val="20"/>
        </w:rPr>
        <w:t>Elektrotechnické predpisy. Vnútorné elektrické rozvody: r.v.1995</w:t>
      </w:r>
    </w:p>
    <w:p w:rsidR="00EE6A26" w:rsidRPr="00EE6A26" w:rsidRDefault="00EE6A26" w:rsidP="00EE6A26">
      <w:pPr>
        <w:tabs>
          <w:tab w:val="left" w:pos="2127"/>
        </w:tabs>
        <w:rPr>
          <w:rFonts w:asciiTheme="majorHAnsi" w:hAnsiTheme="majorHAnsi" w:cstheme="majorHAnsi"/>
          <w:i/>
          <w:sz w:val="20"/>
        </w:rPr>
      </w:pPr>
      <w:bookmarkStart w:id="38" w:name="OLE_LINK31"/>
      <w:r w:rsidRPr="00EE6A26">
        <w:rPr>
          <w:rFonts w:asciiTheme="majorHAnsi" w:hAnsiTheme="majorHAnsi" w:cstheme="majorHAnsi"/>
          <w:b/>
          <w:bCs/>
          <w:sz w:val="20"/>
        </w:rPr>
        <w:t xml:space="preserve">STN 33 2130/Z2 </w:t>
      </w:r>
      <w:bookmarkEnd w:id="38"/>
      <w:r w:rsidRPr="00EE6A26">
        <w:rPr>
          <w:rFonts w:asciiTheme="majorHAnsi" w:hAnsiTheme="majorHAnsi" w:cstheme="majorHAnsi"/>
          <w:b/>
          <w:bCs/>
          <w:sz w:val="20"/>
        </w:rPr>
        <w:tab/>
      </w:r>
      <w:r w:rsidRPr="00EE6A26">
        <w:rPr>
          <w:rFonts w:asciiTheme="majorHAnsi" w:hAnsiTheme="majorHAnsi" w:cstheme="majorHAnsi"/>
          <w:i/>
          <w:sz w:val="20"/>
        </w:rPr>
        <w:t>Elektrotechnické predpisy. Vnútorné elektrické rozvody: r.v.1995</w:t>
      </w:r>
    </w:p>
    <w:p w:rsidR="00EE6A26" w:rsidRPr="00EE6A26" w:rsidRDefault="00EE6A26" w:rsidP="00EE6A26">
      <w:pPr>
        <w:tabs>
          <w:tab w:val="left" w:pos="2127"/>
        </w:tabs>
        <w:rPr>
          <w:rFonts w:asciiTheme="majorHAnsi" w:hAnsiTheme="majorHAnsi" w:cstheme="majorHAnsi"/>
          <w:i/>
          <w:sz w:val="20"/>
        </w:rPr>
      </w:pPr>
      <w:bookmarkStart w:id="39" w:name="OLE_LINK32"/>
      <w:r w:rsidRPr="00EE6A26">
        <w:rPr>
          <w:rFonts w:asciiTheme="majorHAnsi" w:hAnsiTheme="majorHAnsi" w:cstheme="majorHAnsi"/>
          <w:b/>
          <w:bCs/>
          <w:sz w:val="20"/>
        </w:rPr>
        <w:t xml:space="preserve">STN 33 2312 </w:t>
      </w:r>
      <w:bookmarkEnd w:id="39"/>
      <w:r w:rsidRPr="00EE6A26">
        <w:rPr>
          <w:rFonts w:asciiTheme="majorHAnsi" w:hAnsiTheme="majorHAnsi" w:cstheme="majorHAnsi"/>
          <w:b/>
          <w:bCs/>
          <w:sz w:val="20"/>
        </w:rPr>
        <w:tab/>
      </w:r>
      <w:r w:rsidRPr="00EE6A26">
        <w:rPr>
          <w:rFonts w:asciiTheme="majorHAnsi" w:hAnsiTheme="majorHAnsi" w:cstheme="majorHAnsi"/>
          <w:i/>
          <w:sz w:val="20"/>
        </w:rPr>
        <w:t xml:space="preserve">Elektrotechnické predpisy. </w:t>
      </w:r>
    </w:p>
    <w:p w:rsidR="00EE6A26" w:rsidRPr="00EE6A26" w:rsidRDefault="00EE6A26" w:rsidP="00EE6A26">
      <w:pPr>
        <w:tabs>
          <w:tab w:val="left" w:pos="2127"/>
        </w:tabs>
        <w:rPr>
          <w:rFonts w:asciiTheme="majorHAnsi" w:hAnsiTheme="majorHAnsi" w:cstheme="majorHAnsi"/>
          <w:i/>
          <w:sz w:val="20"/>
        </w:rPr>
      </w:pPr>
      <w:r w:rsidRPr="00EE6A26">
        <w:rPr>
          <w:rFonts w:asciiTheme="majorHAnsi" w:hAnsiTheme="majorHAnsi" w:cstheme="majorHAnsi"/>
          <w:i/>
          <w:sz w:val="20"/>
        </w:rPr>
        <w:tab/>
      </w:r>
      <w:r w:rsidRPr="00EE6A26">
        <w:rPr>
          <w:rFonts w:asciiTheme="majorHAnsi" w:hAnsiTheme="majorHAnsi" w:cstheme="majorHAnsi"/>
          <w:i/>
          <w:sz w:val="20"/>
        </w:rPr>
        <w:tab/>
        <w:t>Elektrické zariadenia malého a nízkeho napätie v pevných horľavých materiáloch a na nich. r.v.2013</w:t>
      </w:r>
    </w:p>
    <w:p w:rsidR="00EE6A26" w:rsidRPr="00EE6A26" w:rsidRDefault="00EE6A26" w:rsidP="00EE6A26">
      <w:pPr>
        <w:tabs>
          <w:tab w:val="left" w:pos="2127"/>
        </w:tabs>
        <w:rPr>
          <w:rFonts w:asciiTheme="majorHAnsi" w:hAnsiTheme="majorHAnsi" w:cstheme="majorHAnsi"/>
          <w:i/>
          <w:sz w:val="20"/>
        </w:rPr>
      </w:pPr>
      <w:bookmarkStart w:id="40" w:name="OLE_LINK33"/>
      <w:r w:rsidRPr="00EE6A26">
        <w:rPr>
          <w:rFonts w:asciiTheme="majorHAnsi" w:hAnsiTheme="majorHAnsi" w:cstheme="majorHAnsi"/>
          <w:b/>
          <w:bCs/>
          <w:sz w:val="20"/>
        </w:rPr>
        <w:t xml:space="preserve">STN 34 3100 </w:t>
      </w:r>
      <w:bookmarkEnd w:id="40"/>
      <w:r w:rsidRPr="00EE6A26">
        <w:rPr>
          <w:rFonts w:asciiTheme="majorHAnsi" w:hAnsiTheme="majorHAnsi" w:cstheme="majorHAnsi"/>
          <w:b/>
          <w:bCs/>
          <w:sz w:val="20"/>
        </w:rPr>
        <w:tab/>
      </w:r>
      <w:r w:rsidRPr="00EE6A26">
        <w:rPr>
          <w:rFonts w:asciiTheme="majorHAnsi" w:hAnsiTheme="majorHAnsi" w:cstheme="majorHAnsi"/>
          <w:i/>
          <w:sz w:val="20"/>
        </w:rPr>
        <w:t>Bezpečnostné požiadavky na obsluhu a prácu na elektrických inštaláciách: r.v.2001</w:t>
      </w:r>
    </w:p>
    <w:p w:rsidR="00EE6A26" w:rsidRPr="00EE6A26" w:rsidRDefault="00EE6A26" w:rsidP="00EE6A26">
      <w:pPr>
        <w:rPr>
          <w:rFonts w:asciiTheme="majorHAnsi" w:hAnsiTheme="majorHAnsi" w:cstheme="majorHAnsi"/>
          <w:i/>
          <w:sz w:val="20"/>
          <w:shd w:val="clear" w:color="auto" w:fill="FFFFFF"/>
        </w:rPr>
      </w:pPr>
      <w:r w:rsidRPr="00EE6A26">
        <w:rPr>
          <w:rStyle w:val="formtitle"/>
          <w:rFonts w:asciiTheme="majorHAnsi" w:hAnsiTheme="majorHAnsi" w:cstheme="majorHAnsi"/>
          <w:b/>
          <w:bCs/>
          <w:sz w:val="20"/>
        </w:rPr>
        <w:t>STN 34 7409</w:t>
      </w:r>
      <w:r w:rsidRPr="00EE6A26">
        <w:rPr>
          <w:rStyle w:val="formtitle"/>
          <w:rFonts w:asciiTheme="majorHAnsi" w:hAnsiTheme="majorHAnsi" w:cstheme="majorHAnsi"/>
          <w:b/>
          <w:bCs/>
          <w:sz w:val="20"/>
        </w:rPr>
        <w:tab/>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Systém označovania káblov a vodičov: r.v.2001</w:t>
      </w:r>
    </w:p>
    <w:p w:rsidR="00EE6A26" w:rsidRPr="00EE6A26" w:rsidRDefault="00EE6A26" w:rsidP="00EE6A26">
      <w:pPr>
        <w:tabs>
          <w:tab w:val="left" w:pos="2127"/>
        </w:tabs>
        <w:ind w:left="2124" w:hanging="2124"/>
        <w:rPr>
          <w:rFonts w:asciiTheme="majorHAnsi" w:hAnsiTheme="majorHAnsi" w:cstheme="majorHAnsi"/>
          <w:i/>
          <w:sz w:val="20"/>
        </w:rPr>
      </w:pPr>
      <w:r w:rsidRPr="00EE6A26">
        <w:rPr>
          <w:rStyle w:val="formtitle"/>
          <w:rFonts w:asciiTheme="majorHAnsi" w:hAnsiTheme="majorHAnsi" w:cstheme="majorHAnsi"/>
          <w:b/>
          <w:bCs/>
          <w:sz w:val="20"/>
        </w:rPr>
        <w:t>STN 34 7661</w:t>
      </w:r>
      <w:r w:rsidRPr="00EE6A26">
        <w:rPr>
          <w:rStyle w:val="formtitle"/>
          <w:rFonts w:asciiTheme="majorHAnsi" w:hAnsiTheme="majorHAnsi" w:cstheme="majorHAnsi"/>
          <w:b/>
          <w:bCs/>
          <w:sz w:val="20"/>
        </w:rPr>
        <w:tab/>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Výrobky na rozvod elektrickej energie, riadenie a komunikáciu na účely protipožiarnej bezpečnosti stavieb. Káble a vodiče: r.v.2013</w:t>
      </w:r>
    </w:p>
    <w:p w:rsidR="00EE6A26" w:rsidRPr="00EE6A26" w:rsidRDefault="00EE6A26" w:rsidP="00EE6A26">
      <w:pPr>
        <w:tabs>
          <w:tab w:val="left" w:pos="2127"/>
        </w:tabs>
        <w:rPr>
          <w:rFonts w:asciiTheme="majorHAnsi" w:hAnsiTheme="majorHAnsi" w:cstheme="majorHAnsi"/>
          <w:i/>
          <w:sz w:val="20"/>
        </w:rPr>
      </w:pPr>
      <w:bookmarkStart w:id="41" w:name="OLE_LINK34"/>
      <w:r w:rsidRPr="00EE6A26">
        <w:rPr>
          <w:rFonts w:asciiTheme="majorHAnsi" w:hAnsiTheme="majorHAnsi" w:cstheme="majorHAnsi"/>
          <w:b/>
          <w:bCs/>
          <w:sz w:val="20"/>
        </w:rPr>
        <w:t>STN 33 3210</w:t>
      </w:r>
      <w:bookmarkEnd w:id="41"/>
      <w:r w:rsidRPr="00EE6A26">
        <w:rPr>
          <w:rFonts w:asciiTheme="majorHAnsi" w:hAnsiTheme="majorHAnsi" w:cstheme="majorHAnsi"/>
          <w:b/>
          <w:bCs/>
          <w:sz w:val="20"/>
        </w:rPr>
        <w:tab/>
      </w:r>
      <w:r w:rsidRPr="00EE6A26">
        <w:rPr>
          <w:rFonts w:asciiTheme="majorHAnsi" w:hAnsiTheme="majorHAnsi" w:cstheme="majorHAnsi"/>
          <w:i/>
          <w:sz w:val="20"/>
        </w:rPr>
        <w:t>Elektrotechnické predpisy. Rozvodné zariadenia. Spoločné ustanovenia: r.v.1986</w:t>
      </w:r>
    </w:p>
    <w:p w:rsidR="00EE6A26" w:rsidRPr="00EE6A26" w:rsidRDefault="00EE6A26" w:rsidP="00EE6A26">
      <w:pPr>
        <w:tabs>
          <w:tab w:val="left" w:pos="2127"/>
        </w:tabs>
        <w:rPr>
          <w:rFonts w:asciiTheme="majorHAnsi" w:hAnsiTheme="majorHAnsi" w:cstheme="majorHAnsi"/>
          <w:sz w:val="20"/>
        </w:rPr>
      </w:pPr>
      <w:bookmarkStart w:id="42" w:name="OLE_LINK35"/>
      <w:r w:rsidRPr="00EE6A26">
        <w:rPr>
          <w:rFonts w:asciiTheme="majorHAnsi" w:hAnsiTheme="majorHAnsi" w:cstheme="majorHAnsi"/>
          <w:b/>
          <w:bCs/>
          <w:sz w:val="20"/>
        </w:rPr>
        <w:t>STN 33 3210/Z1</w:t>
      </w:r>
      <w:bookmarkEnd w:id="42"/>
      <w:r w:rsidRPr="00EE6A26">
        <w:rPr>
          <w:rFonts w:asciiTheme="majorHAnsi" w:hAnsiTheme="majorHAnsi" w:cstheme="majorHAnsi"/>
          <w:b/>
          <w:bCs/>
          <w:sz w:val="20"/>
        </w:rPr>
        <w:tab/>
      </w:r>
      <w:r w:rsidRPr="00EE6A26">
        <w:rPr>
          <w:rFonts w:asciiTheme="majorHAnsi" w:hAnsiTheme="majorHAnsi" w:cstheme="majorHAnsi"/>
          <w:i/>
          <w:sz w:val="20"/>
        </w:rPr>
        <w:t>Elektrotechnické predpisy. Rozvodné zariadenia. Spoločné ustanovenia: r.v.2005</w:t>
      </w:r>
    </w:p>
    <w:p w:rsidR="00EE6A26" w:rsidRPr="00EE6A26" w:rsidRDefault="00EE6A26" w:rsidP="00EE6A26">
      <w:pPr>
        <w:rPr>
          <w:rFonts w:asciiTheme="majorHAnsi" w:hAnsiTheme="majorHAnsi" w:cstheme="majorHAnsi"/>
          <w:i/>
          <w:sz w:val="20"/>
        </w:rPr>
      </w:pPr>
      <w:bookmarkStart w:id="43" w:name="OLE_LINK39"/>
      <w:r w:rsidRPr="00EE6A26">
        <w:rPr>
          <w:rFonts w:asciiTheme="majorHAnsi" w:hAnsiTheme="majorHAnsi" w:cstheme="majorHAnsi"/>
          <w:b/>
          <w:bCs/>
          <w:sz w:val="20"/>
        </w:rPr>
        <w:t>STN EN 60529</w:t>
      </w:r>
      <w:bookmarkEnd w:id="43"/>
      <w:r w:rsidRPr="00EE6A26">
        <w:rPr>
          <w:rFonts w:asciiTheme="majorHAnsi" w:hAnsiTheme="majorHAnsi" w:cstheme="majorHAnsi"/>
          <w:b/>
          <w:bCs/>
          <w:sz w:val="20"/>
        </w:rPr>
        <w:tab/>
      </w:r>
      <w:r w:rsidRPr="00EE6A26">
        <w:rPr>
          <w:rFonts w:asciiTheme="majorHAnsi" w:hAnsiTheme="majorHAnsi" w:cstheme="majorHAnsi"/>
          <w:b/>
          <w:bCs/>
          <w:sz w:val="20"/>
        </w:rPr>
        <w:tab/>
      </w:r>
      <w:r w:rsidRPr="00EE6A26">
        <w:rPr>
          <w:rFonts w:asciiTheme="majorHAnsi" w:hAnsiTheme="majorHAnsi" w:cstheme="majorHAnsi"/>
          <w:i/>
          <w:sz w:val="20"/>
        </w:rPr>
        <w:t>Stupeň ochrany krytom ( krytie – IP kód ): r.v.1993</w:t>
      </w:r>
    </w:p>
    <w:p w:rsidR="00EE6A26" w:rsidRPr="00EE6A26" w:rsidRDefault="00EE6A26" w:rsidP="00EE6A26">
      <w:pPr>
        <w:tabs>
          <w:tab w:val="left" w:pos="2127"/>
        </w:tabs>
        <w:ind w:left="2124" w:hanging="2124"/>
        <w:rPr>
          <w:rFonts w:asciiTheme="majorHAnsi" w:hAnsiTheme="majorHAnsi" w:cstheme="majorHAnsi"/>
          <w:i/>
          <w:sz w:val="20"/>
        </w:rPr>
      </w:pPr>
      <w:bookmarkStart w:id="44" w:name="OLE_LINK87"/>
      <w:r w:rsidRPr="00EE6A26">
        <w:rPr>
          <w:rStyle w:val="formtitle"/>
          <w:rFonts w:asciiTheme="majorHAnsi" w:hAnsiTheme="majorHAnsi" w:cstheme="majorHAnsi"/>
          <w:b/>
          <w:bCs/>
          <w:sz w:val="20"/>
        </w:rPr>
        <w:t>STN EN 62262/C1</w:t>
      </w:r>
      <w:r w:rsidRPr="00EE6A26">
        <w:rPr>
          <w:rStyle w:val="formtitle"/>
          <w:rFonts w:asciiTheme="majorHAnsi" w:hAnsiTheme="majorHAnsi" w:cstheme="majorHAnsi"/>
          <w:b/>
          <w:bCs/>
          <w:sz w:val="20"/>
        </w:rPr>
        <w:tab/>
      </w:r>
      <w:r w:rsidRPr="00EE6A26">
        <w:rPr>
          <w:rStyle w:val="formtitle"/>
          <w:rFonts w:asciiTheme="majorHAnsi" w:hAnsiTheme="majorHAnsi" w:cstheme="majorHAnsi"/>
          <w:bCs/>
          <w:i/>
          <w:sz w:val="20"/>
        </w:rPr>
        <w:t>S</w:t>
      </w:r>
      <w:r w:rsidRPr="00EE6A26">
        <w:rPr>
          <w:rFonts w:asciiTheme="majorHAnsi" w:hAnsiTheme="majorHAnsi" w:cstheme="majorHAnsi"/>
          <w:i/>
          <w:sz w:val="20"/>
          <w:shd w:val="clear" w:color="auto" w:fill="FFFFFF"/>
        </w:rPr>
        <w:t>tupne ochrany elektrických zariadení proti vonkajším mechanickým nárazom krytmi (kód IK): r.v.2003</w:t>
      </w:r>
      <w:bookmarkEnd w:id="44"/>
    </w:p>
    <w:p w:rsidR="00EE6A26" w:rsidRPr="00EE6A26" w:rsidRDefault="00EE6A26" w:rsidP="00EE6A26">
      <w:pPr>
        <w:rPr>
          <w:rFonts w:asciiTheme="majorHAnsi" w:hAnsiTheme="majorHAnsi" w:cstheme="majorHAnsi"/>
          <w:i/>
          <w:sz w:val="20"/>
        </w:rPr>
      </w:pPr>
      <w:bookmarkStart w:id="45" w:name="OLE_LINK41"/>
      <w:bookmarkStart w:id="46" w:name="OLE_LINK42"/>
      <w:r w:rsidRPr="00EE6A26">
        <w:rPr>
          <w:rFonts w:asciiTheme="majorHAnsi" w:hAnsiTheme="majorHAnsi" w:cstheme="majorHAnsi"/>
          <w:b/>
          <w:bCs/>
          <w:sz w:val="20"/>
        </w:rPr>
        <w:t>STN EN 62305-1</w:t>
      </w:r>
      <w:bookmarkEnd w:id="45"/>
      <w:bookmarkEnd w:id="46"/>
      <w:r w:rsidRPr="00EE6A26">
        <w:rPr>
          <w:rFonts w:asciiTheme="majorHAnsi" w:hAnsiTheme="majorHAnsi" w:cstheme="majorHAnsi"/>
          <w:b/>
          <w:bCs/>
          <w:sz w:val="20"/>
        </w:rPr>
        <w:tab/>
      </w:r>
      <w:r w:rsidRPr="00EE6A26">
        <w:rPr>
          <w:rFonts w:asciiTheme="majorHAnsi" w:hAnsiTheme="majorHAnsi" w:cstheme="majorHAnsi"/>
          <w:b/>
          <w:bCs/>
          <w:sz w:val="20"/>
        </w:rPr>
        <w:tab/>
      </w:r>
      <w:r w:rsidRPr="00EE6A26">
        <w:rPr>
          <w:rFonts w:asciiTheme="majorHAnsi" w:hAnsiTheme="majorHAnsi" w:cstheme="majorHAnsi"/>
          <w:i/>
          <w:sz w:val="20"/>
        </w:rPr>
        <w:t>Ochrana pred bleskom. Časť 1: Všeobecné princípy: r.v.2012</w:t>
      </w:r>
    </w:p>
    <w:p w:rsidR="00EE6A26" w:rsidRPr="00EE6A26" w:rsidRDefault="00EE6A26" w:rsidP="00EE6A26">
      <w:pPr>
        <w:rPr>
          <w:rFonts w:asciiTheme="majorHAnsi" w:hAnsiTheme="majorHAnsi" w:cstheme="majorHAnsi"/>
          <w:i/>
          <w:sz w:val="20"/>
        </w:rPr>
      </w:pPr>
      <w:r w:rsidRPr="00EE6A26">
        <w:rPr>
          <w:rFonts w:asciiTheme="majorHAnsi" w:hAnsiTheme="majorHAnsi" w:cstheme="majorHAnsi"/>
          <w:b/>
          <w:bCs/>
          <w:sz w:val="20"/>
        </w:rPr>
        <w:t xml:space="preserve">STN EN 62305-2 </w:t>
      </w:r>
      <w:r w:rsidRPr="00EE6A26">
        <w:rPr>
          <w:rFonts w:asciiTheme="majorHAnsi" w:hAnsiTheme="majorHAnsi" w:cstheme="majorHAnsi"/>
          <w:b/>
          <w:bCs/>
          <w:sz w:val="20"/>
        </w:rPr>
        <w:tab/>
      </w:r>
      <w:r w:rsidRPr="00EE6A26">
        <w:rPr>
          <w:rFonts w:asciiTheme="majorHAnsi" w:hAnsiTheme="majorHAnsi" w:cstheme="majorHAnsi"/>
          <w:b/>
          <w:bCs/>
          <w:sz w:val="20"/>
        </w:rPr>
        <w:tab/>
      </w:r>
      <w:r w:rsidRPr="00EE6A26">
        <w:rPr>
          <w:rFonts w:asciiTheme="majorHAnsi" w:hAnsiTheme="majorHAnsi" w:cstheme="majorHAnsi"/>
          <w:i/>
          <w:sz w:val="20"/>
        </w:rPr>
        <w:t>Ochrana pri zásahu blesku. Časť 2: Manažérstvo rizika: r.v.2013</w:t>
      </w:r>
    </w:p>
    <w:p w:rsidR="00EE6A26" w:rsidRPr="00EE6A26" w:rsidRDefault="00EE6A26" w:rsidP="00EE6A26">
      <w:pPr>
        <w:rPr>
          <w:rFonts w:asciiTheme="majorHAnsi" w:hAnsiTheme="majorHAnsi" w:cstheme="majorHAnsi"/>
          <w:i/>
          <w:sz w:val="20"/>
        </w:rPr>
      </w:pPr>
      <w:r w:rsidRPr="00EE6A26">
        <w:rPr>
          <w:rFonts w:asciiTheme="majorHAnsi" w:hAnsiTheme="majorHAnsi" w:cstheme="majorHAnsi"/>
          <w:b/>
          <w:bCs/>
          <w:sz w:val="20"/>
        </w:rPr>
        <w:t>STN EN 62305-3</w:t>
      </w:r>
      <w:r w:rsidRPr="00EE6A26">
        <w:rPr>
          <w:rFonts w:asciiTheme="majorHAnsi" w:hAnsiTheme="majorHAnsi" w:cstheme="majorHAnsi"/>
          <w:b/>
          <w:bCs/>
          <w:sz w:val="20"/>
        </w:rPr>
        <w:tab/>
      </w:r>
      <w:r w:rsidRPr="00EE6A26">
        <w:rPr>
          <w:rFonts w:asciiTheme="majorHAnsi" w:hAnsiTheme="majorHAnsi" w:cstheme="majorHAnsi"/>
          <w:b/>
          <w:bCs/>
          <w:sz w:val="20"/>
        </w:rPr>
        <w:tab/>
      </w:r>
      <w:r w:rsidRPr="00EE6A26">
        <w:rPr>
          <w:rFonts w:asciiTheme="majorHAnsi" w:hAnsiTheme="majorHAnsi" w:cstheme="majorHAnsi"/>
          <w:i/>
          <w:sz w:val="20"/>
        </w:rPr>
        <w:t>Ochrana pred bleskom. Časť 3: Hmotné škody na stavbách a ohrozenie života: r.v.2012</w:t>
      </w:r>
    </w:p>
    <w:p w:rsidR="00EE6A26" w:rsidRPr="00EE6A26" w:rsidRDefault="00EE6A26" w:rsidP="00EE6A26">
      <w:pPr>
        <w:rPr>
          <w:rFonts w:asciiTheme="majorHAnsi" w:hAnsiTheme="majorHAnsi" w:cstheme="majorHAnsi"/>
          <w:i/>
          <w:sz w:val="20"/>
        </w:rPr>
      </w:pPr>
      <w:r w:rsidRPr="00EE6A26">
        <w:rPr>
          <w:rFonts w:asciiTheme="majorHAnsi" w:hAnsiTheme="majorHAnsi" w:cstheme="majorHAnsi"/>
          <w:b/>
          <w:bCs/>
          <w:sz w:val="20"/>
        </w:rPr>
        <w:t>STN EN 62305-4</w:t>
      </w:r>
      <w:r w:rsidRPr="00EE6A26">
        <w:rPr>
          <w:rFonts w:asciiTheme="majorHAnsi" w:hAnsiTheme="majorHAnsi" w:cstheme="majorHAnsi"/>
          <w:b/>
          <w:bCs/>
          <w:sz w:val="20"/>
        </w:rPr>
        <w:tab/>
      </w:r>
      <w:r w:rsidRPr="00EE6A26">
        <w:rPr>
          <w:rFonts w:asciiTheme="majorHAnsi" w:hAnsiTheme="majorHAnsi" w:cstheme="majorHAnsi"/>
          <w:b/>
          <w:bCs/>
          <w:sz w:val="20"/>
        </w:rPr>
        <w:tab/>
      </w:r>
      <w:r w:rsidRPr="00EE6A26">
        <w:rPr>
          <w:rFonts w:asciiTheme="majorHAnsi" w:hAnsiTheme="majorHAnsi" w:cstheme="majorHAnsi"/>
          <w:i/>
          <w:sz w:val="20"/>
        </w:rPr>
        <w:t>Ochrana pred bleskom. Časť 4: Elektrické a elektronické systémy v stavbách: r.v.2013</w:t>
      </w:r>
    </w:p>
    <w:p w:rsidR="00EE6A26" w:rsidRPr="00EE6A26" w:rsidRDefault="00EE6A26" w:rsidP="00EE6A26">
      <w:pPr>
        <w:tabs>
          <w:tab w:val="left" w:pos="2127"/>
        </w:tabs>
        <w:ind w:left="2124" w:hanging="2121"/>
        <w:rPr>
          <w:rFonts w:asciiTheme="majorHAnsi" w:hAnsiTheme="majorHAnsi" w:cstheme="majorHAnsi"/>
          <w:i/>
          <w:sz w:val="20"/>
        </w:rPr>
      </w:pPr>
      <w:bookmarkStart w:id="47" w:name="OLE_LINK43"/>
      <w:bookmarkStart w:id="48" w:name="OLE_LINK44"/>
      <w:bookmarkStart w:id="49" w:name="OLE_LINK77"/>
      <w:bookmarkStart w:id="50" w:name="OLE_LINK78"/>
      <w:r w:rsidRPr="00EE6A26">
        <w:rPr>
          <w:rFonts w:asciiTheme="majorHAnsi" w:hAnsiTheme="majorHAnsi" w:cstheme="majorHAnsi"/>
          <w:b/>
          <w:bCs/>
          <w:sz w:val="20"/>
        </w:rPr>
        <w:t>STN EN 61008</w:t>
      </w:r>
      <w:bookmarkEnd w:id="47"/>
      <w:bookmarkEnd w:id="48"/>
      <w:r w:rsidRPr="00EE6A26">
        <w:rPr>
          <w:rFonts w:asciiTheme="majorHAnsi" w:hAnsiTheme="majorHAnsi" w:cstheme="majorHAnsi"/>
          <w:b/>
          <w:bCs/>
          <w:sz w:val="20"/>
        </w:rPr>
        <w:t>-1/A2</w:t>
      </w:r>
      <w:r w:rsidRPr="00EE6A26">
        <w:rPr>
          <w:rFonts w:asciiTheme="majorHAnsi" w:hAnsiTheme="majorHAnsi" w:cstheme="majorHAnsi"/>
          <w:b/>
          <w:bCs/>
          <w:sz w:val="20"/>
        </w:rPr>
        <w:tab/>
      </w:r>
      <w:r w:rsidRPr="00EE6A26">
        <w:rPr>
          <w:rFonts w:asciiTheme="majorHAnsi" w:hAnsiTheme="majorHAnsi" w:cstheme="majorHAnsi"/>
          <w:i/>
          <w:sz w:val="20"/>
        </w:rPr>
        <w:t xml:space="preserve">Prúdové chrániče bez vstavanej nadprúdovej ochrany pre domácnosť a na podobné použitie (RCCB). </w:t>
      </w:r>
    </w:p>
    <w:p w:rsidR="00EE6A26" w:rsidRPr="00EE6A26" w:rsidRDefault="00EE6A26" w:rsidP="00EE6A26">
      <w:pPr>
        <w:tabs>
          <w:tab w:val="left" w:pos="2127"/>
        </w:tabs>
        <w:ind w:left="2124" w:hanging="2121"/>
        <w:rPr>
          <w:rFonts w:asciiTheme="majorHAnsi" w:hAnsiTheme="majorHAnsi" w:cstheme="majorHAnsi"/>
          <w:i/>
          <w:sz w:val="20"/>
        </w:rPr>
      </w:pPr>
      <w:r w:rsidRPr="00EE6A26">
        <w:rPr>
          <w:rFonts w:asciiTheme="majorHAnsi" w:hAnsiTheme="majorHAnsi" w:cstheme="majorHAnsi"/>
          <w:b/>
          <w:bCs/>
          <w:sz w:val="20"/>
        </w:rPr>
        <w:tab/>
      </w:r>
      <w:r w:rsidRPr="00EE6A26">
        <w:rPr>
          <w:rFonts w:asciiTheme="majorHAnsi" w:hAnsiTheme="majorHAnsi" w:cstheme="majorHAnsi"/>
          <w:b/>
          <w:bCs/>
          <w:sz w:val="20"/>
        </w:rPr>
        <w:tab/>
      </w:r>
      <w:r w:rsidRPr="00EE6A26">
        <w:rPr>
          <w:rFonts w:asciiTheme="majorHAnsi" w:hAnsiTheme="majorHAnsi" w:cstheme="majorHAnsi"/>
          <w:i/>
          <w:sz w:val="20"/>
        </w:rPr>
        <w:t>Časť 1: Všeobecné pravidlá: r.v.2015</w:t>
      </w:r>
    </w:p>
    <w:bookmarkEnd w:id="49"/>
    <w:bookmarkEnd w:id="50"/>
    <w:p w:rsidR="00EE6A26" w:rsidRPr="00EE6A26" w:rsidRDefault="00EE6A26" w:rsidP="00EE6A26">
      <w:pPr>
        <w:tabs>
          <w:tab w:val="left" w:pos="2127"/>
        </w:tabs>
        <w:ind w:firstLine="3"/>
        <w:rPr>
          <w:rFonts w:asciiTheme="majorHAnsi" w:hAnsiTheme="majorHAnsi" w:cstheme="majorHAnsi"/>
          <w:i/>
          <w:sz w:val="20"/>
        </w:rPr>
      </w:pPr>
      <w:r w:rsidRPr="00EE6A26">
        <w:rPr>
          <w:rFonts w:asciiTheme="majorHAnsi" w:hAnsiTheme="majorHAnsi" w:cstheme="majorHAnsi"/>
          <w:b/>
          <w:bCs/>
          <w:sz w:val="20"/>
        </w:rPr>
        <w:lastRenderedPageBreak/>
        <w:t>STN EN 61008-1/A2</w:t>
      </w:r>
      <w:r w:rsidRPr="00EE6A26">
        <w:rPr>
          <w:rFonts w:asciiTheme="majorHAnsi" w:hAnsiTheme="majorHAnsi" w:cstheme="majorHAnsi"/>
          <w:b/>
          <w:bCs/>
          <w:sz w:val="20"/>
        </w:rPr>
        <w:tab/>
      </w:r>
      <w:r w:rsidRPr="00EE6A26">
        <w:rPr>
          <w:rFonts w:asciiTheme="majorHAnsi" w:hAnsiTheme="majorHAnsi" w:cstheme="majorHAnsi"/>
          <w:i/>
          <w:sz w:val="20"/>
        </w:rPr>
        <w:t>Prúdové chrániče so vstávanou nadprúdovou ochranou pre domácnosť a na podobné použitie (RCBO).</w:t>
      </w:r>
    </w:p>
    <w:p w:rsidR="00EE6A26" w:rsidRPr="00EE6A26" w:rsidRDefault="00EE6A26" w:rsidP="00EE6A26">
      <w:pPr>
        <w:tabs>
          <w:tab w:val="left" w:pos="2127"/>
        </w:tabs>
        <w:ind w:firstLine="3"/>
        <w:rPr>
          <w:rFonts w:asciiTheme="majorHAnsi" w:hAnsiTheme="majorHAnsi" w:cstheme="majorHAnsi"/>
          <w:i/>
          <w:sz w:val="20"/>
        </w:rPr>
      </w:pPr>
      <w:r w:rsidRPr="00EE6A26">
        <w:rPr>
          <w:rFonts w:asciiTheme="majorHAnsi" w:hAnsiTheme="majorHAnsi" w:cstheme="majorHAnsi"/>
          <w:i/>
          <w:sz w:val="20"/>
        </w:rPr>
        <w:t xml:space="preserve"> </w:t>
      </w:r>
      <w:r w:rsidRPr="00EE6A26">
        <w:rPr>
          <w:rFonts w:asciiTheme="majorHAnsi" w:hAnsiTheme="majorHAnsi" w:cstheme="majorHAnsi"/>
          <w:i/>
          <w:sz w:val="20"/>
        </w:rPr>
        <w:tab/>
      </w:r>
      <w:r w:rsidRPr="00EE6A26">
        <w:rPr>
          <w:rFonts w:asciiTheme="majorHAnsi" w:hAnsiTheme="majorHAnsi" w:cstheme="majorHAnsi"/>
          <w:i/>
          <w:sz w:val="20"/>
        </w:rPr>
        <w:tab/>
        <w:t>Časť 1: Všeobecné pravidlá: r.v.2015</w:t>
      </w:r>
    </w:p>
    <w:p w:rsidR="00EE6A26" w:rsidRPr="00EE6A26" w:rsidRDefault="00EE6A26" w:rsidP="00EE6A26">
      <w:pPr>
        <w:tabs>
          <w:tab w:val="left" w:pos="2127"/>
        </w:tabs>
        <w:ind w:firstLine="3"/>
        <w:rPr>
          <w:rFonts w:asciiTheme="majorHAnsi" w:hAnsiTheme="majorHAnsi" w:cstheme="majorHAnsi"/>
          <w:i/>
          <w:sz w:val="20"/>
        </w:rPr>
      </w:pPr>
      <w:bookmarkStart w:id="51" w:name="OLE_LINK45"/>
      <w:r w:rsidRPr="00EE6A26">
        <w:rPr>
          <w:rFonts w:asciiTheme="majorHAnsi" w:hAnsiTheme="majorHAnsi" w:cstheme="majorHAnsi"/>
          <w:b/>
          <w:sz w:val="20"/>
        </w:rPr>
        <w:t>STN 33 2000-7-703</w:t>
      </w:r>
      <w:bookmarkEnd w:id="51"/>
      <w:r w:rsidRPr="00EE6A26">
        <w:rPr>
          <w:rFonts w:asciiTheme="majorHAnsi" w:hAnsiTheme="majorHAnsi" w:cstheme="majorHAnsi"/>
          <w:b/>
          <w:sz w:val="20"/>
        </w:rPr>
        <w:tab/>
      </w:r>
      <w:r w:rsidRPr="00EE6A26">
        <w:rPr>
          <w:rFonts w:asciiTheme="majorHAnsi" w:hAnsiTheme="majorHAnsi" w:cstheme="majorHAnsi"/>
          <w:i/>
          <w:sz w:val="20"/>
        </w:rPr>
        <w:t xml:space="preserve">El. inštalácie budov. Časť 7-703:Požiadavky na osobitné inštalácie alebo priestory. </w:t>
      </w:r>
    </w:p>
    <w:p w:rsidR="00EE6A26" w:rsidRPr="00EE6A26" w:rsidRDefault="00EE6A26" w:rsidP="00EE6A26">
      <w:pPr>
        <w:tabs>
          <w:tab w:val="left" w:pos="2127"/>
        </w:tabs>
        <w:ind w:firstLine="3"/>
        <w:rPr>
          <w:rFonts w:asciiTheme="majorHAnsi" w:hAnsiTheme="majorHAnsi" w:cstheme="majorHAnsi"/>
          <w:sz w:val="20"/>
        </w:rPr>
      </w:pPr>
      <w:r w:rsidRPr="00EE6A26">
        <w:rPr>
          <w:rFonts w:asciiTheme="majorHAnsi" w:hAnsiTheme="majorHAnsi" w:cstheme="majorHAnsi"/>
          <w:i/>
          <w:sz w:val="20"/>
        </w:rPr>
        <w:tab/>
      </w:r>
      <w:r w:rsidRPr="00EE6A26">
        <w:rPr>
          <w:rFonts w:asciiTheme="majorHAnsi" w:hAnsiTheme="majorHAnsi" w:cstheme="majorHAnsi"/>
          <w:i/>
          <w:sz w:val="20"/>
        </w:rPr>
        <w:tab/>
        <w:t>Miestnosti a kabíny so saunovými ohrievačmi: r.v.2006</w:t>
      </w:r>
    </w:p>
    <w:p w:rsidR="00EE6A26" w:rsidRPr="00EE6A26" w:rsidRDefault="00EE6A26" w:rsidP="00EE6A26">
      <w:pPr>
        <w:pStyle w:val="Normlnywebov"/>
        <w:tabs>
          <w:tab w:val="left" w:pos="2127"/>
        </w:tabs>
        <w:spacing w:before="0" w:beforeAutospacing="0" w:after="0" w:afterAutospacing="0"/>
        <w:rPr>
          <w:rFonts w:asciiTheme="majorHAnsi" w:hAnsiTheme="majorHAnsi" w:cstheme="majorHAnsi"/>
          <w:i/>
          <w:sz w:val="20"/>
          <w:szCs w:val="20"/>
        </w:rPr>
      </w:pPr>
      <w:bookmarkStart w:id="52" w:name="OLE_LINK46"/>
      <w:bookmarkStart w:id="53" w:name="OLE_LINK49"/>
      <w:bookmarkStart w:id="54" w:name="OLE_LINK47"/>
      <w:bookmarkStart w:id="55" w:name="OLE_LINK48"/>
      <w:r w:rsidRPr="00EE6A26">
        <w:rPr>
          <w:rFonts w:asciiTheme="majorHAnsi" w:hAnsiTheme="majorHAnsi" w:cstheme="majorHAnsi"/>
          <w:b/>
          <w:sz w:val="20"/>
          <w:szCs w:val="20"/>
        </w:rPr>
        <w:t xml:space="preserve">STN </w:t>
      </w:r>
      <w:bookmarkEnd w:id="52"/>
      <w:r w:rsidRPr="00EE6A26">
        <w:rPr>
          <w:rFonts w:asciiTheme="majorHAnsi" w:hAnsiTheme="majorHAnsi" w:cstheme="majorHAnsi"/>
          <w:b/>
          <w:sz w:val="20"/>
          <w:szCs w:val="20"/>
        </w:rPr>
        <w:t>EN 60664-3</w:t>
      </w:r>
      <w:bookmarkEnd w:id="53"/>
      <w:r w:rsidRPr="00EE6A26">
        <w:rPr>
          <w:rFonts w:asciiTheme="majorHAnsi" w:hAnsiTheme="majorHAnsi" w:cstheme="majorHAnsi"/>
          <w:b/>
          <w:sz w:val="20"/>
          <w:szCs w:val="20"/>
        </w:rPr>
        <w:tab/>
      </w:r>
      <w:r w:rsidRPr="00EE6A26">
        <w:rPr>
          <w:rFonts w:asciiTheme="majorHAnsi" w:hAnsiTheme="majorHAnsi" w:cstheme="majorHAnsi"/>
          <w:i/>
          <w:sz w:val="20"/>
          <w:szCs w:val="20"/>
        </w:rPr>
        <w:t>Koordinácia izolácie zariadení v sieťach nízkeho napätia.</w:t>
      </w:r>
    </w:p>
    <w:p w:rsidR="00EE6A26" w:rsidRPr="00EE6A26" w:rsidRDefault="00EE6A26" w:rsidP="00EE6A26">
      <w:pPr>
        <w:pStyle w:val="Normlnywebov"/>
        <w:tabs>
          <w:tab w:val="left" w:pos="2127"/>
        </w:tabs>
        <w:spacing w:before="0" w:beforeAutospacing="0" w:after="0" w:afterAutospacing="0"/>
        <w:rPr>
          <w:rFonts w:asciiTheme="majorHAnsi" w:hAnsiTheme="majorHAnsi" w:cstheme="majorHAnsi"/>
          <w:sz w:val="20"/>
          <w:szCs w:val="20"/>
        </w:rPr>
      </w:pPr>
      <w:r w:rsidRPr="00EE6A26">
        <w:rPr>
          <w:rFonts w:asciiTheme="majorHAnsi" w:hAnsiTheme="majorHAnsi" w:cstheme="majorHAnsi"/>
          <w:i/>
          <w:sz w:val="20"/>
          <w:szCs w:val="20"/>
        </w:rPr>
        <w:tab/>
        <w:t>Časť 3: Použitie povlakov, zalievacích hmôt alebo výliskov na ochranu pred znečistením r.v.:2004</w:t>
      </w:r>
    </w:p>
    <w:p w:rsidR="00EE6A26" w:rsidRPr="00EE6A26" w:rsidRDefault="00EE6A26" w:rsidP="00EE6A26">
      <w:pPr>
        <w:pStyle w:val="Normlnywebov"/>
        <w:tabs>
          <w:tab w:val="left" w:pos="2127"/>
        </w:tabs>
        <w:spacing w:before="0" w:beforeAutospacing="0" w:after="0" w:afterAutospacing="0"/>
        <w:rPr>
          <w:rFonts w:asciiTheme="majorHAnsi" w:hAnsiTheme="majorHAnsi" w:cstheme="majorHAnsi"/>
          <w:sz w:val="20"/>
          <w:szCs w:val="20"/>
        </w:rPr>
      </w:pPr>
      <w:bookmarkStart w:id="56" w:name="OLE_LINK50"/>
      <w:bookmarkEnd w:id="54"/>
      <w:bookmarkEnd w:id="55"/>
      <w:r w:rsidRPr="00EE6A26">
        <w:rPr>
          <w:rFonts w:asciiTheme="majorHAnsi" w:hAnsiTheme="majorHAnsi" w:cstheme="majorHAnsi"/>
          <w:b/>
          <w:sz w:val="20"/>
          <w:szCs w:val="20"/>
        </w:rPr>
        <w:t>IEC 1312-1</w:t>
      </w:r>
      <w:bookmarkEnd w:id="56"/>
      <w:r w:rsidRPr="00EE6A26">
        <w:rPr>
          <w:rFonts w:asciiTheme="majorHAnsi" w:hAnsiTheme="majorHAnsi" w:cstheme="majorHAnsi"/>
          <w:sz w:val="20"/>
          <w:szCs w:val="20"/>
        </w:rPr>
        <w:tab/>
      </w:r>
      <w:r w:rsidRPr="00EE6A26">
        <w:rPr>
          <w:rFonts w:asciiTheme="majorHAnsi" w:hAnsiTheme="majorHAnsi" w:cstheme="majorHAnsi"/>
          <w:i/>
          <w:sz w:val="20"/>
          <w:szCs w:val="20"/>
        </w:rPr>
        <w:t>Ochrana pred elektro magnetickým impulzom spôsobeným bleskom.</w:t>
      </w:r>
    </w:p>
    <w:p w:rsidR="00EE6A26" w:rsidRPr="00EE6A26" w:rsidRDefault="00EE6A26" w:rsidP="00EE6A26">
      <w:pPr>
        <w:pStyle w:val="Normlnywebov"/>
        <w:tabs>
          <w:tab w:val="left" w:pos="2127"/>
        </w:tabs>
        <w:spacing w:before="0" w:beforeAutospacing="0" w:after="0" w:afterAutospacing="0"/>
        <w:rPr>
          <w:rFonts w:asciiTheme="majorHAnsi" w:hAnsiTheme="majorHAnsi" w:cstheme="majorHAnsi"/>
          <w:sz w:val="20"/>
          <w:szCs w:val="20"/>
        </w:rPr>
      </w:pPr>
      <w:bookmarkStart w:id="57" w:name="OLE_LINK51"/>
      <w:r w:rsidRPr="00EE6A26">
        <w:rPr>
          <w:rFonts w:asciiTheme="majorHAnsi" w:hAnsiTheme="majorHAnsi" w:cstheme="majorHAnsi"/>
          <w:b/>
          <w:sz w:val="20"/>
          <w:szCs w:val="20"/>
        </w:rPr>
        <w:t>STN 73 0834</w:t>
      </w:r>
      <w:bookmarkEnd w:id="57"/>
      <w:r w:rsidRPr="00EE6A26">
        <w:rPr>
          <w:rFonts w:asciiTheme="majorHAnsi" w:hAnsiTheme="majorHAnsi" w:cstheme="majorHAnsi"/>
          <w:b/>
          <w:sz w:val="20"/>
          <w:szCs w:val="20"/>
        </w:rPr>
        <w:tab/>
      </w:r>
      <w:r w:rsidRPr="00EE6A26">
        <w:rPr>
          <w:rFonts w:asciiTheme="majorHAnsi" w:hAnsiTheme="majorHAnsi" w:cstheme="majorHAnsi"/>
          <w:i/>
          <w:sz w:val="20"/>
          <w:szCs w:val="20"/>
        </w:rPr>
        <w:t>Požiarna bezpečnosť stavieb. Zmeny stavieb: r.v.2010</w:t>
      </w:r>
    </w:p>
    <w:p w:rsidR="00EE6A26" w:rsidRPr="00EE6A26" w:rsidRDefault="00EE6A26" w:rsidP="00EE6A26">
      <w:pPr>
        <w:pStyle w:val="Normlnywebov"/>
        <w:tabs>
          <w:tab w:val="left" w:pos="2127"/>
        </w:tabs>
        <w:spacing w:before="0" w:beforeAutospacing="0" w:after="0" w:afterAutospacing="0"/>
        <w:ind w:left="2124" w:hanging="2124"/>
        <w:rPr>
          <w:rFonts w:asciiTheme="majorHAnsi" w:hAnsiTheme="majorHAnsi" w:cstheme="majorHAnsi"/>
          <w:i/>
          <w:sz w:val="20"/>
          <w:szCs w:val="20"/>
        </w:rPr>
      </w:pPr>
      <w:bookmarkStart w:id="58" w:name="OLE_LINK52"/>
      <w:r w:rsidRPr="00EE6A26">
        <w:rPr>
          <w:rFonts w:asciiTheme="majorHAnsi" w:hAnsiTheme="majorHAnsi" w:cstheme="majorHAnsi"/>
          <w:b/>
          <w:sz w:val="20"/>
          <w:szCs w:val="20"/>
        </w:rPr>
        <w:t>STN 92 0205</w:t>
      </w:r>
      <w:bookmarkEnd w:id="58"/>
      <w:r w:rsidRPr="00EE6A26">
        <w:rPr>
          <w:rFonts w:asciiTheme="majorHAnsi" w:hAnsiTheme="majorHAnsi" w:cstheme="majorHAnsi"/>
          <w:sz w:val="20"/>
          <w:szCs w:val="20"/>
        </w:rPr>
        <w:tab/>
      </w:r>
      <w:r w:rsidRPr="00EE6A26">
        <w:rPr>
          <w:rFonts w:asciiTheme="majorHAnsi" w:hAnsiTheme="majorHAnsi" w:cstheme="majorHAnsi"/>
          <w:sz w:val="20"/>
          <w:szCs w:val="20"/>
        </w:rPr>
        <w:tab/>
      </w:r>
      <w:r w:rsidRPr="00EE6A26">
        <w:rPr>
          <w:rFonts w:asciiTheme="majorHAnsi" w:hAnsiTheme="majorHAnsi" w:cstheme="majorHAnsi"/>
          <w:i/>
          <w:sz w:val="20"/>
          <w:szCs w:val="20"/>
        </w:rPr>
        <w:t>Správanie sa stavebných výrobkov  a konštrukcií v požiari. Zachovanie funkčnej odolnosti káblových systémov. Požiadavky, skúšky, klasifikácia a aplikácia výsledkov skúšok: r.v.2014</w:t>
      </w:r>
    </w:p>
    <w:p w:rsidR="00EE6A26" w:rsidRPr="00EE6A26" w:rsidRDefault="00EE6A26" w:rsidP="00EE6A26">
      <w:pPr>
        <w:pStyle w:val="Normlnywebov"/>
        <w:tabs>
          <w:tab w:val="left" w:pos="2127"/>
        </w:tabs>
        <w:spacing w:before="0" w:beforeAutospacing="0" w:after="0" w:afterAutospacing="0"/>
        <w:rPr>
          <w:rFonts w:asciiTheme="majorHAnsi" w:hAnsiTheme="majorHAnsi" w:cstheme="majorHAnsi"/>
          <w:sz w:val="20"/>
          <w:szCs w:val="20"/>
        </w:rPr>
      </w:pPr>
      <w:bookmarkStart w:id="59" w:name="OLE_LINK53"/>
      <w:r w:rsidRPr="00EE6A26">
        <w:rPr>
          <w:rFonts w:asciiTheme="majorHAnsi" w:hAnsiTheme="majorHAnsi" w:cstheme="majorHAnsi"/>
          <w:b/>
          <w:sz w:val="20"/>
          <w:szCs w:val="20"/>
        </w:rPr>
        <w:t>STN 73 6005</w:t>
      </w:r>
      <w:bookmarkEnd w:id="59"/>
      <w:r w:rsidRPr="00EE6A26">
        <w:rPr>
          <w:rFonts w:asciiTheme="majorHAnsi" w:hAnsiTheme="majorHAnsi" w:cstheme="majorHAnsi"/>
          <w:sz w:val="20"/>
          <w:szCs w:val="20"/>
        </w:rPr>
        <w:tab/>
      </w:r>
      <w:r w:rsidRPr="00EE6A26">
        <w:rPr>
          <w:rFonts w:asciiTheme="majorHAnsi" w:hAnsiTheme="majorHAnsi" w:cstheme="majorHAnsi"/>
          <w:i/>
          <w:sz w:val="20"/>
          <w:szCs w:val="20"/>
        </w:rPr>
        <w:t>Priestorová úprava vedení technického vybavenia: r.v.2001</w:t>
      </w:r>
    </w:p>
    <w:p w:rsidR="00EE6A26" w:rsidRPr="00EE6A26" w:rsidRDefault="00EE6A26" w:rsidP="00EE6A26">
      <w:pPr>
        <w:pStyle w:val="Normlnywebov"/>
        <w:tabs>
          <w:tab w:val="left" w:pos="2127"/>
        </w:tabs>
        <w:spacing w:before="0" w:beforeAutospacing="0" w:after="0" w:afterAutospacing="0"/>
        <w:rPr>
          <w:rFonts w:asciiTheme="majorHAnsi" w:hAnsiTheme="majorHAnsi" w:cstheme="majorHAnsi"/>
          <w:sz w:val="20"/>
          <w:szCs w:val="20"/>
        </w:rPr>
      </w:pPr>
      <w:bookmarkStart w:id="60" w:name="OLE_LINK54"/>
      <w:r w:rsidRPr="00EE6A26">
        <w:rPr>
          <w:rFonts w:asciiTheme="majorHAnsi" w:hAnsiTheme="majorHAnsi" w:cstheme="majorHAnsi"/>
          <w:b/>
          <w:sz w:val="20"/>
          <w:szCs w:val="20"/>
        </w:rPr>
        <w:t>STN 73 6007</w:t>
      </w:r>
      <w:bookmarkEnd w:id="60"/>
      <w:r w:rsidRPr="00EE6A26">
        <w:rPr>
          <w:rFonts w:asciiTheme="majorHAnsi" w:hAnsiTheme="majorHAnsi" w:cstheme="majorHAnsi"/>
          <w:sz w:val="20"/>
          <w:szCs w:val="20"/>
        </w:rPr>
        <w:tab/>
      </w:r>
      <w:r w:rsidRPr="00EE6A26">
        <w:rPr>
          <w:rFonts w:asciiTheme="majorHAnsi" w:hAnsiTheme="majorHAnsi" w:cstheme="majorHAnsi"/>
          <w:i/>
          <w:sz w:val="20"/>
          <w:szCs w:val="20"/>
        </w:rPr>
        <w:t>Vizuálne a výstražné prostriedky z plastov na označovanie káblov a potrubí uložených v zemi: r.v.2009</w:t>
      </w:r>
    </w:p>
    <w:p w:rsidR="00EE6A26" w:rsidRPr="00EE6A26" w:rsidRDefault="00EE6A26" w:rsidP="00EE6A26">
      <w:pPr>
        <w:pStyle w:val="Normlnywebov"/>
        <w:tabs>
          <w:tab w:val="left" w:pos="2127"/>
        </w:tabs>
        <w:spacing w:before="0" w:beforeAutospacing="0" w:after="0" w:afterAutospacing="0"/>
        <w:ind w:left="2124" w:hanging="2121"/>
        <w:rPr>
          <w:rStyle w:val="formtext"/>
          <w:rFonts w:asciiTheme="majorHAnsi" w:hAnsiTheme="majorHAnsi" w:cstheme="majorHAnsi"/>
          <w:i/>
          <w:sz w:val="20"/>
          <w:szCs w:val="20"/>
        </w:rPr>
      </w:pPr>
      <w:bookmarkStart w:id="61" w:name="OLE_LINK55"/>
      <w:r w:rsidRPr="00EE6A26">
        <w:rPr>
          <w:rStyle w:val="formtitle"/>
          <w:rFonts w:asciiTheme="majorHAnsi" w:hAnsiTheme="majorHAnsi" w:cstheme="majorHAnsi"/>
          <w:b/>
          <w:bCs/>
          <w:sz w:val="20"/>
          <w:szCs w:val="20"/>
        </w:rPr>
        <w:t xml:space="preserve">STN EN 60445 </w:t>
      </w:r>
      <w:bookmarkEnd w:id="61"/>
      <w:r w:rsidRPr="00EE6A26">
        <w:rPr>
          <w:rStyle w:val="formtitle"/>
          <w:rFonts w:asciiTheme="majorHAnsi" w:hAnsiTheme="majorHAnsi" w:cstheme="majorHAnsi"/>
          <w:b/>
          <w:bCs/>
          <w:sz w:val="20"/>
          <w:szCs w:val="20"/>
        </w:rPr>
        <w:tab/>
      </w:r>
      <w:r w:rsidRPr="00EE6A26">
        <w:rPr>
          <w:rStyle w:val="formtext"/>
          <w:rFonts w:asciiTheme="majorHAnsi" w:hAnsiTheme="majorHAnsi" w:cstheme="majorHAnsi"/>
          <w:i/>
          <w:sz w:val="20"/>
          <w:szCs w:val="20"/>
        </w:rPr>
        <w:t>Základné a bezpečnostné zásady pre rozhranie človek-stroj, označovanie a identifikácia. Identifikácia svoriek zariadení a prípojov vodičov a vodičov: r.v.2011</w:t>
      </w:r>
    </w:p>
    <w:p w:rsidR="00EE6A26" w:rsidRPr="00EE6A26" w:rsidRDefault="00EE6A26" w:rsidP="00EE6A26">
      <w:pPr>
        <w:tabs>
          <w:tab w:val="left" w:pos="2127"/>
        </w:tabs>
        <w:ind w:firstLine="3"/>
        <w:rPr>
          <w:rFonts w:asciiTheme="majorHAnsi" w:hAnsiTheme="majorHAnsi" w:cstheme="majorHAnsi"/>
          <w:i/>
          <w:sz w:val="20"/>
        </w:rPr>
      </w:pPr>
      <w:bookmarkStart w:id="62" w:name="OLE_LINK56"/>
      <w:bookmarkStart w:id="63" w:name="OLE_LINK57"/>
      <w:r w:rsidRPr="00EE6A26">
        <w:rPr>
          <w:rStyle w:val="formtitle"/>
          <w:rFonts w:asciiTheme="majorHAnsi" w:hAnsiTheme="majorHAnsi" w:cstheme="majorHAnsi"/>
          <w:b/>
          <w:bCs/>
          <w:sz w:val="20"/>
        </w:rPr>
        <w:t>STN EN 50173-1</w:t>
      </w:r>
      <w:bookmarkEnd w:id="62"/>
      <w:bookmarkEnd w:id="63"/>
      <w:r w:rsidRPr="00EE6A26">
        <w:rPr>
          <w:rStyle w:val="formtitle"/>
          <w:rFonts w:asciiTheme="majorHAnsi" w:hAnsiTheme="majorHAnsi" w:cstheme="majorHAnsi"/>
          <w:b/>
          <w:bCs/>
          <w:sz w:val="20"/>
        </w:rPr>
        <w:tab/>
      </w:r>
      <w:r w:rsidRPr="00EE6A26">
        <w:rPr>
          <w:rFonts w:asciiTheme="majorHAnsi" w:hAnsiTheme="majorHAnsi" w:cstheme="majorHAnsi"/>
          <w:i/>
          <w:sz w:val="20"/>
        </w:rPr>
        <w:t>Informačná technika. Generické káblové systémy. Časť1: Všeobecné požiadavky: r.v.2012</w:t>
      </w:r>
    </w:p>
    <w:p w:rsidR="00EE6A26" w:rsidRPr="00EE6A26" w:rsidRDefault="00EE6A26" w:rsidP="00EE6A26">
      <w:pPr>
        <w:tabs>
          <w:tab w:val="left" w:pos="2127"/>
        </w:tabs>
        <w:rPr>
          <w:rFonts w:asciiTheme="majorHAnsi" w:hAnsiTheme="majorHAnsi" w:cstheme="majorHAnsi"/>
          <w:i/>
          <w:sz w:val="20"/>
        </w:rPr>
      </w:pPr>
      <w:bookmarkStart w:id="64" w:name="OLE_LINK58"/>
      <w:r w:rsidRPr="00EE6A26">
        <w:rPr>
          <w:rStyle w:val="formtitle"/>
          <w:rFonts w:asciiTheme="majorHAnsi" w:hAnsiTheme="majorHAnsi" w:cstheme="majorHAnsi"/>
          <w:b/>
          <w:bCs/>
          <w:sz w:val="20"/>
        </w:rPr>
        <w:t>STN EN 50174-1</w:t>
      </w:r>
      <w:bookmarkEnd w:id="64"/>
      <w:r w:rsidRPr="00EE6A26">
        <w:rPr>
          <w:rStyle w:val="formtitle"/>
          <w:rFonts w:asciiTheme="majorHAnsi" w:hAnsiTheme="majorHAnsi" w:cstheme="majorHAnsi"/>
          <w:b/>
          <w:bCs/>
          <w:sz w:val="20"/>
        </w:rPr>
        <w:t>/A2</w:t>
      </w:r>
      <w:r w:rsidRPr="00EE6A26">
        <w:rPr>
          <w:rStyle w:val="formtitle"/>
          <w:rFonts w:asciiTheme="majorHAnsi" w:hAnsiTheme="majorHAnsi" w:cstheme="majorHAnsi"/>
          <w:b/>
          <w:bCs/>
          <w:sz w:val="20"/>
        </w:rPr>
        <w:tab/>
      </w:r>
      <w:r w:rsidRPr="00EE6A26">
        <w:rPr>
          <w:rFonts w:asciiTheme="majorHAnsi" w:hAnsiTheme="majorHAnsi" w:cstheme="majorHAnsi"/>
          <w:i/>
          <w:sz w:val="20"/>
        </w:rPr>
        <w:t>Informačná technika. Inštalácie káblových rozvodov. Časť 1: Špecifikácia a zabezpečovanie kvality: r.v. 2015</w:t>
      </w:r>
    </w:p>
    <w:p w:rsidR="00EE6A26" w:rsidRPr="00EE6A26" w:rsidRDefault="00EE6A26" w:rsidP="00EE6A26">
      <w:pPr>
        <w:tabs>
          <w:tab w:val="left" w:pos="2127"/>
        </w:tabs>
        <w:rPr>
          <w:rFonts w:asciiTheme="majorHAnsi" w:hAnsiTheme="majorHAnsi" w:cstheme="majorHAnsi"/>
          <w:i/>
          <w:sz w:val="20"/>
        </w:rPr>
      </w:pPr>
      <w:r w:rsidRPr="00EE6A26">
        <w:rPr>
          <w:rStyle w:val="formtitle"/>
          <w:rFonts w:asciiTheme="majorHAnsi" w:hAnsiTheme="majorHAnsi" w:cstheme="majorHAnsi"/>
          <w:b/>
          <w:bCs/>
          <w:sz w:val="20"/>
        </w:rPr>
        <w:t>STN EN 50174-2</w:t>
      </w:r>
      <w:r w:rsidRPr="00EE6A26">
        <w:rPr>
          <w:rStyle w:val="formtitle"/>
          <w:rFonts w:asciiTheme="majorHAnsi" w:hAnsiTheme="majorHAnsi" w:cstheme="majorHAnsi"/>
          <w:b/>
          <w:bCs/>
          <w:sz w:val="20"/>
        </w:rPr>
        <w:tab/>
      </w:r>
      <w:r w:rsidRPr="00EE6A26">
        <w:rPr>
          <w:rFonts w:asciiTheme="majorHAnsi" w:hAnsiTheme="majorHAnsi" w:cstheme="majorHAnsi"/>
          <w:i/>
          <w:sz w:val="20"/>
        </w:rPr>
        <w:t>Informačná technika. Inštalácie káblových rozvodov. Časť 2: Plánovanie inštalácie a postupy inštalácie: r.v.2009.</w:t>
      </w:r>
    </w:p>
    <w:p w:rsidR="00EE6A26" w:rsidRPr="00EE6A26" w:rsidRDefault="00EE6A26" w:rsidP="00EE6A26">
      <w:pPr>
        <w:tabs>
          <w:tab w:val="left" w:pos="2127"/>
        </w:tabs>
        <w:rPr>
          <w:rFonts w:asciiTheme="majorHAnsi" w:hAnsiTheme="majorHAnsi" w:cstheme="majorHAnsi"/>
          <w:i/>
          <w:sz w:val="20"/>
        </w:rPr>
      </w:pPr>
      <w:bookmarkStart w:id="65" w:name="OLE_LINK68"/>
      <w:bookmarkStart w:id="66" w:name="OLE_LINK69"/>
      <w:bookmarkStart w:id="67" w:name="OLE_LINK70"/>
      <w:r w:rsidRPr="00EE6A26">
        <w:rPr>
          <w:rStyle w:val="formtitle"/>
          <w:rFonts w:asciiTheme="majorHAnsi" w:hAnsiTheme="majorHAnsi" w:cstheme="majorHAnsi"/>
          <w:b/>
          <w:bCs/>
          <w:sz w:val="20"/>
        </w:rPr>
        <w:t>STN EN 50174-3</w:t>
      </w:r>
      <w:r w:rsidRPr="00EE6A26">
        <w:rPr>
          <w:rStyle w:val="formtitle"/>
          <w:rFonts w:asciiTheme="majorHAnsi" w:hAnsiTheme="majorHAnsi" w:cstheme="majorHAnsi"/>
          <w:b/>
          <w:bCs/>
          <w:sz w:val="20"/>
        </w:rPr>
        <w:tab/>
      </w:r>
      <w:r w:rsidRPr="00EE6A26">
        <w:rPr>
          <w:rFonts w:asciiTheme="majorHAnsi" w:hAnsiTheme="majorHAnsi" w:cstheme="majorHAnsi"/>
          <w:i/>
          <w:sz w:val="20"/>
        </w:rPr>
        <w:t>Informačná technika. Inštalácie káblových rozvodov. Časť 3: Postupy a projektovanie mimo budov.r.v.2004</w:t>
      </w:r>
      <w:bookmarkEnd w:id="65"/>
      <w:bookmarkEnd w:id="66"/>
    </w:p>
    <w:bookmarkEnd w:id="67"/>
    <w:p w:rsidR="00EE6A26" w:rsidRPr="00EE6A26" w:rsidRDefault="00EE6A26" w:rsidP="00EE6A26">
      <w:pPr>
        <w:tabs>
          <w:tab w:val="left" w:pos="2127"/>
        </w:tabs>
        <w:rPr>
          <w:rFonts w:asciiTheme="majorHAnsi" w:hAnsiTheme="majorHAnsi" w:cstheme="majorHAnsi"/>
          <w:i/>
          <w:sz w:val="20"/>
        </w:rPr>
      </w:pPr>
      <w:r w:rsidRPr="00EE6A26">
        <w:rPr>
          <w:rStyle w:val="formtitle"/>
          <w:rFonts w:asciiTheme="majorHAnsi" w:hAnsiTheme="majorHAnsi" w:cstheme="majorHAnsi"/>
          <w:b/>
          <w:bCs/>
          <w:sz w:val="20"/>
        </w:rPr>
        <w:t>STN EN 50117-4-2</w:t>
      </w:r>
      <w:r w:rsidRPr="00EE6A26">
        <w:rPr>
          <w:rStyle w:val="formtitle"/>
          <w:rFonts w:asciiTheme="majorHAnsi" w:hAnsiTheme="majorHAnsi" w:cstheme="majorHAnsi"/>
          <w:b/>
          <w:bCs/>
          <w:sz w:val="20"/>
        </w:rPr>
        <w:tab/>
      </w:r>
      <w:r w:rsidRPr="00EE6A26">
        <w:rPr>
          <w:rFonts w:asciiTheme="majorHAnsi" w:hAnsiTheme="majorHAnsi" w:cstheme="majorHAnsi"/>
          <w:i/>
          <w:sz w:val="20"/>
        </w:rPr>
        <w:t>Koaxiálne káble. Časť 4-2:</w:t>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t>Rámcová špecifikácia káblov do 6 GHz používaných v káblových rozvodných sieťach: r.v.2016</w:t>
      </w:r>
    </w:p>
    <w:p w:rsidR="00EE6A26" w:rsidRPr="00EE6A26" w:rsidRDefault="00EE6A26" w:rsidP="00EE6A26">
      <w:pPr>
        <w:tabs>
          <w:tab w:val="left" w:pos="2127"/>
        </w:tabs>
        <w:ind w:left="2124" w:hanging="2124"/>
        <w:rPr>
          <w:rFonts w:asciiTheme="majorHAnsi" w:hAnsiTheme="majorHAnsi" w:cstheme="majorHAnsi"/>
          <w:i/>
          <w:sz w:val="20"/>
        </w:rPr>
      </w:pPr>
      <w:bookmarkStart w:id="68" w:name="OLE_LINK72"/>
      <w:r w:rsidRPr="00EE6A26">
        <w:rPr>
          <w:rStyle w:val="formtitle"/>
          <w:rFonts w:asciiTheme="majorHAnsi" w:hAnsiTheme="majorHAnsi" w:cstheme="majorHAnsi"/>
          <w:b/>
          <w:bCs/>
          <w:sz w:val="20"/>
        </w:rPr>
        <w:t>STN 35 4181</w:t>
      </w:r>
      <w:r w:rsidRPr="00EE6A26">
        <w:rPr>
          <w:rStyle w:val="formtitle"/>
          <w:rFonts w:asciiTheme="majorHAnsi" w:hAnsiTheme="majorHAnsi" w:cstheme="majorHAnsi"/>
          <w:b/>
          <w:bCs/>
          <w:sz w:val="20"/>
        </w:rPr>
        <w:tab/>
      </w:r>
      <w:r w:rsidRPr="00EE6A26">
        <w:rPr>
          <w:rStyle w:val="formtitle"/>
          <w:rFonts w:asciiTheme="majorHAnsi" w:hAnsiTheme="majorHAnsi" w:cstheme="majorHAnsi"/>
          <w:b/>
          <w:bCs/>
          <w:sz w:val="20"/>
        </w:rPr>
        <w:tab/>
      </w:r>
      <w:r w:rsidRPr="00EE6A26">
        <w:rPr>
          <w:rFonts w:asciiTheme="majorHAnsi" w:hAnsiTheme="majorHAnsi" w:cstheme="majorHAnsi"/>
          <w:i/>
          <w:sz w:val="20"/>
        </w:rPr>
        <w:t>Prúdové chrániče s nadprúdovou ochranou alebo bez nadprúdovej ochrany na zásuvky pre domácnosť a podobné použitie: r.v.2016</w:t>
      </w:r>
      <w:bookmarkEnd w:id="68"/>
    </w:p>
    <w:p w:rsidR="00EE6A26" w:rsidRPr="00EE6A26" w:rsidRDefault="00EE6A26" w:rsidP="00EE6A26">
      <w:pPr>
        <w:tabs>
          <w:tab w:val="left" w:pos="2127"/>
        </w:tabs>
        <w:ind w:left="2124" w:hanging="2124"/>
        <w:rPr>
          <w:rFonts w:asciiTheme="majorHAnsi" w:hAnsiTheme="majorHAnsi" w:cstheme="majorHAnsi"/>
          <w:i/>
          <w:sz w:val="20"/>
        </w:rPr>
      </w:pPr>
      <w:bookmarkStart w:id="69" w:name="OLE_LINK73"/>
      <w:bookmarkStart w:id="70" w:name="OLE_LINK74"/>
      <w:bookmarkStart w:id="71" w:name="OLE_LINK80"/>
      <w:bookmarkStart w:id="72" w:name="OLE_LINK81"/>
      <w:r w:rsidRPr="00EE6A26">
        <w:rPr>
          <w:rStyle w:val="formtitle"/>
          <w:rFonts w:asciiTheme="majorHAnsi" w:hAnsiTheme="majorHAnsi" w:cstheme="majorHAnsi"/>
          <w:b/>
          <w:bCs/>
          <w:sz w:val="20"/>
        </w:rPr>
        <w:t>STN EN 60598-2-22</w:t>
      </w:r>
      <w:r w:rsidRPr="00EE6A26">
        <w:rPr>
          <w:rStyle w:val="formtitle"/>
          <w:rFonts w:asciiTheme="majorHAnsi" w:hAnsiTheme="majorHAnsi" w:cstheme="majorHAnsi"/>
          <w:b/>
          <w:bCs/>
          <w:sz w:val="20"/>
        </w:rPr>
        <w:tab/>
      </w:r>
      <w:r w:rsidRPr="00EE6A26">
        <w:rPr>
          <w:rStyle w:val="formtitle"/>
          <w:rFonts w:asciiTheme="majorHAnsi" w:hAnsiTheme="majorHAnsi" w:cstheme="majorHAnsi"/>
          <w:b/>
          <w:bCs/>
          <w:sz w:val="20"/>
        </w:rPr>
        <w:tab/>
      </w:r>
      <w:r w:rsidRPr="00EE6A26">
        <w:rPr>
          <w:rFonts w:asciiTheme="majorHAnsi" w:hAnsiTheme="majorHAnsi" w:cstheme="majorHAnsi"/>
          <w:i/>
          <w:sz w:val="20"/>
        </w:rPr>
        <w:t>Svietidla. Časť 2-22: Osobitne požiadavky. Svietidla na núdzové osvetlenie: r.v. 2015</w:t>
      </w:r>
      <w:bookmarkEnd w:id="69"/>
      <w:bookmarkEnd w:id="70"/>
    </w:p>
    <w:p w:rsidR="00EE6A26" w:rsidRPr="00EE6A26" w:rsidRDefault="00EE6A26" w:rsidP="00EE6A26">
      <w:pPr>
        <w:tabs>
          <w:tab w:val="left" w:pos="2127"/>
        </w:tabs>
        <w:ind w:left="2124" w:hanging="2124"/>
        <w:rPr>
          <w:rFonts w:asciiTheme="majorHAnsi" w:hAnsiTheme="majorHAnsi" w:cstheme="majorHAnsi"/>
          <w:i/>
          <w:sz w:val="20"/>
        </w:rPr>
      </w:pPr>
      <w:bookmarkStart w:id="73" w:name="OLE_LINK75"/>
      <w:bookmarkStart w:id="74" w:name="OLE_LINK76"/>
      <w:bookmarkEnd w:id="71"/>
      <w:bookmarkEnd w:id="72"/>
      <w:r w:rsidRPr="00EE6A26">
        <w:rPr>
          <w:rStyle w:val="formtitle"/>
          <w:rFonts w:asciiTheme="majorHAnsi" w:hAnsiTheme="majorHAnsi" w:cstheme="majorHAnsi"/>
          <w:b/>
          <w:bCs/>
          <w:sz w:val="20"/>
        </w:rPr>
        <w:t>STN EN 661439-5</w:t>
      </w:r>
      <w:r w:rsidRPr="00EE6A26">
        <w:rPr>
          <w:rStyle w:val="formtitle"/>
          <w:rFonts w:asciiTheme="majorHAnsi" w:hAnsiTheme="majorHAnsi" w:cstheme="majorHAnsi"/>
          <w:b/>
          <w:bCs/>
          <w:sz w:val="20"/>
        </w:rPr>
        <w:tab/>
      </w:r>
      <w:r w:rsidRPr="00EE6A26">
        <w:rPr>
          <w:rFonts w:asciiTheme="majorHAnsi" w:hAnsiTheme="majorHAnsi" w:cstheme="majorHAnsi"/>
          <w:i/>
          <w:sz w:val="20"/>
        </w:rPr>
        <w:t>Nízkonapäťové rozvádzače. Časť 5: Rozvádzače na rozvod energie vo verejných sieťach: r.v.2015</w:t>
      </w:r>
      <w:bookmarkEnd w:id="73"/>
      <w:bookmarkEnd w:id="74"/>
    </w:p>
    <w:p w:rsidR="00EE6A26" w:rsidRPr="00EE6A26" w:rsidRDefault="00EE6A26" w:rsidP="00EE6A26">
      <w:pPr>
        <w:tabs>
          <w:tab w:val="left" w:pos="2127"/>
        </w:tabs>
        <w:ind w:left="2124" w:hanging="2124"/>
        <w:rPr>
          <w:rFonts w:asciiTheme="majorHAnsi" w:hAnsiTheme="majorHAnsi" w:cstheme="majorHAnsi"/>
          <w:i/>
          <w:sz w:val="20"/>
        </w:rPr>
      </w:pPr>
      <w:bookmarkStart w:id="75" w:name="OLE_LINK79"/>
      <w:r w:rsidRPr="00EE6A26">
        <w:rPr>
          <w:rStyle w:val="formtitle"/>
          <w:rFonts w:asciiTheme="majorHAnsi" w:hAnsiTheme="majorHAnsi" w:cstheme="majorHAnsi"/>
          <w:b/>
          <w:bCs/>
          <w:sz w:val="20"/>
        </w:rPr>
        <w:t>STN EN 60941-1/A2</w:t>
      </w:r>
      <w:r w:rsidRPr="00EE6A26">
        <w:rPr>
          <w:rStyle w:val="formtitle"/>
          <w:rFonts w:asciiTheme="majorHAnsi" w:hAnsiTheme="majorHAnsi" w:cstheme="majorHAnsi"/>
          <w:b/>
          <w:bCs/>
          <w:sz w:val="20"/>
        </w:rPr>
        <w:tab/>
      </w:r>
      <w:r w:rsidRPr="00EE6A26">
        <w:rPr>
          <w:rFonts w:asciiTheme="majorHAnsi" w:hAnsiTheme="majorHAnsi" w:cstheme="majorHAnsi"/>
          <w:i/>
          <w:sz w:val="20"/>
        </w:rPr>
        <w:t>Nízkonapäťové spínacie a riadiace zariadenia. Časť 1: Všeobecné pravidlá</w:t>
      </w:r>
    </w:p>
    <w:p w:rsidR="00EE6A26" w:rsidRPr="00EE6A26" w:rsidRDefault="00EE6A26" w:rsidP="00EE6A26">
      <w:pPr>
        <w:tabs>
          <w:tab w:val="left" w:pos="2127"/>
        </w:tabs>
        <w:ind w:left="2124" w:hanging="2124"/>
        <w:rPr>
          <w:rFonts w:asciiTheme="majorHAnsi" w:hAnsiTheme="majorHAnsi" w:cstheme="majorHAnsi"/>
          <w:i/>
          <w:sz w:val="20"/>
        </w:rPr>
      </w:pPr>
      <w:bookmarkStart w:id="76" w:name="OLE_LINK82"/>
      <w:bookmarkEnd w:id="75"/>
      <w:r w:rsidRPr="00EE6A26">
        <w:rPr>
          <w:rStyle w:val="formtitle"/>
          <w:rFonts w:asciiTheme="majorHAnsi" w:hAnsiTheme="majorHAnsi" w:cstheme="majorHAnsi"/>
          <w:b/>
          <w:bCs/>
          <w:sz w:val="20"/>
        </w:rPr>
        <w:t>STN EN 62019/A12</w:t>
      </w:r>
      <w:r w:rsidRPr="00EE6A26">
        <w:rPr>
          <w:rStyle w:val="formtitle"/>
          <w:rFonts w:asciiTheme="majorHAnsi" w:hAnsiTheme="majorHAnsi" w:cstheme="majorHAnsi"/>
          <w:b/>
          <w:bCs/>
          <w:sz w:val="20"/>
        </w:rPr>
        <w:tab/>
      </w:r>
      <w:r w:rsidRPr="00EE6A26">
        <w:rPr>
          <w:rFonts w:asciiTheme="majorHAnsi" w:hAnsiTheme="majorHAnsi" w:cstheme="majorHAnsi"/>
          <w:i/>
          <w:sz w:val="20"/>
        </w:rPr>
        <w:t>Elektrické príslušenstvo. Ističe a podobné zariadenia na použitie v domácnostiach. Pomocné kontaktné jednotky: r.v. 2015</w:t>
      </w:r>
    </w:p>
    <w:p w:rsidR="00EE6A26" w:rsidRPr="00EE6A26" w:rsidRDefault="00EE6A26" w:rsidP="00EE6A26">
      <w:pPr>
        <w:tabs>
          <w:tab w:val="left" w:pos="2127"/>
        </w:tabs>
        <w:ind w:left="2124" w:hanging="2124"/>
        <w:rPr>
          <w:rFonts w:asciiTheme="majorHAnsi" w:hAnsiTheme="majorHAnsi" w:cstheme="majorHAnsi"/>
          <w:i/>
          <w:sz w:val="20"/>
        </w:rPr>
      </w:pPr>
      <w:bookmarkStart w:id="77" w:name="OLE_LINK92"/>
      <w:bookmarkStart w:id="78" w:name="OLE_LINK93"/>
      <w:bookmarkStart w:id="79" w:name="OLE_LINK83"/>
      <w:bookmarkStart w:id="80" w:name="OLE_LINK84"/>
      <w:bookmarkEnd w:id="76"/>
      <w:r w:rsidRPr="00EE6A26">
        <w:rPr>
          <w:rStyle w:val="formtitle"/>
          <w:rFonts w:asciiTheme="majorHAnsi" w:hAnsiTheme="majorHAnsi" w:cstheme="majorHAnsi"/>
          <w:b/>
          <w:bCs/>
          <w:sz w:val="20"/>
        </w:rPr>
        <w:t>STN EN 60794-3-10</w:t>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 xml:space="preserve">Optické káble. Časť 3-10: Vonkajšie káble. Skupinová špecifikácia optických telekomunikačných káblov uložených </w:t>
      </w:r>
      <w:bookmarkEnd w:id="77"/>
      <w:bookmarkEnd w:id="78"/>
      <w:r w:rsidRPr="00EE6A26">
        <w:rPr>
          <w:rFonts w:asciiTheme="majorHAnsi" w:hAnsiTheme="majorHAnsi" w:cstheme="majorHAnsi"/>
          <w:i/>
          <w:sz w:val="20"/>
          <w:shd w:val="clear" w:color="auto" w:fill="FFFFFF"/>
        </w:rPr>
        <w:t>v rúrkach alebo priamo do zeme alebo vzdušných závesných káblov: r.v.2015</w:t>
      </w:r>
      <w:bookmarkEnd w:id="79"/>
      <w:bookmarkEnd w:id="80"/>
    </w:p>
    <w:p w:rsidR="00EE6A26" w:rsidRPr="00EE6A26" w:rsidRDefault="00EE6A26" w:rsidP="00EE6A26">
      <w:pPr>
        <w:tabs>
          <w:tab w:val="left" w:pos="2127"/>
        </w:tabs>
        <w:ind w:left="2124" w:hanging="2124"/>
        <w:rPr>
          <w:rFonts w:asciiTheme="majorHAnsi" w:hAnsiTheme="majorHAnsi" w:cstheme="majorHAnsi"/>
          <w:i/>
          <w:sz w:val="20"/>
        </w:rPr>
      </w:pPr>
      <w:bookmarkStart w:id="81" w:name="OLE_LINK94"/>
      <w:bookmarkStart w:id="82" w:name="OLE_LINK85"/>
      <w:bookmarkStart w:id="83" w:name="OLE_LINK86"/>
      <w:bookmarkStart w:id="84" w:name="OLE_LINK95"/>
      <w:bookmarkStart w:id="85" w:name="OLE_LINK88"/>
      <w:bookmarkStart w:id="86" w:name="OLE_LINK89"/>
      <w:r w:rsidRPr="00EE6A26">
        <w:rPr>
          <w:rStyle w:val="formtitle"/>
          <w:rFonts w:asciiTheme="majorHAnsi" w:hAnsiTheme="majorHAnsi" w:cstheme="majorHAnsi"/>
          <w:b/>
          <w:bCs/>
          <w:sz w:val="20"/>
        </w:rPr>
        <w:t>STN EN 61293</w:t>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 xml:space="preserve">Označovanie elektrických zariadení </w:t>
      </w:r>
      <w:bookmarkEnd w:id="81"/>
      <w:r w:rsidRPr="00EE6A26">
        <w:rPr>
          <w:rFonts w:asciiTheme="majorHAnsi" w:hAnsiTheme="majorHAnsi" w:cstheme="majorHAnsi"/>
          <w:i/>
          <w:sz w:val="20"/>
          <w:shd w:val="clear" w:color="auto" w:fill="FFFFFF"/>
        </w:rPr>
        <w:t>menovitými údajmi vťahujúcimi sa na elektrické napájanie. Požiadavky na bezpečnosť:r.v.2000</w:t>
      </w:r>
    </w:p>
    <w:p w:rsidR="00EE6A26" w:rsidRPr="00EE6A26" w:rsidRDefault="00EE6A26" w:rsidP="00EE6A26">
      <w:pPr>
        <w:tabs>
          <w:tab w:val="left" w:pos="2127"/>
        </w:tabs>
        <w:ind w:left="2124" w:hanging="2124"/>
        <w:rPr>
          <w:rFonts w:asciiTheme="majorHAnsi" w:hAnsiTheme="majorHAnsi" w:cstheme="majorHAnsi"/>
          <w:i/>
          <w:sz w:val="20"/>
        </w:rPr>
      </w:pPr>
      <w:bookmarkStart w:id="87" w:name="OLE_LINK96"/>
      <w:bookmarkStart w:id="88" w:name="OLE_LINK97"/>
      <w:bookmarkEnd w:id="82"/>
      <w:bookmarkEnd w:id="83"/>
      <w:bookmarkEnd w:id="84"/>
      <w:r w:rsidRPr="00EE6A26">
        <w:rPr>
          <w:rStyle w:val="formtitle"/>
          <w:rFonts w:asciiTheme="majorHAnsi" w:hAnsiTheme="majorHAnsi" w:cstheme="majorHAnsi"/>
          <w:b/>
          <w:bCs/>
          <w:sz w:val="20"/>
        </w:rPr>
        <w:t>STN CLC/TR 50480</w:t>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Stanovenie prierezu vodičov a výber ochranných prístrojov: r.v.2011</w:t>
      </w:r>
      <w:bookmarkEnd w:id="87"/>
      <w:bookmarkEnd w:id="88"/>
    </w:p>
    <w:p w:rsidR="00EE6A26" w:rsidRPr="00EE6A26" w:rsidRDefault="00EE6A26" w:rsidP="00EE6A26">
      <w:pPr>
        <w:rPr>
          <w:rFonts w:asciiTheme="majorHAnsi" w:hAnsiTheme="majorHAnsi" w:cstheme="majorHAnsi"/>
          <w:i/>
          <w:sz w:val="20"/>
        </w:rPr>
      </w:pPr>
      <w:bookmarkStart w:id="89" w:name="OLE_LINK98"/>
      <w:r w:rsidRPr="00EE6A26">
        <w:rPr>
          <w:rStyle w:val="formtitle"/>
          <w:rFonts w:asciiTheme="majorHAnsi" w:hAnsiTheme="majorHAnsi" w:cstheme="majorHAnsi"/>
          <w:b/>
          <w:bCs/>
          <w:sz w:val="20"/>
        </w:rPr>
        <w:t>STN EN 60909-0</w:t>
      </w:r>
      <w:r w:rsidRPr="00EE6A26">
        <w:rPr>
          <w:rStyle w:val="formtitle"/>
          <w:rFonts w:asciiTheme="majorHAnsi" w:hAnsiTheme="majorHAnsi" w:cstheme="majorHAnsi"/>
          <w:b/>
          <w:bCs/>
          <w:sz w:val="20"/>
        </w:rPr>
        <w:tab/>
      </w:r>
      <w:r w:rsidRPr="00EE6A26">
        <w:rPr>
          <w:rFonts w:asciiTheme="majorHAnsi" w:hAnsiTheme="majorHAnsi" w:cstheme="majorHAnsi"/>
          <w:sz w:val="20"/>
        </w:rPr>
        <w:tab/>
      </w:r>
      <w:r w:rsidRPr="00EE6A26">
        <w:rPr>
          <w:rFonts w:asciiTheme="majorHAnsi" w:hAnsiTheme="majorHAnsi" w:cstheme="majorHAnsi"/>
          <w:i/>
          <w:sz w:val="20"/>
        </w:rPr>
        <w:t>Skratové prúdy v trojfázových striedavých sústavách. Časť 0: Výpočet prúdov: r.v.2003</w:t>
      </w:r>
    </w:p>
    <w:p w:rsidR="00EE6A26" w:rsidRPr="00EE6A26" w:rsidRDefault="00EE6A26" w:rsidP="00EE6A26">
      <w:pPr>
        <w:ind w:left="2124" w:hanging="2124"/>
        <w:rPr>
          <w:rFonts w:asciiTheme="majorHAnsi" w:hAnsiTheme="majorHAnsi" w:cstheme="majorHAnsi"/>
          <w:i/>
          <w:sz w:val="20"/>
          <w:shd w:val="clear" w:color="auto" w:fill="FFFFFF"/>
        </w:rPr>
      </w:pPr>
      <w:r w:rsidRPr="00EE6A26">
        <w:rPr>
          <w:rStyle w:val="formtitle"/>
          <w:rFonts w:asciiTheme="majorHAnsi" w:hAnsiTheme="majorHAnsi" w:cstheme="majorHAnsi"/>
          <w:b/>
          <w:bCs/>
          <w:sz w:val="20"/>
        </w:rPr>
        <w:t>STN EN 50565-1</w:t>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Elektrické káble. Návod na používanie káblov s menovitým napätím neprevyšujúcim 450/750 V. Časť 1: Všeobecné pokyny: r.v.2014</w:t>
      </w:r>
    </w:p>
    <w:p w:rsidR="00EE6A26" w:rsidRPr="00EE6A26" w:rsidRDefault="00EE6A26" w:rsidP="00EE6A26">
      <w:pPr>
        <w:ind w:left="2124" w:hanging="2124"/>
        <w:rPr>
          <w:rFonts w:asciiTheme="majorHAnsi" w:hAnsiTheme="majorHAnsi" w:cstheme="majorHAnsi"/>
          <w:b/>
          <w:i/>
          <w:sz w:val="20"/>
        </w:rPr>
      </w:pPr>
      <w:r w:rsidRPr="00EE6A26">
        <w:rPr>
          <w:rFonts w:asciiTheme="majorHAnsi" w:hAnsiTheme="majorHAnsi" w:cstheme="majorHAnsi"/>
          <w:b/>
          <w:i/>
          <w:sz w:val="20"/>
        </w:rPr>
        <w:t>Špeciálne požiadavky:</w:t>
      </w:r>
    </w:p>
    <w:p w:rsidR="00EE6A26" w:rsidRPr="00EE6A26" w:rsidRDefault="00EE6A26" w:rsidP="00EE6A26">
      <w:pPr>
        <w:ind w:left="2124" w:hanging="2124"/>
        <w:rPr>
          <w:rFonts w:asciiTheme="majorHAnsi" w:hAnsiTheme="majorHAnsi" w:cstheme="majorHAnsi"/>
          <w:i/>
          <w:sz w:val="20"/>
        </w:rPr>
      </w:pPr>
      <w:r w:rsidRPr="00EE6A26">
        <w:rPr>
          <w:rStyle w:val="formtitle"/>
          <w:rFonts w:asciiTheme="majorHAnsi" w:hAnsiTheme="majorHAnsi" w:cstheme="majorHAnsi"/>
          <w:b/>
          <w:bCs/>
          <w:sz w:val="20"/>
        </w:rPr>
        <w:t>STN EN 62040-1</w:t>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Zdroje neprerušovaného napájania (UPS). Časť 1: Všeobecné a bezpečnostné požiadavky na UPS: r.v.2009</w:t>
      </w:r>
    </w:p>
    <w:p w:rsidR="00EE6A26" w:rsidRPr="00EE6A26" w:rsidRDefault="00EE6A26" w:rsidP="00EE6A26">
      <w:pPr>
        <w:ind w:left="2124" w:hanging="2124"/>
        <w:rPr>
          <w:rFonts w:asciiTheme="majorHAnsi" w:hAnsiTheme="majorHAnsi" w:cstheme="majorHAnsi"/>
          <w:i/>
          <w:sz w:val="20"/>
        </w:rPr>
      </w:pPr>
      <w:r w:rsidRPr="00EE6A26">
        <w:rPr>
          <w:rStyle w:val="formtitle"/>
          <w:rFonts w:asciiTheme="majorHAnsi" w:hAnsiTheme="majorHAnsi" w:cstheme="majorHAnsi"/>
          <w:b/>
          <w:bCs/>
          <w:sz w:val="20"/>
        </w:rPr>
        <w:t>STN EN 50310</w:t>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Použitie pospájania a uzemnenia v budovách so zariadeniami informačnej techniky: r.v.2011</w:t>
      </w:r>
    </w:p>
    <w:bookmarkEnd w:id="89"/>
    <w:p w:rsidR="00EE6A26" w:rsidRPr="00EE6A26" w:rsidRDefault="00EE6A26" w:rsidP="00EE6A26">
      <w:pPr>
        <w:ind w:left="2124" w:hanging="2124"/>
        <w:rPr>
          <w:rFonts w:asciiTheme="majorHAnsi" w:hAnsiTheme="majorHAnsi" w:cstheme="majorHAnsi"/>
          <w:i/>
          <w:sz w:val="20"/>
        </w:rPr>
      </w:pPr>
      <w:r w:rsidRPr="00EE6A26">
        <w:rPr>
          <w:rStyle w:val="formtitle"/>
          <w:rFonts w:asciiTheme="majorHAnsi" w:hAnsiTheme="majorHAnsi" w:cstheme="majorHAnsi"/>
          <w:b/>
          <w:bCs/>
          <w:sz w:val="20"/>
        </w:rPr>
        <w:t>STN EN 50085-2-4</w:t>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Elektroinštalačné úložné kanály a elektroinštalačné uzavreté žľaby. Časť 2-4: Osobitné požiadavky na prevádzkové nosníky a prevádzkové konzoly. r.v.2010</w:t>
      </w:r>
    </w:p>
    <w:p w:rsidR="00EE6A26" w:rsidRPr="00EE6A26" w:rsidRDefault="00EE6A26" w:rsidP="00EE6A26">
      <w:pPr>
        <w:tabs>
          <w:tab w:val="left" w:pos="2127"/>
        </w:tabs>
        <w:ind w:left="2124" w:hanging="2124"/>
        <w:rPr>
          <w:rFonts w:asciiTheme="majorHAnsi" w:hAnsiTheme="majorHAnsi" w:cstheme="majorHAnsi"/>
          <w:i/>
          <w:sz w:val="20"/>
        </w:rPr>
      </w:pPr>
      <w:r w:rsidRPr="00EE6A26">
        <w:rPr>
          <w:rStyle w:val="formtitle"/>
          <w:rFonts w:asciiTheme="majorHAnsi" w:hAnsiTheme="majorHAnsi" w:cstheme="majorHAnsi"/>
          <w:b/>
          <w:bCs/>
          <w:sz w:val="20"/>
        </w:rPr>
        <w:t>STN 92 0203</w:t>
      </w:r>
      <w:r w:rsidRPr="00EE6A26">
        <w:rPr>
          <w:rStyle w:val="formtitle"/>
          <w:rFonts w:asciiTheme="majorHAnsi" w:hAnsiTheme="majorHAnsi" w:cstheme="majorHAnsi"/>
          <w:b/>
          <w:bCs/>
          <w:sz w:val="20"/>
        </w:rPr>
        <w:tab/>
      </w:r>
      <w:r w:rsidRPr="00EE6A26">
        <w:rPr>
          <w:rFonts w:asciiTheme="majorHAnsi" w:hAnsiTheme="majorHAnsi" w:cstheme="majorHAnsi"/>
          <w:i/>
          <w:sz w:val="20"/>
          <w:shd w:val="clear" w:color="auto" w:fill="FFFFFF"/>
        </w:rPr>
        <w:t>Požiarna bezpečnosť stavieb. Trvalá dodávka elektrickej energie pri požiari: r.v.2013</w:t>
      </w:r>
      <w:bookmarkEnd w:id="85"/>
      <w:bookmarkEnd w:id="86"/>
    </w:p>
    <w:p w:rsidR="00EE6A26" w:rsidRPr="00EE6A26" w:rsidRDefault="00EE6A26" w:rsidP="00EE6A26">
      <w:pPr>
        <w:pStyle w:val="Normlnywebov"/>
        <w:tabs>
          <w:tab w:val="left" w:pos="2127"/>
        </w:tabs>
        <w:spacing w:before="0" w:beforeAutospacing="0" w:after="0" w:afterAutospacing="0"/>
        <w:rPr>
          <w:rFonts w:asciiTheme="majorHAnsi" w:hAnsiTheme="majorHAnsi" w:cstheme="majorHAnsi"/>
          <w:i/>
          <w:sz w:val="20"/>
          <w:szCs w:val="20"/>
        </w:rPr>
      </w:pPr>
      <w:bookmarkStart w:id="90" w:name="OLE_LINK59"/>
      <w:r w:rsidRPr="00EE6A26">
        <w:rPr>
          <w:rFonts w:asciiTheme="majorHAnsi" w:hAnsiTheme="majorHAnsi" w:cstheme="majorHAnsi"/>
          <w:b/>
          <w:sz w:val="20"/>
          <w:szCs w:val="20"/>
        </w:rPr>
        <w:t>TPT-T6</w:t>
      </w:r>
      <w:bookmarkEnd w:id="90"/>
      <w:r w:rsidRPr="00EE6A26">
        <w:rPr>
          <w:rFonts w:asciiTheme="majorHAnsi" w:hAnsiTheme="majorHAnsi" w:cstheme="majorHAnsi"/>
          <w:sz w:val="20"/>
          <w:szCs w:val="20"/>
        </w:rPr>
        <w:tab/>
      </w:r>
      <w:bookmarkStart w:id="91" w:name="OLE_LINK60"/>
      <w:r w:rsidRPr="00EE6A26">
        <w:rPr>
          <w:rFonts w:asciiTheme="majorHAnsi" w:hAnsiTheme="majorHAnsi" w:cstheme="majorHAnsi"/>
          <w:i/>
          <w:sz w:val="20"/>
          <w:szCs w:val="20"/>
        </w:rPr>
        <w:t>Technické požiadavky na rozvody telekomunikačných sietí v budovách</w:t>
      </w:r>
      <w:bookmarkEnd w:id="91"/>
      <w:r w:rsidRPr="00EE6A26">
        <w:rPr>
          <w:rFonts w:asciiTheme="majorHAnsi" w:hAnsiTheme="majorHAnsi" w:cstheme="majorHAnsi"/>
          <w:i/>
          <w:sz w:val="20"/>
          <w:szCs w:val="20"/>
        </w:rPr>
        <w:t>.</w:t>
      </w:r>
    </w:p>
    <w:p w:rsidR="00EE6A26" w:rsidRPr="00EE6A26" w:rsidRDefault="00EE6A26" w:rsidP="00EE6A26">
      <w:pPr>
        <w:pStyle w:val="Normlnywebov"/>
        <w:tabs>
          <w:tab w:val="left" w:pos="2127"/>
        </w:tabs>
        <w:spacing w:before="0" w:beforeAutospacing="0" w:after="0" w:afterAutospacing="0"/>
        <w:rPr>
          <w:rFonts w:asciiTheme="majorHAnsi" w:hAnsiTheme="majorHAnsi" w:cstheme="majorHAnsi"/>
          <w:i/>
          <w:sz w:val="20"/>
          <w:szCs w:val="20"/>
        </w:rPr>
      </w:pPr>
      <w:r w:rsidRPr="00EE6A26">
        <w:rPr>
          <w:rFonts w:asciiTheme="majorHAnsi" w:hAnsiTheme="majorHAnsi" w:cstheme="majorHAnsi"/>
          <w:b/>
          <w:bCs/>
          <w:sz w:val="20"/>
          <w:szCs w:val="20"/>
        </w:rPr>
        <w:t xml:space="preserve">Zákony NRSR č.: </w:t>
      </w:r>
      <w:r w:rsidRPr="00EE6A26">
        <w:rPr>
          <w:rFonts w:asciiTheme="majorHAnsi" w:hAnsiTheme="majorHAnsi" w:cstheme="majorHAnsi"/>
          <w:b/>
          <w:bCs/>
          <w:sz w:val="20"/>
          <w:szCs w:val="20"/>
        </w:rPr>
        <w:tab/>
      </w:r>
      <w:r w:rsidRPr="00EE6A26">
        <w:rPr>
          <w:rFonts w:asciiTheme="majorHAnsi" w:hAnsiTheme="majorHAnsi" w:cstheme="majorHAnsi"/>
          <w:i/>
          <w:sz w:val="20"/>
          <w:szCs w:val="20"/>
        </w:rPr>
        <w:t>124/2006 Z.z., 125/2006 Z.z., 251/2012 Z.z.</w:t>
      </w:r>
    </w:p>
    <w:p w:rsidR="00EE6A26" w:rsidRPr="00EE6A26" w:rsidRDefault="00EE6A26" w:rsidP="00EE6A26">
      <w:pPr>
        <w:rPr>
          <w:rFonts w:asciiTheme="majorHAnsi" w:hAnsiTheme="majorHAnsi" w:cstheme="majorHAnsi"/>
          <w:i/>
          <w:sz w:val="20"/>
        </w:rPr>
      </w:pPr>
      <w:r w:rsidRPr="00EE6A26">
        <w:rPr>
          <w:rFonts w:asciiTheme="majorHAnsi" w:hAnsiTheme="majorHAnsi" w:cstheme="majorHAnsi"/>
          <w:b/>
          <w:bCs/>
          <w:sz w:val="20"/>
        </w:rPr>
        <w:lastRenderedPageBreak/>
        <w:t xml:space="preserve">Vyhlášky MPSVaR SR č.: </w:t>
      </w:r>
      <w:r w:rsidRPr="00EE6A26">
        <w:rPr>
          <w:rFonts w:asciiTheme="majorHAnsi" w:hAnsiTheme="majorHAnsi" w:cstheme="majorHAnsi"/>
          <w:b/>
          <w:bCs/>
          <w:sz w:val="20"/>
        </w:rPr>
        <w:tab/>
      </w:r>
      <w:r w:rsidRPr="00EE6A26">
        <w:rPr>
          <w:rFonts w:asciiTheme="majorHAnsi" w:hAnsiTheme="majorHAnsi" w:cstheme="majorHAnsi"/>
          <w:i/>
          <w:sz w:val="20"/>
        </w:rPr>
        <w:t>94/2004 Z.z., 208/2005 Z.z., 307/2007 Z.z., 508/2009 Z.z., 152/2009 Z.z., 051/2017 Z.z</w:t>
      </w:r>
    </w:p>
    <w:p w:rsidR="00EE6A26" w:rsidRPr="00EE6A26" w:rsidRDefault="00EE6A26" w:rsidP="00EE6A26">
      <w:pPr>
        <w:tabs>
          <w:tab w:val="left" w:pos="2127"/>
        </w:tabs>
        <w:rPr>
          <w:rStyle w:val="formtext"/>
          <w:rFonts w:asciiTheme="majorHAnsi" w:hAnsiTheme="majorHAnsi" w:cstheme="majorHAnsi"/>
          <w:sz w:val="20"/>
        </w:rPr>
      </w:pPr>
      <w:r w:rsidRPr="00EE6A26">
        <w:rPr>
          <w:rFonts w:asciiTheme="majorHAnsi" w:hAnsiTheme="majorHAnsi" w:cstheme="majorHAnsi"/>
          <w:b/>
          <w:bCs/>
          <w:sz w:val="20"/>
        </w:rPr>
        <w:t xml:space="preserve">Nariadenie vlády č.: </w:t>
      </w:r>
      <w:r w:rsidRPr="00EE6A26">
        <w:rPr>
          <w:rFonts w:asciiTheme="majorHAnsi" w:hAnsiTheme="majorHAnsi" w:cstheme="majorHAnsi"/>
          <w:b/>
          <w:bCs/>
          <w:sz w:val="20"/>
        </w:rPr>
        <w:tab/>
      </w:r>
      <w:r w:rsidRPr="00EE6A26">
        <w:rPr>
          <w:rFonts w:asciiTheme="majorHAnsi" w:hAnsiTheme="majorHAnsi" w:cstheme="majorHAnsi"/>
          <w:i/>
          <w:sz w:val="20"/>
        </w:rPr>
        <w:t>269/2006, 276/2006, 387/2006, 391/2006, 392/2006 a ďalšie s nimi súvisiace normy a predpisy</w:t>
      </w:r>
      <w:r w:rsidRPr="00EE6A26">
        <w:rPr>
          <w:rStyle w:val="formtext"/>
          <w:rFonts w:asciiTheme="majorHAnsi" w:hAnsiTheme="majorHAnsi" w:cstheme="majorHAnsi"/>
          <w:i/>
          <w:sz w:val="20"/>
        </w:rPr>
        <w:t>.</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NAPÄŤOVÁ SÚSTAVA A OCHRANNÉ OPATRENIA</w:t>
      </w:r>
    </w:p>
    <w:p w:rsidR="00EE6A26" w:rsidRPr="00EE6A26" w:rsidRDefault="00EE6A26" w:rsidP="00EE6A26">
      <w:pPr>
        <w:keepNext/>
        <w:tabs>
          <w:tab w:val="left" w:pos="2977"/>
        </w:tabs>
        <w:spacing w:before="120" w:after="120"/>
        <w:rPr>
          <w:rFonts w:asciiTheme="majorHAnsi" w:hAnsiTheme="majorHAnsi" w:cstheme="majorHAnsi"/>
          <w:noProof/>
          <w:sz w:val="20"/>
        </w:rPr>
      </w:pPr>
      <w:r w:rsidRPr="00EE6A26">
        <w:rPr>
          <w:rFonts w:asciiTheme="majorHAnsi" w:hAnsiTheme="majorHAnsi" w:cstheme="majorHAnsi"/>
          <w:b/>
          <w:noProof/>
          <w:snapToGrid w:val="0"/>
          <w:sz w:val="20"/>
        </w:rPr>
        <w:t>Skriňa SPP2:</w:t>
      </w:r>
      <w:r w:rsidRPr="00EE6A26">
        <w:rPr>
          <w:rFonts w:asciiTheme="majorHAnsi" w:hAnsiTheme="majorHAnsi" w:cstheme="majorHAnsi"/>
          <w:noProof/>
          <w:snapToGrid w:val="0"/>
          <w:sz w:val="20"/>
        </w:rPr>
        <w:tab/>
      </w:r>
      <w:r w:rsidRPr="00EE6A26">
        <w:rPr>
          <w:rFonts w:asciiTheme="majorHAnsi" w:hAnsiTheme="majorHAnsi" w:cstheme="majorHAnsi"/>
          <w:noProof/>
          <w:sz w:val="20"/>
        </w:rPr>
        <w:t>3/N/PE AC, ~50Hz, 400/230V/  TN-C</w:t>
      </w:r>
    </w:p>
    <w:p w:rsidR="00EE6A26" w:rsidRPr="00EE6A26" w:rsidRDefault="00EE6A26" w:rsidP="00EE6A26">
      <w:pPr>
        <w:keepNext/>
        <w:tabs>
          <w:tab w:val="left" w:pos="2977"/>
        </w:tabs>
        <w:spacing w:before="120" w:after="120"/>
        <w:rPr>
          <w:rFonts w:asciiTheme="majorHAnsi" w:hAnsiTheme="majorHAnsi" w:cstheme="majorHAnsi"/>
          <w:noProof/>
          <w:sz w:val="20"/>
        </w:rPr>
      </w:pPr>
      <w:r w:rsidRPr="00EE6A26">
        <w:rPr>
          <w:rFonts w:asciiTheme="majorHAnsi" w:hAnsiTheme="majorHAnsi" w:cstheme="majorHAnsi"/>
          <w:b/>
          <w:noProof/>
          <w:snapToGrid w:val="0"/>
          <w:sz w:val="20"/>
        </w:rPr>
        <w:t>Rozvádzač RE (elektromerový):</w:t>
      </w:r>
      <w:r w:rsidRPr="00EE6A26">
        <w:rPr>
          <w:rFonts w:asciiTheme="majorHAnsi" w:hAnsiTheme="majorHAnsi" w:cstheme="majorHAnsi"/>
          <w:noProof/>
          <w:snapToGrid w:val="0"/>
          <w:sz w:val="20"/>
        </w:rPr>
        <w:tab/>
      </w:r>
      <w:r w:rsidRPr="00EE6A26">
        <w:rPr>
          <w:rFonts w:asciiTheme="majorHAnsi" w:hAnsiTheme="majorHAnsi" w:cstheme="majorHAnsi"/>
          <w:noProof/>
          <w:sz w:val="20"/>
        </w:rPr>
        <w:t>3/N/PE AC, ~50Hz, 400/230V/  TN-C</w:t>
      </w:r>
    </w:p>
    <w:p w:rsidR="00EE6A26" w:rsidRPr="00EE6A26" w:rsidRDefault="00EE6A26" w:rsidP="00EE6A26">
      <w:pPr>
        <w:keepNext/>
        <w:tabs>
          <w:tab w:val="left" w:pos="2977"/>
        </w:tabs>
        <w:spacing w:before="120" w:after="120"/>
        <w:rPr>
          <w:rFonts w:asciiTheme="majorHAnsi" w:hAnsiTheme="majorHAnsi" w:cstheme="majorHAnsi"/>
          <w:noProof/>
          <w:sz w:val="20"/>
        </w:rPr>
      </w:pPr>
      <w:r w:rsidRPr="00EE6A26">
        <w:rPr>
          <w:rFonts w:asciiTheme="majorHAnsi" w:hAnsiTheme="majorHAnsi" w:cstheme="majorHAnsi"/>
          <w:b/>
          <w:noProof/>
          <w:snapToGrid w:val="0"/>
          <w:sz w:val="20"/>
        </w:rPr>
        <w:t>Rozvádzač RH (hlavný):</w:t>
      </w:r>
      <w:r w:rsidRPr="00EE6A26">
        <w:rPr>
          <w:rFonts w:asciiTheme="majorHAnsi" w:hAnsiTheme="majorHAnsi" w:cstheme="majorHAnsi"/>
          <w:noProof/>
          <w:snapToGrid w:val="0"/>
          <w:sz w:val="20"/>
        </w:rPr>
        <w:tab/>
      </w:r>
      <w:r w:rsidRPr="00EE6A26">
        <w:rPr>
          <w:rFonts w:asciiTheme="majorHAnsi" w:hAnsiTheme="majorHAnsi" w:cstheme="majorHAnsi"/>
          <w:noProof/>
          <w:sz w:val="20"/>
        </w:rPr>
        <w:t>3/N/PE AC, ~50Hz, 400/230V/  TN-C-S</w:t>
      </w:r>
    </w:p>
    <w:p w:rsidR="00EE6A26" w:rsidRPr="00EE6A26" w:rsidRDefault="00EE6A26" w:rsidP="00EE6A26">
      <w:pPr>
        <w:keepNext/>
        <w:tabs>
          <w:tab w:val="left" w:pos="2977"/>
        </w:tabs>
        <w:spacing w:before="120" w:after="120"/>
        <w:rPr>
          <w:rFonts w:asciiTheme="majorHAnsi" w:hAnsiTheme="majorHAnsi" w:cstheme="majorHAnsi"/>
          <w:noProof/>
          <w:sz w:val="20"/>
        </w:rPr>
      </w:pPr>
      <w:r w:rsidRPr="00EE6A26">
        <w:rPr>
          <w:rFonts w:asciiTheme="majorHAnsi" w:hAnsiTheme="majorHAnsi" w:cstheme="majorHAnsi"/>
          <w:b/>
          <w:noProof/>
          <w:snapToGrid w:val="0"/>
          <w:sz w:val="20"/>
        </w:rPr>
        <w:t>Rozvádzače RS (podružný):</w:t>
      </w:r>
      <w:r w:rsidRPr="00EE6A26">
        <w:rPr>
          <w:rFonts w:asciiTheme="majorHAnsi" w:hAnsiTheme="majorHAnsi" w:cstheme="majorHAnsi"/>
          <w:noProof/>
          <w:snapToGrid w:val="0"/>
          <w:sz w:val="20"/>
        </w:rPr>
        <w:tab/>
      </w:r>
      <w:r w:rsidRPr="00EE6A26">
        <w:rPr>
          <w:rFonts w:asciiTheme="majorHAnsi" w:hAnsiTheme="majorHAnsi" w:cstheme="majorHAnsi"/>
          <w:noProof/>
          <w:sz w:val="20"/>
        </w:rPr>
        <w:t>3/N/PE AC, ~50Hz, 400/230V/  TN-S</w:t>
      </w:r>
    </w:p>
    <w:p w:rsidR="00EE6A26" w:rsidRPr="00EE6A26" w:rsidRDefault="00EE6A26" w:rsidP="00EE6A26">
      <w:pPr>
        <w:keepNext/>
        <w:tabs>
          <w:tab w:val="left" w:pos="2977"/>
        </w:tabs>
        <w:spacing w:before="120" w:after="120"/>
        <w:rPr>
          <w:rFonts w:asciiTheme="majorHAnsi" w:hAnsiTheme="majorHAnsi" w:cstheme="majorHAnsi"/>
          <w:noProof/>
          <w:sz w:val="20"/>
        </w:rPr>
      </w:pPr>
      <w:r w:rsidRPr="00EE6A26">
        <w:rPr>
          <w:rFonts w:asciiTheme="majorHAnsi" w:hAnsiTheme="majorHAnsi" w:cstheme="majorHAnsi"/>
          <w:b/>
          <w:noProof/>
          <w:snapToGrid w:val="0"/>
          <w:sz w:val="20"/>
        </w:rPr>
        <w:t>Rozvádzače RFVE (fotovoltika):</w:t>
      </w:r>
      <w:r w:rsidRPr="00EE6A26">
        <w:rPr>
          <w:rFonts w:asciiTheme="majorHAnsi" w:hAnsiTheme="majorHAnsi" w:cstheme="majorHAnsi"/>
          <w:noProof/>
          <w:snapToGrid w:val="0"/>
          <w:sz w:val="20"/>
        </w:rPr>
        <w:tab/>
      </w:r>
      <w:r w:rsidRPr="00EE6A26">
        <w:rPr>
          <w:rFonts w:asciiTheme="majorHAnsi" w:hAnsiTheme="majorHAnsi" w:cstheme="majorHAnsi"/>
          <w:noProof/>
          <w:sz w:val="20"/>
        </w:rPr>
        <w:t>3/N/PE AC, ~50Hz, 400/230V/  TN-S</w:t>
      </w:r>
    </w:p>
    <w:p w:rsidR="00EE6A26" w:rsidRPr="00EE6A26" w:rsidRDefault="00EE6A26" w:rsidP="00EE6A26">
      <w:pPr>
        <w:keepNext/>
        <w:tabs>
          <w:tab w:val="left" w:pos="2977"/>
        </w:tabs>
        <w:spacing w:before="120" w:after="120"/>
        <w:rPr>
          <w:rFonts w:asciiTheme="majorHAnsi" w:hAnsiTheme="majorHAnsi" w:cstheme="majorHAnsi"/>
          <w:noProof/>
          <w:sz w:val="20"/>
        </w:rPr>
      </w:pPr>
      <w:r w:rsidRPr="00EE6A26">
        <w:rPr>
          <w:rFonts w:asciiTheme="majorHAnsi" w:hAnsiTheme="majorHAnsi" w:cstheme="majorHAnsi"/>
          <w:b/>
          <w:noProof/>
          <w:sz w:val="20"/>
        </w:rPr>
        <w:t>Umelé osvetlenie a zásuvky:</w:t>
      </w:r>
      <w:r w:rsidRPr="00EE6A26">
        <w:rPr>
          <w:rFonts w:asciiTheme="majorHAnsi" w:hAnsiTheme="majorHAnsi" w:cstheme="majorHAnsi"/>
          <w:b/>
          <w:noProof/>
          <w:sz w:val="20"/>
        </w:rPr>
        <w:tab/>
      </w:r>
      <w:r w:rsidRPr="00EE6A26">
        <w:rPr>
          <w:rFonts w:asciiTheme="majorHAnsi" w:hAnsiTheme="majorHAnsi" w:cstheme="majorHAnsi"/>
          <w:noProof/>
          <w:sz w:val="20"/>
        </w:rPr>
        <w:t>3/N/PE AC, ~50Hz, 400/230V/ TN-S</w:t>
      </w:r>
    </w:p>
    <w:p w:rsidR="00EE6A26" w:rsidRPr="00EE6A26" w:rsidRDefault="00EE6A26" w:rsidP="00EE6A26">
      <w:pPr>
        <w:keepNext/>
        <w:tabs>
          <w:tab w:val="left" w:pos="2977"/>
        </w:tabs>
        <w:spacing w:before="120" w:after="120"/>
        <w:rPr>
          <w:rFonts w:asciiTheme="majorHAnsi" w:hAnsiTheme="majorHAnsi" w:cstheme="majorHAnsi"/>
          <w:noProof/>
          <w:sz w:val="20"/>
        </w:rPr>
      </w:pPr>
      <w:r w:rsidRPr="00EE6A26">
        <w:rPr>
          <w:rFonts w:asciiTheme="majorHAnsi" w:hAnsiTheme="majorHAnsi" w:cstheme="majorHAnsi"/>
          <w:noProof/>
          <w:sz w:val="20"/>
        </w:rPr>
        <w:tab/>
        <w:t>1/N/PE AC, ~50Hz, 230V/TN-S</w:t>
      </w:r>
    </w:p>
    <w:p w:rsidR="00EE6A26" w:rsidRPr="00EE6A26" w:rsidRDefault="00EE6A26" w:rsidP="00EE6A26">
      <w:pPr>
        <w:keepNext/>
        <w:tabs>
          <w:tab w:val="left" w:pos="2977"/>
        </w:tabs>
        <w:spacing w:before="120" w:after="120"/>
        <w:rPr>
          <w:rFonts w:asciiTheme="majorHAnsi" w:hAnsiTheme="majorHAnsi" w:cstheme="majorHAnsi"/>
          <w:noProof/>
          <w:sz w:val="20"/>
        </w:rPr>
      </w:pPr>
      <w:r w:rsidRPr="00EE6A26">
        <w:rPr>
          <w:rFonts w:asciiTheme="majorHAnsi" w:hAnsiTheme="majorHAnsi" w:cstheme="majorHAnsi"/>
          <w:b/>
          <w:noProof/>
          <w:sz w:val="20"/>
        </w:rPr>
        <w:t>Elektrické vývody:</w:t>
      </w:r>
      <w:r w:rsidRPr="00EE6A26">
        <w:rPr>
          <w:rFonts w:asciiTheme="majorHAnsi" w:hAnsiTheme="majorHAnsi" w:cstheme="majorHAnsi"/>
          <w:b/>
          <w:noProof/>
          <w:sz w:val="20"/>
        </w:rPr>
        <w:tab/>
      </w:r>
      <w:r w:rsidRPr="00EE6A26">
        <w:rPr>
          <w:rFonts w:asciiTheme="majorHAnsi" w:hAnsiTheme="majorHAnsi" w:cstheme="majorHAnsi"/>
          <w:noProof/>
          <w:sz w:val="20"/>
        </w:rPr>
        <w:t>3/N/PE AC, ~50Hz, 400/230V/ TN-S</w:t>
      </w:r>
    </w:p>
    <w:p w:rsidR="00EE6A26" w:rsidRPr="00EE6A26" w:rsidRDefault="00EE6A26" w:rsidP="00EE6A26">
      <w:pPr>
        <w:keepNext/>
        <w:tabs>
          <w:tab w:val="left" w:pos="2977"/>
        </w:tabs>
        <w:spacing w:before="120" w:after="120"/>
        <w:rPr>
          <w:rFonts w:asciiTheme="majorHAnsi" w:hAnsiTheme="majorHAnsi" w:cstheme="majorHAnsi"/>
          <w:noProof/>
          <w:sz w:val="20"/>
        </w:rPr>
      </w:pPr>
      <w:r w:rsidRPr="00EE6A26">
        <w:rPr>
          <w:rFonts w:asciiTheme="majorHAnsi" w:hAnsiTheme="majorHAnsi" w:cstheme="majorHAnsi"/>
          <w:noProof/>
          <w:sz w:val="20"/>
        </w:rPr>
        <w:tab/>
        <w:t>1/N/PE AC, ~50Hz, 230V/TN-S</w:t>
      </w:r>
    </w:p>
    <w:p w:rsidR="00EE6A26" w:rsidRPr="00EE6A26" w:rsidRDefault="00EE6A26" w:rsidP="00EE6A26">
      <w:pPr>
        <w:keepNext/>
        <w:tabs>
          <w:tab w:val="left" w:pos="2977"/>
        </w:tabs>
        <w:spacing w:before="120" w:after="120"/>
        <w:rPr>
          <w:rFonts w:asciiTheme="majorHAnsi" w:hAnsiTheme="majorHAnsi" w:cstheme="majorHAnsi"/>
          <w:noProof/>
          <w:sz w:val="20"/>
        </w:rPr>
      </w:pPr>
      <w:r w:rsidRPr="00EE6A26">
        <w:rPr>
          <w:rFonts w:asciiTheme="majorHAnsi" w:hAnsiTheme="majorHAnsi" w:cstheme="majorHAnsi"/>
          <w:noProof/>
          <w:sz w:val="20"/>
        </w:rPr>
        <w:tab/>
        <w:t>2/DC 12/24V, 1/N/PE AC, ~50Hz, 230V/TN-S</w:t>
      </w:r>
    </w:p>
    <w:p w:rsidR="00EE6A26" w:rsidRPr="00EE6A26" w:rsidRDefault="00EE6A26" w:rsidP="00EE6A26">
      <w:pPr>
        <w:keepNext/>
        <w:tabs>
          <w:tab w:val="left" w:pos="2977"/>
        </w:tabs>
        <w:spacing w:before="120" w:after="120"/>
        <w:rPr>
          <w:rFonts w:asciiTheme="majorHAnsi" w:hAnsiTheme="majorHAnsi" w:cstheme="majorHAnsi"/>
          <w:noProof/>
          <w:sz w:val="20"/>
        </w:rPr>
      </w:pPr>
      <w:r w:rsidRPr="00EE6A26">
        <w:rPr>
          <w:rFonts w:asciiTheme="majorHAnsi" w:hAnsiTheme="majorHAnsi" w:cstheme="majorHAnsi"/>
          <w:noProof/>
          <w:sz w:val="20"/>
        </w:rPr>
        <w:tab/>
        <w:t>2/AC 12/24V, 1/N/PE AC, ~50Hz, 230V/TN-S</w:t>
      </w:r>
    </w:p>
    <w:p w:rsidR="00EE6A26" w:rsidRPr="00EE6A26" w:rsidRDefault="00EE6A26" w:rsidP="00EE6A26">
      <w:pPr>
        <w:tabs>
          <w:tab w:val="left" w:pos="2977"/>
        </w:tabs>
        <w:spacing w:before="120"/>
        <w:rPr>
          <w:rFonts w:asciiTheme="majorHAnsi" w:hAnsiTheme="majorHAnsi" w:cstheme="majorHAnsi"/>
          <w:noProof/>
          <w:sz w:val="20"/>
        </w:rPr>
      </w:pPr>
      <w:r w:rsidRPr="00EE6A26">
        <w:rPr>
          <w:rFonts w:asciiTheme="majorHAnsi" w:hAnsiTheme="majorHAnsi" w:cstheme="majorHAnsi"/>
          <w:b/>
          <w:noProof/>
          <w:snapToGrid w:val="0"/>
          <w:sz w:val="20"/>
        </w:rPr>
        <w:t>Rozvádzač RACK (dátovy):</w:t>
      </w:r>
      <w:r w:rsidRPr="00EE6A26">
        <w:rPr>
          <w:rFonts w:asciiTheme="majorHAnsi" w:hAnsiTheme="majorHAnsi" w:cstheme="majorHAnsi"/>
          <w:noProof/>
          <w:sz w:val="20"/>
        </w:rPr>
        <w:tab/>
        <w:t>2/DC 12/24V, 1/N/PE AC, ~50Hz, 230V/TN-S</w:t>
      </w:r>
    </w:p>
    <w:p w:rsidR="00EE6A26" w:rsidRPr="00EE6A26" w:rsidRDefault="00EE6A26" w:rsidP="00EE6A26">
      <w:pPr>
        <w:keepNext/>
        <w:spacing w:before="120" w:after="120" w:line="360" w:lineRule="auto"/>
        <w:rPr>
          <w:rFonts w:asciiTheme="majorHAnsi" w:hAnsiTheme="majorHAnsi" w:cstheme="majorHAnsi"/>
          <w:b/>
          <w:sz w:val="20"/>
        </w:rPr>
      </w:pPr>
      <w:r w:rsidRPr="00EE6A26">
        <w:rPr>
          <w:rFonts w:asciiTheme="majorHAnsi" w:hAnsiTheme="majorHAnsi" w:cstheme="majorHAnsi"/>
          <w:b/>
          <w:sz w:val="20"/>
        </w:rPr>
        <w:t>Ochranné opatrenie v zmysle STN 33 2000-4-41:</w:t>
      </w:r>
      <w:r w:rsidRPr="00EE6A26">
        <w:rPr>
          <w:rFonts w:asciiTheme="majorHAnsi" w:hAnsiTheme="majorHAnsi" w:cstheme="majorHAnsi"/>
          <w:b/>
          <w:noProof/>
          <w:color w:val="0687C4"/>
          <w:sz w:val="20"/>
        </w:rPr>
        <w:t xml:space="preserve"> </w:t>
      </w:r>
    </w:p>
    <w:p w:rsidR="00EE6A26" w:rsidRPr="00EE6A26" w:rsidRDefault="00EE6A26" w:rsidP="00EE6A26">
      <w:pPr>
        <w:keepNext/>
        <w:spacing w:before="120" w:after="120"/>
        <w:rPr>
          <w:rFonts w:asciiTheme="majorHAnsi" w:hAnsiTheme="majorHAnsi" w:cstheme="majorHAnsi"/>
          <w:sz w:val="20"/>
        </w:rPr>
      </w:pPr>
      <w:r w:rsidRPr="00EE6A26">
        <w:rPr>
          <w:rFonts w:asciiTheme="majorHAnsi" w:hAnsiTheme="majorHAnsi" w:cstheme="majorHAnsi"/>
          <w:sz w:val="20"/>
        </w:rPr>
        <w:t>1.) Požiadavky na základnú ochranu (ochranu pred priamym dotykom) v zmysle: čl.411.2 (STN 33 2000-4-41):</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Základná izolácia živých častí čl.A1</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Zábranami alebo krytmi čl.A2</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Prekážkami  čl.B2</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Umiestnením mimo dosah čl.B3</w:t>
      </w:r>
    </w:p>
    <w:p w:rsidR="00EE6A26" w:rsidRPr="00EE6A26" w:rsidRDefault="00EE6A26" w:rsidP="00EE6A26">
      <w:pPr>
        <w:keepNext/>
        <w:spacing w:before="120" w:after="120"/>
        <w:rPr>
          <w:rFonts w:asciiTheme="majorHAnsi" w:hAnsiTheme="majorHAnsi" w:cstheme="majorHAnsi"/>
          <w:sz w:val="20"/>
        </w:rPr>
      </w:pPr>
      <w:r w:rsidRPr="00EE6A26">
        <w:rPr>
          <w:rFonts w:asciiTheme="majorHAnsi" w:hAnsiTheme="majorHAnsi" w:cstheme="majorHAnsi"/>
          <w:sz w:val="20"/>
        </w:rPr>
        <w:t>2.) Požiadavky na ochranu pri poruche (ochranu pred nepriamym dotykom) v zmysle čl.411.3  (STN 33 2000-4-41):</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Ochranné uzemnenie a ochranné pospájanie čl.411.3.1</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Samočinné odpojenie pri poruche čl.411.3.2</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Doplnková ochrana prúdovými chráničmi čl.411.3.3</w:t>
      </w:r>
    </w:p>
    <w:p w:rsidR="00EE6A26" w:rsidRPr="00EE6A26" w:rsidRDefault="00EE6A26" w:rsidP="00EE6A26">
      <w:pPr>
        <w:keepNext/>
        <w:spacing w:before="120" w:after="120"/>
        <w:rPr>
          <w:rFonts w:asciiTheme="majorHAnsi" w:hAnsiTheme="majorHAnsi" w:cstheme="majorHAnsi"/>
          <w:sz w:val="20"/>
        </w:rPr>
      </w:pPr>
      <w:r w:rsidRPr="00EE6A26">
        <w:rPr>
          <w:rFonts w:asciiTheme="majorHAnsi" w:hAnsiTheme="majorHAnsi" w:cstheme="majorHAnsi"/>
          <w:sz w:val="20"/>
        </w:rPr>
        <w:t>3.) Malé napätie SELV a PELV v zmysle čl.414  (STN 33 2000-4-41)</w:t>
      </w:r>
    </w:p>
    <w:p w:rsidR="00EE6A26" w:rsidRPr="00EE6A26" w:rsidRDefault="00EE6A26" w:rsidP="00EE6A26">
      <w:pPr>
        <w:keepNext/>
        <w:spacing w:before="120" w:after="120"/>
        <w:rPr>
          <w:rFonts w:asciiTheme="majorHAnsi" w:hAnsiTheme="majorHAnsi" w:cstheme="majorHAnsi"/>
          <w:sz w:val="20"/>
        </w:rPr>
      </w:pPr>
      <w:r w:rsidRPr="00EE6A26">
        <w:rPr>
          <w:rFonts w:asciiTheme="majorHAnsi" w:hAnsiTheme="majorHAnsi" w:cstheme="majorHAnsi"/>
          <w:sz w:val="20"/>
        </w:rPr>
        <w:t>4.) Doplnková ochrana zmysle čl. 415 (STN 33 2000-4-41):</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Doplnková ochrana: prúdové chrániče (RCD) čl.415.1</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Doplnková ochrana: doplnkové ochranné pospájanie čl.415.2</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OCHRANA PRED ÚRAZOM ELEKTRICKÝM PRÚDOM</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Ochrana pred úrazom el. prúdom pri poruche bude v zmysle STN prevádzkovaná samočinným odpojením od napájania, hlavným a doplnkovým pospájaním. Projekcia ochranného vodiča (PE) bude zodpovedať prierezu napájacích káblov v zmysle STN 33 2000-1, 3, 4-41, 5-54, 6. Ochrana pred úrazom el. prúdom za normálnej prevádzky bude v zmysle STN 33 2000-1, 3, 4-41, 5-54, 6 izolovaním živých častí, krytmi, zábranami a pre vybrané priestory a zariadenia doplnková ochrana prúdovými chráničmi. Doplnková ochrana prúdovými chráničmi bude na zásuvkové okruhy a pevné vývody v kúpeľni a zásuvkové okruhy pre vonkajšie priestory a všetky ostatné priestory kde sú zásuvky určené pre používanie laikmi do 20A.</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lastRenderedPageBreak/>
        <w:t>OCHRANA PROTI VZNIKNUTÉMU PREPÄTIU</w:t>
      </w:r>
    </w:p>
    <w:p w:rsidR="00EE6A26" w:rsidRPr="00EE6A26" w:rsidRDefault="00EE6A26" w:rsidP="00EE6A26">
      <w:pPr>
        <w:keepNext/>
        <w:spacing w:before="120" w:after="240"/>
        <w:ind w:firstLine="567"/>
        <w:rPr>
          <w:rFonts w:asciiTheme="majorHAnsi" w:hAnsiTheme="majorHAnsi" w:cstheme="majorHAnsi"/>
          <w:sz w:val="20"/>
        </w:rPr>
      </w:pPr>
      <w:r w:rsidRPr="00EE6A26">
        <w:rPr>
          <w:rFonts w:asciiTheme="majorHAnsi" w:hAnsiTheme="majorHAnsi" w:cstheme="majorHAnsi"/>
          <w:sz w:val="20"/>
        </w:rPr>
        <w:t>Ochrana proti prepätiu v objekte je v hlavnom rozvádzači RH a RFVE na prívode rsp. na prechode kábla z LPZ0A do LPZ1 je nainštalovaná prepäťová ochrana typu T1+T2 (B+C). V rozvádzačoch je nainštalovaná prepäťová ochrana typu PROTEC I+II, ktorá na základe parametrov výrobcu zabezpečuje ochranu pred priamym a nepriamym zásahom blesku a kombinuje v sebe vlastnosti zvodiča bleskového prúdu a zvodiča prepätia. Prepäťová ochrana je skúšaná podľa STN EN 61643-1 s impulzným bleskovým prúdom  25 kA s prúdovou vlnou 10µs/350µs na jeden pól. Ochrana proti prepätiu v podružných rozvádzačoch a pod.. Na prívode rsp. v rozvádzačoch RS1 a RS2 na prechode kábla z LPZ1 do LPZ2 je nainštalovaná prepäťová ochrana typu T2 (C). V rozvádzači je nainštalovaná prepäťová ochrana typu COMBTEC I+II, ktorá na základe parametrov výrobcu zabezpečuje ochranu pred nepriamym zásahom blesku a kombinuje v sebe vlastnosti zvodiča bleskového prúdu a zvodiča prepätia. Prepäťová ochrana je skúšaná podľa STN EN 61643-1 s impulzným bleskovým prúdom  12 kA s prúdovou vlnou 10µs/350µs na jeden pól.</w:t>
      </w:r>
    </w:p>
    <w:p w:rsidR="00EE6A26" w:rsidRPr="00EE6A26" w:rsidRDefault="00EE6A26" w:rsidP="00EE6A26">
      <w:pPr>
        <w:keepNext/>
        <w:spacing w:before="120" w:after="240"/>
        <w:rPr>
          <w:rFonts w:asciiTheme="majorHAnsi" w:hAnsiTheme="majorHAnsi" w:cstheme="majorHAnsi"/>
          <w:sz w:val="20"/>
        </w:rPr>
      </w:pPr>
      <w:r w:rsidRPr="00EE6A26">
        <w:rPr>
          <w:rFonts w:asciiTheme="majorHAnsi" w:hAnsiTheme="majorHAnsi" w:cstheme="majorHAnsi"/>
          <w:sz w:val="20"/>
        </w:rPr>
        <w:t>Sú navrhnuté zvodiče bleskového prúdu a prepätia triedy (T1+T2). Prierez pripojovacích vodičov v zmysle STN 33 2000-5-534 v usporiadaní 4+0.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958"/>
        <w:gridCol w:w="3080"/>
      </w:tblGrid>
      <w:tr w:rsidR="00EE6A26" w:rsidRPr="00EE6A26" w:rsidTr="00A30F65">
        <w:trPr>
          <w:trHeight w:val="463"/>
        </w:trPr>
        <w:tc>
          <w:tcPr>
            <w:tcW w:w="3625"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b/>
                <w:bCs/>
                <w:sz w:val="20"/>
              </w:rPr>
              <w:t>Typ prepäťovej ochrany</w:t>
            </w:r>
          </w:p>
        </w:tc>
        <w:tc>
          <w:tcPr>
            <w:tcW w:w="3618"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b/>
                <w:bCs/>
                <w:sz w:val="20"/>
              </w:rPr>
              <w:t>Prierez vodičov vedenia</w:t>
            </w:r>
          </w:p>
        </w:tc>
        <w:tc>
          <w:tcPr>
            <w:tcW w:w="3633" w:type="dxa"/>
            <w:tcBorders>
              <w:top w:val="single" w:sz="4" w:space="0" w:color="auto"/>
              <w:left w:val="single" w:sz="4" w:space="0" w:color="auto"/>
              <w:bottom w:val="single" w:sz="4" w:space="0" w:color="auto"/>
              <w:right w:val="single" w:sz="4" w:space="0" w:color="auto"/>
            </w:tcBorders>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b/>
                <w:bCs/>
                <w:sz w:val="20"/>
              </w:rPr>
              <w:t>Minimálny prierez pripojovacích vodičov</w:t>
            </w:r>
          </w:p>
        </w:tc>
      </w:tr>
      <w:tr w:rsidR="00EE6A26" w:rsidRPr="00EE6A26" w:rsidTr="00A30F65">
        <w:trPr>
          <w:trHeight w:val="236"/>
        </w:trPr>
        <w:tc>
          <w:tcPr>
            <w:tcW w:w="3625" w:type="dxa"/>
            <w:tcBorders>
              <w:top w:val="single" w:sz="4" w:space="0" w:color="auto"/>
              <w:left w:val="single" w:sz="4" w:space="0" w:color="auto"/>
              <w:bottom w:val="single" w:sz="4" w:space="0" w:color="auto"/>
              <w:right w:val="single" w:sz="4" w:space="0" w:color="auto"/>
            </w:tcBorders>
            <w:hideMark/>
          </w:tcPr>
          <w:p w:rsidR="00EE6A26" w:rsidRPr="00EE6A26" w:rsidRDefault="00EE6A26" w:rsidP="00A30F65">
            <w:pPr>
              <w:keepNext/>
              <w:jc w:val="center"/>
              <w:rPr>
                <w:rFonts w:asciiTheme="majorHAnsi" w:hAnsiTheme="majorHAnsi" w:cstheme="majorHAnsi"/>
                <w:bCs/>
                <w:sz w:val="20"/>
              </w:rPr>
            </w:pPr>
            <w:r w:rsidRPr="00EE6A26">
              <w:rPr>
                <w:rFonts w:asciiTheme="majorHAnsi" w:hAnsiTheme="majorHAnsi" w:cstheme="majorHAnsi"/>
                <w:bCs/>
                <w:sz w:val="20"/>
              </w:rPr>
              <w:t>T1, T1 + TII</w:t>
            </w:r>
          </w:p>
        </w:tc>
        <w:tc>
          <w:tcPr>
            <w:tcW w:w="3618" w:type="dxa"/>
            <w:tcBorders>
              <w:top w:val="single" w:sz="4" w:space="0" w:color="auto"/>
              <w:left w:val="single" w:sz="4" w:space="0" w:color="auto"/>
              <w:bottom w:val="single" w:sz="4" w:space="0" w:color="auto"/>
              <w:right w:val="single" w:sz="4" w:space="0" w:color="auto"/>
            </w:tcBorders>
            <w:hideMark/>
          </w:tcPr>
          <w:p w:rsidR="00EE6A26" w:rsidRPr="00EE6A26" w:rsidRDefault="00EE6A26" w:rsidP="00A30F65">
            <w:pPr>
              <w:keepNext/>
              <w:jc w:val="center"/>
              <w:rPr>
                <w:rFonts w:asciiTheme="majorHAnsi" w:hAnsiTheme="majorHAnsi" w:cstheme="majorHAnsi"/>
                <w:bCs/>
                <w:sz w:val="20"/>
              </w:rPr>
            </w:pPr>
            <w:r w:rsidRPr="00EE6A26">
              <w:rPr>
                <w:rFonts w:asciiTheme="majorHAnsi" w:hAnsiTheme="majorHAnsi" w:cstheme="majorHAnsi"/>
                <w:bCs/>
                <w:sz w:val="20"/>
              </w:rPr>
              <w:t>všetky</w:t>
            </w:r>
          </w:p>
        </w:tc>
        <w:tc>
          <w:tcPr>
            <w:tcW w:w="3633" w:type="dxa"/>
            <w:tcBorders>
              <w:top w:val="single" w:sz="4" w:space="0" w:color="auto"/>
              <w:left w:val="single" w:sz="4" w:space="0" w:color="auto"/>
              <w:bottom w:val="single" w:sz="4" w:space="0" w:color="auto"/>
              <w:right w:val="single" w:sz="4" w:space="0" w:color="auto"/>
            </w:tcBorders>
            <w:hideMark/>
          </w:tcPr>
          <w:p w:rsidR="00EE6A26" w:rsidRPr="00EE6A26" w:rsidRDefault="00EE6A26" w:rsidP="00A30F65">
            <w:pPr>
              <w:keepNext/>
              <w:jc w:val="center"/>
              <w:rPr>
                <w:rFonts w:asciiTheme="majorHAnsi" w:hAnsiTheme="majorHAnsi" w:cstheme="majorHAnsi"/>
                <w:bCs/>
                <w:sz w:val="20"/>
              </w:rPr>
            </w:pPr>
            <w:r w:rsidRPr="00EE6A26">
              <w:rPr>
                <w:rFonts w:asciiTheme="majorHAnsi" w:hAnsiTheme="majorHAnsi" w:cstheme="majorHAnsi"/>
                <w:bCs/>
                <w:sz w:val="20"/>
              </w:rPr>
              <w:t>16 mm</w:t>
            </w:r>
            <w:r w:rsidRPr="00EE6A26">
              <w:rPr>
                <w:rFonts w:asciiTheme="majorHAnsi" w:hAnsiTheme="majorHAnsi" w:cstheme="majorHAnsi"/>
                <w:bCs/>
                <w:sz w:val="20"/>
                <w:vertAlign w:val="superscript"/>
              </w:rPr>
              <w:t>2</w:t>
            </w:r>
            <w:r w:rsidRPr="00EE6A26">
              <w:rPr>
                <w:rFonts w:asciiTheme="majorHAnsi" w:hAnsiTheme="majorHAnsi" w:cstheme="majorHAnsi"/>
                <w:bCs/>
                <w:sz w:val="20"/>
              </w:rPr>
              <w:t xml:space="preserve"> Cu</w:t>
            </w:r>
          </w:p>
        </w:tc>
      </w:tr>
      <w:tr w:rsidR="00EE6A26" w:rsidRPr="00EE6A26" w:rsidTr="00A30F65">
        <w:trPr>
          <w:trHeight w:val="236"/>
        </w:trPr>
        <w:tc>
          <w:tcPr>
            <w:tcW w:w="3625" w:type="dxa"/>
            <w:tcBorders>
              <w:top w:val="single" w:sz="4" w:space="0" w:color="auto"/>
              <w:left w:val="single" w:sz="4" w:space="0" w:color="auto"/>
              <w:bottom w:val="single" w:sz="4" w:space="0" w:color="auto"/>
              <w:right w:val="single" w:sz="4" w:space="0" w:color="auto"/>
            </w:tcBorders>
            <w:hideMark/>
          </w:tcPr>
          <w:p w:rsidR="00EE6A26" w:rsidRPr="00EE6A26" w:rsidRDefault="00EE6A26" w:rsidP="00A30F65">
            <w:pPr>
              <w:keepNext/>
              <w:jc w:val="center"/>
              <w:rPr>
                <w:rFonts w:asciiTheme="majorHAnsi" w:hAnsiTheme="majorHAnsi" w:cstheme="majorHAnsi"/>
                <w:bCs/>
                <w:sz w:val="20"/>
              </w:rPr>
            </w:pPr>
            <w:r w:rsidRPr="00EE6A26">
              <w:rPr>
                <w:rFonts w:asciiTheme="majorHAnsi" w:hAnsiTheme="majorHAnsi" w:cstheme="majorHAnsi"/>
                <w:bCs/>
                <w:sz w:val="20"/>
              </w:rPr>
              <w:t>TII, TIII</w:t>
            </w:r>
          </w:p>
        </w:tc>
        <w:tc>
          <w:tcPr>
            <w:tcW w:w="3618" w:type="dxa"/>
            <w:tcBorders>
              <w:top w:val="single" w:sz="4" w:space="0" w:color="auto"/>
              <w:left w:val="single" w:sz="4" w:space="0" w:color="auto"/>
              <w:bottom w:val="single" w:sz="4" w:space="0" w:color="auto"/>
              <w:right w:val="single" w:sz="4" w:space="0" w:color="auto"/>
            </w:tcBorders>
            <w:hideMark/>
          </w:tcPr>
          <w:p w:rsidR="00EE6A26" w:rsidRPr="00EE6A26" w:rsidRDefault="00EE6A26" w:rsidP="00A30F65">
            <w:pPr>
              <w:keepNext/>
              <w:jc w:val="center"/>
              <w:rPr>
                <w:rFonts w:asciiTheme="majorHAnsi" w:hAnsiTheme="majorHAnsi" w:cstheme="majorHAnsi"/>
                <w:bCs/>
                <w:sz w:val="20"/>
              </w:rPr>
            </w:pPr>
            <w:r w:rsidRPr="00EE6A26">
              <w:rPr>
                <w:rFonts w:asciiTheme="majorHAnsi" w:hAnsiTheme="majorHAnsi" w:cstheme="majorHAnsi"/>
                <w:bCs/>
                <w:sz w:val="20"/>
              </w:rPr>
              <w:t>≥ 4 mm</w:t>
            </w:r>
            <w:r w:rsidRPr="00EE6A26">
              <w:rPr>
                <w:rFonts w:asciiTheme="majorHAnsi" w:hAnsiTheme="majorHAnsi" w:cstheme="majorHAnsi"/>
                <w:bCs/>
                <w:sz w:val="20"/>
                <w:vertAlign w:val="superscript"/>
              </w:rPr>
              <w:t>2</w:t>
            </w:r>
          </w:p>
        </w:tc>
        <w:tc>
          <w:tcPr>
            <w:tcW w:w="3633" w:type="dxa"/>
            <w:tcBorders>
              <w:top w:val="single" w:sz="4" w:space="0" w:color="auto"/>
              <w:left w:val="single" w:sz="4" w:space="0" w:color="auto"/>
              <w:bottom w:val="single" w:sz="4" w:space="0" w:color="auto"/>
              <w:right w:val="single" w:sz="4" w:space="0" w:color="auto"/>
            </w:tcBorders>
            <w:hideMark/>
          </w:tcPr>
          <w:p w:rsidR="00EE6A26" w:rsidRPr="00EE6A26" w:rsidRDefault="00EE6A26" w:rsidP="00A30F65">
            <w:pPr>
              <w:keepNext/>
              <w:jc w:val="center"/>
              <w:rPr>
                <w:rFonts w:asciiTheme="majorHAnsi" w:hAnsiTheme="majorHAnsi" w:cstheme="majorHAnsi"/>
                <w:bCs/>
                <w:sz w:val="20"/>
              </w:rPr>
            </w:pPr>
            <w:r w:rsidRPr="00EE6A26">
              <w:rPr>
                <w:rFonts w:asciiTheme="majorHAnsi" w:hAnsiTheme="majorHAnsi" w:cstheme="majorHAnsi"/>
                <w:bCs/>
                <w:sz w:val="20"/>
              </w:rPr>
              <w:t>4 mm</w:t>
            </w:r>
            <w:r w:rsidRPr="00EE6A26">
              <w:rPr>
                <w:rFonts w:asciiTheme="majorHAnsi" w:hAnsiTheme="majorHAnsi" w:cstheme="majorHAnsi"/>
                <w:bCs/>
                <w:sz w:val="20"/>
                <w:vertAlign w:val="superscript"/>
              </w:rPr>
              <w:t>2</w:t>
            </w:r>
            <w:r w:rsidRPr="00EE6A26">
              <w:rPr>
                <w:rFonts w:asciiTheme="majorHAnsi" w:hAnsiTheme="majorHAnsi" w:cstheme="majorHAnsi"/>
                <w:bCs/>
                <w:sz w:val="20"/>
              </w:rPr>
              <w:t xml:space="preserve"> Cu</w:t>
            </w:r>
          </w:p>
        </w:tc>
      </w:tr>
      <w:tr w:rsidR="00EE6A26" w:rsidRPr="00EE6A26" w:rsidTr="00A30F65">
        <w:trPr>
          <w:trHeight w:val="236"/>
        </w:trPr>
        <w:tc>
          <w:tcPr>
            <w:tcW w:w="3625" w:type="dxa"/>
            <w:tcBorders>
              <w:top w:val="single" w:sz="4" w:space="0" w:color="auto"/>
              <w:left w:val="single" w:sz="4" w:space="0" w:color="auto"/>
              <w:bottom w:val="single" w:sz="4" w:space="0" w:color="auto"/>
              <w:right w:val="single" w:sz="4" w:space="0" w:color="auto"/>
            </w:tcBorders>
            <w:hideMark/>
          </w:tcPr>
          <w:p w:rsidR="00EE6A26" w:rsidRPr="00EE6A26" w:rsidRDefault="00EE6A26" w:rsidP="00A30F65">
            <w:pPr>
              <w:jc w:val="center"/>
              <w:rPr>
                <w:rFonts w:asciiTheme="majorHAnsi" w:hAnsiTheme="majorHAnsi" w:cstheme="majorHAnsi"/>
                <w:bCs/>
                <w:sz w:val="20"/>
              </w:rPr>
            </w:pPr>
            <w:r w:rsidRPr="00EE6A26">
              <w:rPr>
                <w:rFonts w:asciiTheme="majorHAnsi" w:hAnsiTheme="majorHAnsi" w:cstheme="majorHAnsi"/>
                <w:bCs/>
                <w:sz w:val="20"/>
              </w:rPr>
              <w:t>TII, TIII</w:t>
            </w:r>
          </w:p>
        </w:tc>
        <w:tc>
          <w:tcPr>
            <w:tcW w:w="3618" w:type="dxa"/>
            <w:tcBorders>
              <w:top w:val="single" w:sz="4" w:space="0" w:color="auto"/>
              <w:left w:val="single" w:sz="4" w:space="0" w:color="auto"/>
              <w:bottom w:val="single" w:sz="4" w:space="0" w:color="auto"/>
              <w:right w:val="single" w:sz="4" w:space="0" w:color="auto"/>
            </w:tcBorders>
            <w:hideMark/>
          </w:tcPr>
          <w:p w:rsidR="00EE6A26" w:rsidRPr="00EE6A26" w:rsidRDefault="00EE6A26" w:rsidP="00A30F65">
            <w:pPr>
              <w:jc w:val="center"/>
              <w:rPr>
                <w:rFonts w:asciiTheme="majorHAnsi" w:hAnsiTheme="majorHAnsi" w:cstheme="majorHAnsi"/>
                <w:bCs/>
                <w:sz w:val="20"/>
              </w:rPr>
            </w:pPr>
            <w:r w:rsidRPr="00EE6A26">
              <w:rPr>
                <w:rFonts w:asciiTheme="majorHAnsi" w:hAnsiTheme="majorHAnsi" w:cstheme="majorHAnsi"/>
                <w:bCs/>
                <w:sz w:val="20"/>
              </w:rPr>
              <w:t>≤ 4 mm</w:t>
            </w:r>
            <w:r w:rsidRPr="00EE6A26">
              <w:rPr>
                <w:rFonts w:asciiTheme="majorHAnsi" w:hAnsiTheme="majorHAnsi" w:cstheme="majorHAnsi"/>
                <w:bCs/>
                <w:sz w:val="20"/>
                <w:vertAlign w:val="superscript"/>
              </w:rPr>
              <w:t>2</w:t>
            </w:r>
          </w:p>
        </w:tc>
        <w:tc>
          <w:tcPr>
            <w:tcW w:w="3633" w:type="dxa"/>
            <w:tcBorders>
              <w:top w:val="single" w:sz="4" w:space="0" w:color="auto"/>
              <w:left w:val="single" w:sz="4" w:space="0" w:color="auto"/>
              <w:bottom w:val="single" w:sz="4" w:space="0" w:color="auto"/>
              <w:right w:val="single" w:sz="4" w:space="0" w:color="auto"/>
            </w:tcBorders>
            <w:hideMark/>
          </w:tcPr>
          <w:p w:rsidR="00EE6A26" w:rsidRPr="00EE6A26" w:rsidRDefault="00EE6A26" w:rsidP="00A30F65">
            <w:pPr>
              <w:jc w:val="center"/>
              <w:rPr>
                <w:rFonts w:asciiTheme="majorHAnsi" w:hAnsiTheme="majorHAnsi" w:cstheme="majorHAnsi"/>
                <w:bCs/>
                <w:sz w:val="20"/>
              </w:rPr>
            </w:pPr>
            <w:r w:rsidRPr="00EE6A26">
              <w:rPr>
                <w:rFonts w:asciiTheme="majorHAnsi" w:hAnsiTheme="majorHAnsi" w:cstheme="majorHAnsi"/>
                <w:bCs/>
                <w:sz w:val="20"/>
              </w:rPr>
              <w:t>Prierez vodičov vedenia</w:t>
            </w:r>
          </w:p>
        </w:tc>
      </w:tr>
    </w:tbl>
    <w:p w:rsidR="00EE6A26" w:rsidRPr="00EE6A26" w:rsidRDefault="00EE6A26" w:rsidP="00EE6A26">
      <w:pPr>
        <w:ind w:firstLine="708"/>
        <w:rPr>
          <w:rFonts w:asciiTheme="majorHAnsi" w:hAnsiTheme="majorHAnsi" w:cstheme="majorHAnsi"/>
          <w:bCs/>
          <w:sz w:val="20"/>
        </w:rPr>
      </w:pPr>
    </w:p>
    <w:p w:rsidR="00EE6A26" w:rsidRPr="00EE6A26" w:rsidRDefault="00EE6A26" w:rsidP="00EE6A26">
      <w:pPr>
        <w:ind w:firstLine="708"/>
        <w:rPr>
          <w:rFonts w:asciiTheme="majorHAnsi" w:hAnsiTheme="majorHAnsi" w:cstheme="majorHAnsi"/>
          <w:color w:val="000000" w:themeColor="text1"/>
          <w:sz w:val="20"/>
        </w:rPr>
      </w:pPr>
      <w:r w:rsidRPr="00EE6A26">
        <w:rPr>
          <w:rFonts w:asciiTheme="majorHAnsi" w:hAnsiTheme="majorHAnsi" w:cstheme="majorHAnsi"/>
          <w:bCs/>
          <w:sz w:val="20"/>
        </w:rPr>
        <w:t>V prípade použitia iného materiálu na pripojovacie vodiče musí byť použitý prierez ekvivalentný prierezu Cu vodičov.</w:t>
      </w:r>
      <w:r w:rsidRPr="00EE6A26">
        <w:rPr>
          <w:rFonts w:asciiTheme="majorHAnsi" w:hAnsiTheme="majorHAnsi" w:cstheme="majorHAnsi"/>
          <w:color w:val="000000" w:themeColor="text1"/>
          <w:sz w:val="20"/>
        </w:rPr>
        <w:t xml:space="preserve"> Na streche sa zatiaľ zo žiadnymi zariadeniami mimo ochrannej zóny bleskozvodu neuvažuje a preto nie je potrebná koordinovaná ochrana SPD pri prechode kabeláže zo strechy do interiéru. V prípade doplnenia zariadení na strechu je povinný realizátor spolu z investorom kontaktovať projektanta pre doplnenie koordinovanej ochrany SPD.</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ELEKTROENERGETICKÁ BILANCIA PRE SO01,SO02,SO03,SO04</w:t>
      </w:r>
    </w:p>
    <w:tbl>
      <w:tblPr>
        <w:tblW w:w="9040" w:type="dxa"/>
        <w:tblInd w:w="80" w:type="dxa"/>
        <w:tblCellMar>
          <w:left w:w="70" w:type="dxa"/>
          <w:right w:w="70" w:type="dxa"/>
        </w:tblCellMar>
        <w:tblLook w:val="04A0" w:firstRow="1" w:lastRow="0" w:firstColumn="1" w:lastColumn="0" w:noHBand="0" w:noVBand="1"/>
      </w:tblPr>
      <w:tblGrid>
        <w:gridCol w:w="3104"/>
        <w:gridCol w:w="957"/>
        <w:gridCol w:w="957"/>
        <w:gridCol w:w="957"/>
        <w:gridCol w:w="957"/>
        <w:gridCol w:w="2108"/>
      </w:tblGrid>
      <w:tr w:rsidR="00EE6A26" w:rsidRPr="00EE6A26" w:rsidTr="00EE6A26">
        <w:trPr>
          <w:trHeight w:val="814"/>
        </w:trPr>
        <w:tc>
          <w:tcPr>
            <w:tcW w:w="3104" w:type="dxa"/>
            <w:tcBorders>
              <w:top w:val="single" w:sz="8" w:space="0" w:color="auto"/>
              <w:left w:val="single" w:sz="8" w:space="0" w:color="auto"/>
              <w:bottom w:val="single" w:sz="4" w:space="0" w:color="auto"/>
              <w:right w:val="single" w:sz="4" w:space="0" w:color="auto"/>
            </w:tcBorders>
            <w:shd w:val="clear" w:color="000000" w:fill="FFFFFF"/>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SO 01,02,03,04</w:t>
            </w:r>
          </w:p>
        </w:tc>
        <w:tc>
          <w:tcPr>
            <w:tcW w:w="957" w:type="dxa"/>
            <w:tcBorders>
              <w:top w:val="single" w:sz="8"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Počet</w:t>
            </w:r>
          </w:p>
        </w:tc>
        <w:tc>
          <w:tcPr>
            <w:tcW w:w="957" w:type="dxa"/>
            <w:tcBorders>
              <w:top w:val="single" w:sz="8"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Pi (kW)</w:t>
            </w:r>
          </w:p>
        </w:tc>
        <w:tc>
          <w:tcPr>
            <w:tcW w:w="957" w:type="dxa"/>
            <w:tcBorders>
              <w:top w:val="single" w:sz="8"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Ps (kW)</w:t>
            </w:r>
          </w:p>
        </w:tc>
        <w:tc>
          <w:tcPr>
            <w:tcW w:w="957" w:type="dxa"/>
            <w:tcBorders>
              <w:top w:val="single" w:sz="8"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β</w:t>
            </w:r>
          </w:p>
        </w:tc>
        <w:tc>
          <w:tcPr>
            <w:tcW w:w="2108" w:type="dxa"/>
            <w:tcBorders>
              <w:top w:val="single" w:sz="8" w:space="0" w:color="auto"/>
              <w:left w:val="nil"/>
              <w:bottom w:val="single" w:sz="4" w:space="0" w:color="auto"/>
              <w:right w:val="single" w:sz="4" w:space="0" w:color="auto"/>
            </w:tcBorders>
            <w:shd w:val="clear" w:color="000000" w:fill="FFFFFF"/>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MRK</w:t>
            </w:r>
          </w:p>
        </w:tc>
      </w:tr>
      <w:tr w:rsidR="00EE6A26" w:rsidRPr="00EE6A26" w:rsidTr="00EE6A26">
        <w:trPr>
          <w:trHeight w:val="814"/>
        </w:trPr>
        <w:tc>
          <w:tcPr>
            <w:tcW w:w="3104" w:type="dxa"/>
            <w:tcBorders>
              <w:top w:val="nil"/>
              <w:left w:val="single" w:sz="8" w:space="0" w:color="auto"/>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Elektroinštalácia+vykurovania a klíma</w:t>
            </w:r>
          </w:p>
        </w:tc>
        <w:tc>
          <w:tcPr>
            <w:tcW w:w="957"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1</w:t>
            </w:r>
          </w:p>
        </w:tc>
        <w:tc>
          <w:tcPr>
            <w:tcW w:w="957"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25</w:t>
            </w:r>
          </w:p>
        </w:tc>
        <w:tc>
          <w:tcPr>
            <w:tcW w:w="957"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15</w:t>
            </w:r>
          </w:p>
        </w:tc>
        <w:tc>
          <w:tcPr>
            <w:tcW w:w="957"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0,6</w:t>
            </w:r>
          </w:p>
        </w:tc>
        <w:tc>
          <w:tcPr>
            <w:tcW w:w="2108" w:type="dxa"/>
            <w:tcBorders>
              <w:top w:val="nil"/>
              <w:left w:val="nil"/>
              <w:bottom w:val="single" w:sz="4" w:space="0" w:color="auto"/>
              <w:right w:val="single" w:sz="4" w:space="0" w:color="auto"/>
            </w:tcBorders>
            <w:shd w:val="clear" w:color="000000" w:fill="FFFFFF"/>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3x25A/B z distribučnej siete</w:t>
            </w:r>
          </w:p>
        </w:tc>
      </w:tr>
      <w:tr w:rsidR="00EE6A26" w:rsidRPr="00EE6A26" w:rsidTr="00EE6A26">
        <w:trPr>
          <w:trHeight w:val="814"/>
        </w:trPr>
        <w:tc>
          <w:tcPr>
            <w:tcW w:w="3104" w:type="dxa"/>
            <w:tcBorders>
              <w:top w:val="nil"/>
              <w:left w:val="single" w:sz="8" w:space="0" w:color="auto"/>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Technológia</w:t>
            </w:r>
          </w:p>
        </w:tc>
        <w:tc>
          <w:tcPr>
            <w:tcW w:w="957"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1</w:t>
            </w:r>
          </w:p>
        </w:tc>
        <w:tc>
          <w:tcPr>
            <w:tcW w:w="957"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33</w:t>
            </w:r>
          </w:p>
        </w:tc>
        <w:tc>
          <w:tcPr>
            <w:tcW w:w="957"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17,5</w:t>
            </w:r>
          </w:p>
        </w:tc>
        <w:tc>
          <w:tcPr>
            <w:tcW w:w="957"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0,53</w:t>
            </w:r>
          </w:p>
        </w:tc>
        <w:tc>
          <w:tcPr>
            <w:tcW w:w="2108" w:type="dxa"/>
            <w:tcBorders>
              <w:top w:val="nil"/>
              <w:left w:val="nil"/>
              <w:bottom w:val="single" w:sz="4" w:space="0" w:color="auto"/>
              <w:right w:val="single" w:sz="4" w:space="0" w:color="auto"/>
            </w:tcBorders>
            <w:shd w:val="clear" w:color="000000" w:fill="FFFFFF"/>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3x32A/B z fotovoltiky</w:t>
            </w:r>
          </w:p>
        </w:tc>
      </w:tr>
      <w:tr w:rsidR="00EE6A26" w:rsidRPr="00EE6A26" w:rsidTr="00EE6A26">
        <w:trPr>
          <w:trHeight w:val="814"/>
        </w:trPr>
        <w:tc>
          <w:tcPr>
            <w:tcW w:w="3104" w:type="dxa"/>
            <w:tcBorders>
              <w:top w:val="nil"/>
              <w:left w:val="single" w:sz="8" w:space="0" w:color="auto"/>
              <w:bottom w:val="single" w:sz="4" w:space="0" w:color="auto"/>
              <w:right w:val="single" w:sz="4" w:space="0" w:color="auto"/>
            </w:tcBorders>
            <w:shd w:val="clear" w:color="000000" w:fill="FFFFFF"/>
            <w:noWrap/>
            <w:vAlign w:val="center"/>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xml:space="preserve">                             </w:t>
            </w:r>
          </w:p>
        </w:tc>
        <w:tc>
          <w:tcPr>
            <w:tcW w:w="957"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w:t>
            </w:r>
          </w:p>
        </w:tc>
        <w:tc>
          <w:tcPr>
            <w:tcW w:w="957"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w:t>
            </w:r>
          </w:p>
        </w:tc>
        <w:tc>
          <w:tcPr>
            <w:tcW w:w="957"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w:t>
            </w:r>
          </w:p>
        </w:tc>
        <w:tc>
          <w:tcPr>
            <w:tcW w:w="957"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p>
        </w:tc>
        <w:tc>
          <w:tcPr>
            <w:tcW w:w="2108" w:type="dxa"/>
            <w:tcBorders>
              <w:top w:val="nil"/>
              <w:left w:val="nil"/>
              <w:bottom w:val="single" w:sz="4" w:space="0" w:color="auto"/>
              <w:right w:val="single" w:sz="4" w:space="0" w:color="auto"/>
            </w:tcBorders>
            <w:shd w:val="clear" w:color="000000" w:fill="FFFFFF"/>
          </w:tcPr>
          <w:p w:rsidR="00EE6A26" w:rsidRPr="00EE6A26" w:rsidRDefault="00EE6A26" w:rsidP="00A30F65">
            <w:pPr>
              <w:jc w:val="center"/>
              <w:rPr>
                <w:rFonts w:asciiTheme="majorHAnsi" w:hAnsiTheme="majorHAnsi" w:cstheme="majorHAnsi"/>
                <w:color w:val="000000"/>
                <w:sz w:val="20"/>
              </w:rPr>
            </w:pPr>
          </w:p>
        </w:tc>
      </w:tr>
      <w:tr w:rsidR="00EE6A26" w:rsidRPr="00EE6A26" w:rsidTr="00EE6A26">
        <w:trPr>
          <w:trHeight w:val="849"/>
        </w:trPr>
        <w:tc>
          <w:tcPr>
            <w:tcW w:w="3104" w:type="dxa"/>
            <w:tcBorders>
              <w:top w:val="nil"/>
              <w:left w:val="single" w:sz="8" w:space="0" w:color="auto"/>
              <w:bottom w:val="single" w:sz="8"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Spolu odberných miest</w:t>
            </w:r>
          </w:p>
        </w:tc>
        <w:tc>
          <w:tcPr>
            <w:tcW w:w="957" w:type="dxa"/>
            <w:tcBorders>
              <w:top w:val="nil"/>
              <w:left w:val="nil"/>
              <w:bottom w:val="single" w:sz="8"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p>
        </w:tc>
        <w:tc>
          <w:tcPr>
            <w:tcW w:w="957" w:type="dxa"/>
            <w:tcBorders>
              <w:top w:val="nil"/>
              <w:left w:val="nil"/>
              <w:bottom w:val="single" w:sz="8" w:space="0" w:color="auto"/>
              <w:right w:val="single" w:sz="4" w:space="0" w:color="auto"/>
            </w:tcBorders>
            <w:shd w:val="clear" w:color="000000" w:fill="FFFFFF"/>
            <w:noWrap/>
            <w:vAlign w:val="center"/>
            <w:hideMark/>
          </w:tcPr>
          <w:p w:rsidR="00EE6A26" w:rsidRPr="009F7606" w:rsidRDefault="00EE6A26" w:rsidP="00A30F65">
            <w:pPr>
              <w:jc w:val="center"/>
              <w:rPr>
                <w:rFonts w:asciiTheme="majorHAnsi" w:hAnsiTheme="majorHAnsi" w:cstheme="majorHAnsi"/>
                <w:b/>
                <w:bCs/>
                <w:sz w:val="20"/>
              </w:rPr>
            </w:pPr>
            <w:r w:rsidRPr="009F7606">
              <w:rPr>
                <w:rFonts w:asciiTheme="majorHAnsi" w:hAnsiTheme="majorHAnsi" w:cstheme="majorHAnsi"/>
                <w:b/>
                <w:bCs/>
                <w:sz w:val="20"/>
              </w:rPr>
              <w:t>58</w:t>
            </w:r>
          </w:p>
        </w:tc>
        <w:tc>
          <w:tcPr>
            <w:tcW w:w="957" w:type="dxa"/>
            <w:tcBorders>
              <w:top w:val="nil"/>
              <w:left w:val="nil"/>
              <w:bottom w:val="single" w:sz="8" w:space="0" w:color="auto"/>
              <w:right w:val="single" w:sz="4" w:space="0" w:color="auto"/>
            </w:tcBorders>
            <w:shd w:val="clear" w:color="000000" w:fill="FFFFFF"/>
            <w:noWrap/>
            <w:vAlign w:val="center"/>
            <w:hideMark/>
          </w:tcPr>
          <w:p w:rsidR="00EE6A26" w:rsidRPr="009F7606" w:rsidRDefault="00EE6A26" w:rsidP="00A30F65">
            <w:pPr>
              <w:jc w:val="center"/>
              <w:rPr>
                <w:rFonts w:asciiTheme="majorHAnsi" w:hAnsiTheme="majorHAnsi" w:cstheme="majorHAnsi"/>
                <w:b/>
                <w:bCs/>
                <w:sz w:val="20"/>
              </w:rPr>
            </w:pPr>
            <w:r w:rsidRPr="009F7606">
              <w:rPr>
                <w:rFonts w:asciiTheme="majorHAnsi" w:hAnsiTheme="majorHAnsi" w:cstheme="majorHAnsi"/>
                <w:b/>
                <w:bCs/>
                <w:sz w:val="20"/>
              </w:rPr>
              <w:t>31,5</w:t>
            </w:r>
          </w:p>
        </w:tc>
        <w:tc>
          <w:tcPr>
            <w:tcW w:w="957" w:type="dxa"/>
            <w:tcBorders>
              <w:top w:val="nil"/>
              <w:left w:val="nil"/>
              <w:bottom w:val="single" w:sz="8"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p>
        </w:tc>
        <w:tc>
          <w:tcPr>
            <w:tcW w:w="2108" w:type="dxa"/>
            <w:tcBorders>
              <w:top w:val="nil"/>
              <w:left w:val="nil"/>
              <w:bottom w:val="single" w:sz="8" w:space="0" w:color="auto"/>
              <w:right w:val="single" w:sz="4" w:space="0" w:color="auto"/>
            </w:tcBorders>
            <w:shd w:val="clear" w:color="000000" w:fill="FFFFFF"/>
          </w:tcPr>
          <w:p w:rsidR="00EE6A26" w:rsidRPr="00EE6A26" w:rsidRDefault="00EE6A26" w:rsidP="00A30F65">
            <w:pPr>
              <w:jc w:val="center"/>
              <w:rPr>
                <w:rFonts w:asciiTheme="majorHAnsi" w:hAnsiTheme="majorHAnsi" w:cstheme="majorHAnsi"/>
                <w:b/>
                <w:bCs/>
                <w:color w:val="000000"/>
                <w:sz w:val="20"/>
              </w:rPr>
            </w:pPr>
          </w:p>
        </w:tc>
      </w:tr>
    </w:tbl>
    <w:p w:rsidR="00EE6A26" w:rsidRPr="00EE6A26" w:rsidRDefault="00EE6A26" w:rsidP="00EE6A26">
      <w:pPr>
        <w:rPr>
          <w:rFonts w:asciiTheme="majorHAnsi" w:hAnsiTheme="majorHAnsi" w:cstheme="majorHAnsi"/>
          <w:sz w:val="20"/>
        </w:rPr>
      </w:pPr>
    </w:p>
    <w:tbl>
      <w:tblPr>
        <w:tblW w:w="9053" w:type="dxa"/>
        <w:tblInd w:w="75" w:type="dxa"/>
        <w:tblCellMar>
          <w:left w:w="70" w:type="dxa"/>
          <w:right w:w="70" w:type="dxa"/>
        </w:tblCellMar>
        <w:tblLook w:val="04A0" w:firstRow="1" w:lastRow="0" w:firstColumn="1" w:lastColumn="0" w:noHBand="0" w:noVBand="1"/>
      </w:tblPr>
      <w:tblGrid>
        <w:gridCol w:w="1524"/>
        <w:gridCol w:w="243"/>
        <w:gridCol w:w="246"/>
        <w:gridCol w:w="530"/>
        <w:gridCol w:w="696"/>
        <w:gridCol w:w="750"/>
        <w:gridCol w:w="530"/>
        <w:gridCol w:w="494"/>
        <w:gridCol w:w="1335"/>
        <w:gridCol w:w="530"/>
        <w:gridCol w:w="750"/>
        <w:gridCol w:w="1426"/>
      </w:tblGrid>
      <w:tr w:rsidR="00EE6A26" w:rsidRPr="00EE6A26" w:rsidTr="00EE6A26">
        <w:trPr>
          <w:trHeight w:val="231"/>
        </w:trPr>
        <w:tc>
          <w:tcPr>
            <w:tcW w:w="2013" w:type="dxa"/>
            <w:gridSpan w:val="3"/>
            <w:tcBorders>
              <w:top w:val="single" w:sz="4" w:space="0" w:color="auto"/>
              <w:left w:val="single" w:sz="4" w:space="0" w:color="auto"/>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VÝKONOVÁ BILANCIA-SUMARIZÁCIA ∑</w:t>
            </w:r>
          </w:p>
        </w:tc>
        <w:tc>
          <w:tcPr>
            <w:tcW w:w="530"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695"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49"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0"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493"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335"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0"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49"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426" w:type="dxa"/>
            <w:tcBorders>
              <w:top w:val="single" w:sz="4" w:space="0" w:color="auto"/>
              <w:left w:val="nil"/>
              <w:bottom w:val="nil"/>
              <w:right w:val="single" w:sz="4" w:space="0" w:color="auto"/>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r>
      <w:tr w:rsidR="00EE6A26" w:rsidRPr="00EE6A26" w:rsidTr="00EE6A26">
        <w:trPr>
          <w:trHeight w:val="231"/>
        </w:trPr>
        <w:tc>
          <w:tcPr>
            <w:tcW w:w="3989" w:type="dxa"/>
            <w:gridSpan w:val="6"/>
            <w:tcBorders>
              <w:top w:val="single" w:sz="4" w:space="0" w:color="auto"/>
              <w:left w:val="single" w:sz="4" w:space="0" w:color="auto"/>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koeficient súčasnosti βn podľa STN 33 2130</w:t>
            </w:r>
          </w:p>
        </w:tc>
        <w:tc>
          <w:tcPr>
            <w:tcW w:w="530" w:type="dxa"/>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493" w:type="dxa"/>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335" w:type="dxa"/>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0" w:type="dxa"/>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49" w:type="dxa"/>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426" w:type="dxa"/>
            <w:tcBorders>
              <w:top w:val="single" w:sz="4"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r>
      <w:tr w:rsidR="00EE6A26" w:rsidRPr="00EE6A26" w:rsidTr="00EE6A26">
        <w:trPr>
          <w:trHeight w:val="231"/>
        </w:trPr>
        <w:tc>
          <w:tcPr>
            <w:tcW w:w="2543" w:type="dxa"/>
            <w:gridSpan w:val="4"/>
            <w:tcBorders>
              <w:top w:val="single" w:sz="4" w:space="0" w:color="auto"/>
              <w:left w:val="single" w:sz="4" w:space="0" w:color="auto"/>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xml:space="preserve">βn = β∞ +(1 - β∞) / √n </w:t>
            </w:r>
          </w:p>
        </w:tc>
        <w:tc>
          <w:tcPr>
            <w:tcW w:w="1445" w:type="dxa"/>
            <w:gridSpan w:val="2"/>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koeficient  β∞ =</w:t>
            </w:r>
          </w:p>
        </w:tc>
        <w:tc>
          <w:tcPr>
            <w:tcW w:w="530" w:type="dxa"/>
            <w:tcBorders>
              <w:top w:val="nil"/>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p>
        </w:tc>
        <w:tc>
          <w:tcPr>
            <w:tcW w:w="493" w:type="dxa"/>
            <w:tcBorders>
              <w:top w:val="nil"/>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335" w:type="dxa"/>
            <w:tcBorders>
              <w:top w:val="nil"/>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0" w:type="dxa"/>
            <w:tcBorders>
              <w:top w:val="nil"/>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49" w:type="dxa"/>
            <w:tcBorders>
              <w:top w:val="nil"/>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426"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r>
      <w:tr w:rsidR="00EE6A26" w:rsidRPr="00EE6A26" w:rsidTr="00EE6A26">
        <w:trPr>
          <w:trHeight w:val="231"/>
        </w:trPr>
        <w:tc>
          <w:tcPr>
            <w:tcW w:w="1524" w:type="dxa"/>
            <w:tcBorders>
              <w:top w:val="nil"/>
              <w:left w:val="single" w:sz="4" w:space="0" w:color="auto"/>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243"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245"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0"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695"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49"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počet</w:t>
            </w:r>
          </w:p>
        </w:tc>
        <w:tc>
          <w:tcPr>
            <w:tcW w:w="1024" w:type="dxa"/>
            <w:gridSpan w:val="2"/>
            <w:tcBorders>
              <w:top w:val="single" w:sz="4" w:space="0" w:color="auto"/>
              <w:left w:val="nil"/>
              <w:bottom w:val="nil"/>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 xml:space="preserve">príkon </w:t>
            </w:r>
          </w:p>
        </w:tc>
        <w:tc>
          <w:tcPr>
            <w:tcW w:w="1335" w:type="dxa"/>
            <w:tcBorders>
              <w:top w:val="nil"/>
              <w:left w:val="nil"/>
              <w:bottom w:val="nil"/>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 xml:space="preserve">inštalovaný </w:t>
            </w:r>
          </w:p>
        </w:tc>
        <w:tc>
          <w:tcPr>
            <w:tcW w:w="1280" w:type="dxa"/>
            <w:gridSpan w:val="2"/>
            <w:tcBorders>
              <w:top w:val="single" w:sz="4" w:space="0" w:color="auto"/>
              <w:left w:val="nil"/>
              <w:bottom w:val="nil"/>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 xml:space="preserve">koeficient </w:t>
            </w:r>
          </w:p>
        </w:tc>
        <w:tc>
          <w:tcPr>
            <w:tcW w:w="1426" w:type="dxa"/>
            <w:tcBorders>
              <w:top w:val="nil"/>
              <w:left w:val="nil"/>
              <w:bottom w:val="nil"/>
              <w:right w:val="single" w:sz="4" w:space="0" w:color="auto"/>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xml:space="preserve">súčasný príkon </w:t>
            </w:r>
          </w:p>
        </w:tc>
      </w:tr>
      <w:tr w:rsidR="00EE6A26" w:rsidRPr="00EE6A26" w:rsidTr="00EE6A26">
        <w:trPr>
          <w:trHeight w:val="231"/>
        </w:trPr>
        <w:tc>
          <w:tcPr>
            <w:tcW w:w="1524" w:type="dxa"/>
            <w:tcBorders>
              <w:top w:val="nil"/>
              <w:left w:val="single" w:sz="4" w:space="0" w:color="auto"/>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243"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245"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0"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695"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49" w:type="dxa"/>
            <w:vMerge/>
            <w:tcBorders>
              <w:top w:val="nil"/>
              <w:left w:val="single" w:sz="4" w:space="0" w:color="auto"/>
              <w:bottom w:val="single" w:sz="4" w:space="0" w:color="000000"/>
              <w:right w:val="single" w:sz="4" w:space="0" w:color="auto"/>
            </w:tcBorders>
            <w:vAlign w:val="center"/>
            <w:hideMark/>
          </w:tcPr>
          <w:p w:rsidR="00EE6A26" w:rsidRPr="00EE6A26" w:rsidRDefault="00EE6A26" w:rsidP="00A30F65">
            <w:pPr>
              <w:rPr>
                <w:rFonts w:asciiTheme="majorHAnsi" w:hAnsiTheme="majorHAnsi" w:cstheme="majorHAnsi"/>
                <w:color w:val="000000"/>
                <w:sz w:val="20"/>
              </w:rPr>
            </w:pPr>
          </w:p>
        </w:tc>
        <w:tc>
          <w:tcPr>
            <w:tcW w:w="1024" w:type="dxa"/>
            <w:gridSpan w:val="2"/>
            <w:tcBorders>
              <w:top w:val="nil"/>
              <w:left w:val="nil"/>
              <w:bottom w:val="single" w:sz="4" w:space="0" w:color="auto"/>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[kW]</w:t>
            </w:r>
          </w:p>
        </w:tc>
        <w:tc>
          <w:tcPr>
            <w:tcW w:w="1335"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príkon [kW]</w:t>
            </w:r>
          </w:p>
        </w:tc>
        <w:tc>
          <w:tcPr>
            <w:tcW w:w="1280" w:type="dxa"/>
            <w:gridSpan w:val="2"/>
            <w:tcBorders>
              <w:top w:val="nil"/>
              <w:left w:val="nil"/>
              <w:bottom w:val="single" w:sz="4" w:space="0" w:color="auto"/>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 xml:space="preserve">súčasnosti βn </w:t>
            </w:r>
          </w:p>
        </w:tc>
        <w:tc>
          <w:tcPr>
            <w:tcW w:w="1426"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 xml:space="preserve">Ps [kW] </w:t>
            </w:r>
          </w:p>
        </w:tc>
      </w:tr>
      <w:tr w:rsidR="00EE6A26" w:rsidRPr="00EE6A26" w:rsidTr="00EE6A26">
        <w:trPr>
          <w:trHeight w:val="231"/>
        </w:trPr>
        <w:tc>
          <w:tcPr>
            <w:tcW w:w="3239"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Rozvádzač RH</w:t>
            </w:r>
          </w:p>
        </w:tc>
        <w:tc>
          <w:tcPr>
            <w:tcW w:w="749"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1</w:t>
            </w:r>
          </w:p>
        </w:tc>
        <w:tc>
          <w:tcPr>
            <w:tcW w:w="1024"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58</w:t>
            </w:r>
          </w:p>
        </w:tc>
        <w:tc>
          <w:tcPr>
            <w:tcW w:w="1335"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58</w:t>
            </w:r>
          </w:p>
        </w:tc>
        <w:tc>
          <w:tcPr>
            <w:tcW w:w="1280"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p>
        </w:tc>
        <w:tc>
          <w:tcPr>
            <w:tcW w:w="1426"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31,5</w:t>
            </w:r>
          </w:p>
        </w:tc>
      </w:tr>
    </w:tbl>
    <w:p w:rsidR="00EE6A26" w:rsidRPr="00EE6A26" w:rsidRDefault="00EE6A26" w:rsidP="00EE6A26">
      <w:pPr>
        <w:rPr>
          <w:rFonts w:asciiTheme="majorHAnsi" w:hAnsiTheme="majorHAnsi" w:cstheme="majorHAnsi"/>
          <w:b/>
          <w:sz w:val="20"/>
        </w:rPr>
      </w:pPr>
    </w:p>
    <w:p w:rsidR="00EE6A26" w:rsidRPr="00EE6A26" w:rsidRDefault="00EE6A26" w:rsidP="00EE6A26">
      <w:pPr>
        <w:rPr>
          <w:rFonts w:asciiTheme="majorHAnsi" w:hAnsiTheme="majorHAnsi" w:cstheme="majorHAnsi"/>
          <w:b/>
          <w:color w:val="000000"/>
          <w:sz w:val="20"/>
        </w:rPr>
      </w:pPr>
      <w:r w:rsidRPr="00EE6A26">
        <w:rPr>
          <w:rFonts w:asciiTheme="majorHAnsi" w:hAnsiTheme="majorHAnsi" w:cstheme="majorHAnsi"/>
          <w:b/>
          <w:sz w:val="20"/>
        </w:rPr>
        <w:t>Pri predpokladanom ročnom využití max. 1800 hod. a vypočítanom celkovom súčasnom príkone 31,5 kW, bude ročná spotreba elektrickej energie A =  56700 kW.hod/rok.</w:t>
      </w:r>
      <w:r w:rsidRPr="00EE6A26">
        <w:rPr>
          <w:rFonts w:asciiTheme="majorHAnsi" w:hAnsiTheme="majorHAnsi" w:cstheme="majorHAnsi"/>
          <w:b/>
          <w:color w:val="000000"/>
          <w:sz w:val="20"/>
        </w:rPr>
        <w:tab/>
      </w:r>
    </w:p>
    <w:p w:rsidR="00EE6A26" w:rsidRPr="00EE6A26" w:rsidRDefault="00EE6A26" w:rsidP="00EE6A26">
      <w:pPr>
        <w:rPr>
          <w:rFonts w:asciiTheme="majorHAnsi" w:hAnsiTheme="majorHAnsi" w:cstheme="majorHAnsi"/>
          <w:b/>
          <w:color w:val="000000"/>
          <w:sz w:val="20"/>
        </w:rPr>
      </w:pPr>
    </w:p>
    <w:p w:rsidR="00EE6A26" w:rsidRPr="00EE6A26" w:rsidRDefault="00EE6A26" w:rsidP="00EE6A26">
      <w:pPr>
        <w:rPr>
          <w:rFonts w:asciiTheme="majorHAnsi" w:hAnsiTheme="majorHAnsi" w:cstheme="majorHAnsi"/>
          <w:b/>
          <w:color w:val="000000"/>
          <w:sz w:val="20"/>
        </w:rPr>
      </w:pPr>
      <w:r w:rsidRPr="00EE6A26">
        <w:rPr>
          <w:rFonts w:asciiTheme="majorHAnsi" w:hAnsiTheme="majorHAnsi" w:cstheme="majorHAnsi"/>
          <w:b/>
          <w:color w:val="000000"/>
          <w:sz w:val="20"/>
        </w:rPr>
        <w:t>Rozvádzač RH: (tok výkonu podľa blokovej schémy)</w:t>
      </w:r>
    </w:p>
    <w:p w:rsidR="00EE6A26" w:rsidRPr="00EE6A26" w:rsidRDefault="00EE6A26" w:rsidP="00EE6A26">
      <w:pPr>
        <w:keepNext/>
        <w:pBdr>
          <w:top w:val="dashSmallGap" w:sz="4" w:space="1" w:color="auto"/>
          <w:left w:val="dashSmallGap" w:sz="4" w:space="0" w:color="auto"/>
          <w:bottom w:val="dashSmallGap" w:sz="4" w:space="1" w:color="auto"/>
          <w:right w:val="dashSmallGap" w:sz="4" w:space="0" w:color="auto"/>
          <w:between w:val="dashSmallGap" w:sz="4" w:space="0" w:color="auto"/>
        </w:pBdr>
        <w:tabs>
          <w:tab w:val="left" w:pos="6663"/>
        </w:tabs>
        <w:ind w:right="992"/>
        <w:rPr>
          <w:rFonts w:asciiTheme="majorHAnsi" w:hAnsiTheme="majorHAnsi" w:cstheme="majorHAnsi"/>
          <w:b/>
          <w:sz w:val="20"/>
        </w:rPr>
      </w:pPr>
      <w:r w:rsidRPr="00EE6A26">
        <w:rPr>
          <w:rFonts w:asciiTheme="majorHAnsi" w:hAnsiTheme="majorHAnsi" w:cstheme="majorHAnsi"/>
          <w:b/>
          <w:sz w:val="20"/>
        </w:rPr>
        <w:t>Istenie v RE</w:t>
      </w:r>
      <w:r w:rsidRPr="00EE6A26">
        <w:rPr>
          <w:rFonts w:asciiTheme="majorHAnsi" w:hAnsiTheme="majorHAnsi" w:cstheme="majorHAnsi"/>
          <w:b/>
          <w:sz w:val="20"/>
        </w:rPr>
        <w:tab/>
        <w:t>I</w:t>
      </w:r>
      <w:r w:rsidRPr="00EE6A26">
        <w:rPr>
          <w:rFonts w:asciiTheme="majorHAnsi" w:hAnsiTheme="majorHAnsi" w:cstheme="majorHAnsi"/>
          <w:b/>
          <w:sz w:val="20"/>
          <w:vertAlign w:val="subscript"/>
        </w:rPr>
        <w:t>n</w:t>
      </w:r>
      <w:r w:rsidRPr="00EE6A26">
        <w:rPr>
          <w:rFonts w:asciiTheme="majorHAnsi" w:hAnsiTheme="majorHAnsi" w:cstheme="majorHAnsi"/>
          <w:b/>
          <w:sz w:val="20"/>
        </w:rPr>
        <w:t xml:space="preserve"> = 3x25A z distribučnej siete</w:t>
      </w:r>
    </w:p>
    <w:p w:rsidR="00EE6A26" w:rsidRPr="00EE6A26" w:rsidRDefault="00EE6A26" w:rsidP="00EE6A26">
      <w:pPr>
        <w:keepNext/>
        <w:pBdr>
          <w:top w:val="dashSmallGap" w:sz="4" w:space="1" w:color="auto"/>
          <w:left w:val="dashSmallGap" w:sz="4" w:space="0" w:color="auto"/>
          <w:bottom w:val="dashSmallGap" w:sz="4" w:space="1" w:color="auto"/>
          <w:right w:val="dashSmallGap" w:sz="4" w:space="0" w:color="auto"/>
          <w:between w:val="dashSmallGap" w:sz="4" w:space="0" w:color="auto"/>
        </w:pBdr>
        <w:tabs>
          <w:tab w:val="left" w:pos="6663"/>
        </w:tabs>
        <w:ind w:right="992"/>
        <w:rPr>
          <w:rFonts w:asciiTheme="majorHAnsi" w:hAnsiTheme="majorHAnsi" w:cstheme="majorHAnsi"/>
          <w:b/>
          <w:sz w:val="20"/>
        </w:rPr>
      </w:pPr>
      <w:r w:rsidRPr="00EE6A26">
        <w:rPr>
          <w:rFonts w:asciiTheme="majorHAnsi" w:hAnsiTheme="majorHAnsi" w:cstheme="majorHAnsi"/>
          <w:b/>
          <w:sz w:val="20"/>
        </w:rPr>
        <w:t>Istenie v RFVE</w:t>
      </w:r>
      <w:r w:rsidRPr="00EE6A26">
        <w:rPr>
          <w:rFonts w:asciiTheme="majorHAnsi" w:hAnsiTheme="majorHAnsi" w:cstheme="majorHAnsi"/>
          <w:b/>
          <w:sz w:val="20"/>
        </w:rPr>
        <w:tab/>
        <w:t>I</w:t>
      </w:r>
      <w:r w:rsidRPr="00EE6A26">
        <w:rPr>
          <w:rFonts w:asciiTheme="majorHAnsi" w:hAnsiTheme="majorHAnsi" w:cstheme="majorHAnsi"/>
          <w:b/>
          <w:sz w:val="20"/>
          <w:vertAlign w:val="subscript"/>
        </w:rPr>
        <w:t>n</w:t>
      </w:r>
      <w:r w:rsidRPr="00EE6A26">
        <w:rPr>
          <w:rFonts w:asciiTheme="majorHAnsi" w:hAnsiTheme="majorHAnsi" w:cstheme="majorHAnsi"/>
          <w:b/>
          <w:sz w:val="20"/>
        </w:rPr>
        <w:t xml:space="preserve"> = 3x32A z fotovoltiky</w:t>
      </w:r>
    </w:p>
    <w:p w:rsidR="00EE6A26" w:rsidRPr="00EE6A26" w:rsidRDefault="00EE6A26" w:rsidP="00EE6A26">
      <w:pPr>
        <w:keepNext/>
        <w:pBdr>
          <w:top w:val="dashSmallGap" w:sz="4" w:space="1" w:color="auto"/>
          <w:left w:val="dashSmallGap" w:sz="4" w:space="0" w:color="auto"/>
          <w:bottom w:val="dashSmallGap" w:sz="4" w:space="1" w:color="auto"/>
          <w:right w:val="dashSmallGap" w:sz="4" w:space="0" w:color="auto"/>
          <w:between w:val="dashSmallGap" w:sz="4" w:space="0" w:color="auto"/>
        </w:pBdr>
        <w:tabs>
          <w:tab w:val="left" w:pos="6663"/>
        </w:tabs>
        <w:ind w:right="992"/>
        <w:rPr>
          <w:rFonts w:asciiTheme="majorHAnsi" w:hAnsiTheme="majorHAnsi" w:cstheme="majorHAnsi"/>
          <w:sz w:val="20"/>
        </w:rPr>
      </w:pPr>
      <w:r w:rsidRPr="00EE6A26">
        <w:rPr>
          <w:rFonts w:asciiTheme="majorHAnsi" w:hAnsiTheme="majorHAnsi" w:cstheme="majorHAnsi"/>
          <w:sz w:val="20"/>
        </w:rPr>
        <w:t>Hlavný vypínač v rozvádzači RH</w:t>
      </w:r>
      <w:r w:rsidRPr="00EE6A26">
        <w:rPr>
          <w:rFonts w:asciiTheme="majorHAnsi" w:hAnsiTheme="majorHAnsi" w:cstheme="majorHAnsi"/>
          <w:sz w:val="20"/>
        </w:rPr>
        <w:tab/>
        <w:t>I</w:t>
      </w:r>
      <w:r w:rsidRPr="00EE6A26">
        <w:rPr>
          <w:rFonts w:asciiTheme="majorHAnsi" w:hAnsiTheme="majorHAnsi" w:cstheme="majorHAnsi"/>
          <w:sz w:val="20"/>
          <w:vertAlign w:val="subscript"/>
        </w:rPr>
        <w:t>n</w:t>
      </w:r>
      <w:r w:rsidRPr="00EE6A26">
        <w:rPr>
          <w:rFonts w:asciiTheme="majorHAnsi" w:hAnsiTheme="majorHAnsi" w:cstheme="majorHAnsi"/>
          <w:sz w:val="20"/>
        </w:rPr>
        <w:t xml:space="preserve"> = 3x125A,</w:t>
      </w:r>
      <w:r w:rsidRPr="00EE6A26">
        <w:rPr>
          <w:rFonts w:asciiTheme="majorHAnsi" w:hAnsiTheme="majorHAnsi" w:cstheme="majorHAnsi"/>
          <w:b/>
          <w:sz w:val="20"/>
        </w:rPr>
        <w:t xml:space="preserve"> </w:t>
      </w:r>
    </w:p>
    <w:p w:rsidR="00EE6A26" w:rsidRPr="00EE6A26" w:rsidRDefault="00EE6A26" w:rsidP="00EE6A26">
      <w:pPr>
        <w:keepNext/>
        <w:pBdr>
          <w:top w:val="dashSmallGap" w:sz="4" w:space="1" w:color="auto"/>
          <w:left w:val="dashSmallGap" w:sz="4" w:space="0" w:color="auto"/>
          <w:bottom w:val="dashSmallGap" w:sz="4" w:space="1" w:color="auto"/>
          <w:right w:val="dashSmallGap" w:sz="4" w:space="0" w:color="auto"/>
          <w:between w:val="dashSmallGap" w:sz="4" w:space="0" w:color="auto"/>
        </w:pBdr>
        <w:tabs>
          <w:tab w:val="left" w:pos="6663"/>
        </w:tabs>
        <w:ind w:right="992"/>
        <w:rPr>
          <w:rFonts w:asciiTheme="majorHAnsi" w:hAnsiTheme="majorHAnsi" w:cstheme="majorHAnsi"/>
          <w:sz w:val="20"/>
        </w:rPr>
      </w:pPr>
      <w:r w:rsidRPr="00EE6A26">
        <w:rPr>
          <w:rFonts w:asciiTheme="majorHAnsi" w:hAnsiTheme="majorHAnsi" w:cstheme="majorHAnsi"/>
          <w:sz w:val="20"/>
        </w:rPr>
        <w:t>Rázový skratový prúd Ik“</w:t>
      </w:r>
      <w:r w:rsidRPr="00EE6A26">
        <w:rPr>
          <w:rFonts w:asciiTheme="majorHAnsi" w:hAnsiTheme="majorHAnsi" w:cstheme="majorHAnsi"/>
          <w:sz w:val="20"/>
        </w:rPr>
        <w:tab/>
        <w:t>Ik“=9,66kA</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ELEKTROENERGETICKÁ BILANCIA PRE SO05</w:t>
      </w:r>
    </w:p>
    <w:tbl>
      <w:tblPr>
        <w:tblW w:w="9060" w:type="dxa"/>
        <w:tblInd w:w="80" w:type="dxa"/>
        <w:tblCellMar>
          <w:left w:w="70" w:type="dxa"/>
          <w:right w:w="70" w:type="dxa"/>
        </w:tblCellMar>
        <w:tblLook w:val="04A0" w:firstRow="1" w:lastRow="0" w:firstColumn="1" w:lastColumn="0" w:noHBand="0" w:noVBand="1"/>
      </w:tblPr>
      <w:tblGrid>
        <w:gridCol w:w="4159"/>
        <w:gridCol w:w="894"/>
        <w:gridCol w:w="894"/>
        <w:gridCol w:w="894"/>
        <w:gridCol w:w="894"/>
        <w:gridCol w:w="485"/>
        <w:gridCol w:w="840"/>
      </w:tblGrid>
      <w:tr w:rsidR="00EE6A26" w:rsidRPr="00EE6A26" w:rsidTr="00EE6A26">
        <w:trPr>
          <w:trHeight w:val="254"/>
        </w:trPr>
        <w:tc>
          <w:tcPr>
            <w:tcW w:w="4159" w:type="dxa"/>
            <w:tcBorders>
              <w:top w:val="single" w:sz="8" w:space="0" w:color="auto"/>
              <w:left w:val="single" w:sz="8" w:space="0" w:color="auto"/>
              <w:bottom w:val="single" w:sz="4" w:space="0" w:color="auto"/>
              <w:right w:val="single" w:sz="4" w:space="0" w:color="auto"/>
            </w:tcBorders>
            <w:shd w:val="clear" w:color="000000" w:fill="FFFFFF"/>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SO 05</w:t>
            </w:r>
          </w:p>
        </w:tc>
        <w:tc>
          <w:tcPr>
            <w:tcW w:w="894" w:type="dxa"/>
            <w:tcBorders>
              <w:top w:val="single" w:sz="8"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Počet</w:t>
            </w:r>
          </w:p>
        </w:tc>
        <w:tc>
          <w:tcPr>
            <w:tcW w:w="894" w:type="dxa"/>
            <w:tcBorders>
              <w:top w:val="single" w:sz="8"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Pi (kW)</w:t>
            </w:r>
          </w:p>
        </w:tc>
        <w:tc>
          <w:tcPr>
            <w:tcW w:w="894" w:type="dxa"/>
            <w:tcBorders>
              <w:top w:val="single" w:sz="8"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Ps (kW)</w:t>
            </w:r>
          </w:p>
        </w:tc>
        <w:tc>
          <w:tcPr>
            <w:tcW w:w="894" w:type="dxa"/>
            <w:tcBorders>
              <w:top w:val="single" w:sz="8"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β</w:t>
            </w:r>
          </w:p>
        </w:tc>
        <w:tc>
          <w:tcPr>
            <w:tcW w:w="1325" w:type="dxa"/>
            <w:gridSpan w:val="2"/>
            <w:tcBorders>
              <w:top w:val="single" w:sz="8" w:space="0" w:color="auto"/>
              <w:left w:val="nil"/>
              <w:bottom w:val="single" w:sz="4" w:space="0" w:color="auto"/>
              <w:right w:val="single" w:sz="8"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MRK (A)</w:t>
            </w:r>
          </w:p>
        </w:tc>
      </w:tr>
      <w:tr w:rsidR="00EE6A26" w:rsidRPr="00EE6A26" w:rsidTr="00EE6A26">
        <w:trPr>
          <w:trHeight w:val="254"/>
        </w:trPr>
        <w:tc>
          <w:tcPr>
            <w:tcW w:w="4159" w:type="dxa"/>
            <w:tcBorders>
              <w:top w:val="nil"/>
              <w:left w:val="single" w:sz="8" w:space="0" w:color="auto"/>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Rozvádzač RH</w:t>
            </w:r>
          </w:p>
        </w:tc>
        <w:tc>
          <w:tcPr>
            <w:tcW w:w="894"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1</w:t>
            </w:r>
          </w:p>
        </w:tc>
        <w:tc>
          <w:tcPr>
            <w:tcW w:w="894"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10</w:t>
            </w:r>
          </w:p>
        </w:tc>
        <w:tc>
          <w:tcPr>
            <w:tcW w:w="894"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6</w:t>
            </w:r>
          </w:p>
        </w:tc>
        <w:tc>
          <w:tcPr>
            <w:tcW w:w="894"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0,6</w:t>
            </w:r>
          </w:p>
        </w:tc>
        <w:tc>
          <w:tcPr>
            <w:tcW w:w="485" w:type="dxa"/>
            <w:tcBorders>
              <w:top w:val="nil"/>
              <w:left w:val="nil"/>
              <w:bottom w:val="single" w:sz="4" w:space="0" w:color="auto"/>
              <w:right w:val="nil"/>
            </w:tcBorders>
            <w:shd w:val="clear" w:color="000000" w:fill="FFFFFF"/>
            <w:noWrap/>
            <w:vAlign w:val="center"/>
            <w:hideMark/>
          </w:tcPr>
          <w:p w:rsidR="00EE6A26" w:rsidRPr="00EE6A26" w:rsidRDefault="00EE6A26" w:rsidP="00A30F65">
            <w:pPr>
              <w:jc w:val="right"/>
              <w:rPr>
                <w:rFonts w:asciiTheme="majorHAnsi" w:hAnsiTheme="majorHAnsi" w:cstheme="majorHAnsi"/>
                <w:color w:val="000000"/>
                <w:sz w:val="20"/>
              </w:rPr>
            </w:pPr>
            <w:r w:rsidRPr="00EE6A26">
              <w:rPr>
                <w:rFonts w:asciiTheme="majorHAnsi" w:hAnsiTheme="majorHAnsi" w:cstheme="majorHAnsi"/>
                <w:color w:val="000000"/>
                <w:sz w:val="20"/>
              </w:rPr>
              <w:t>25</w:t>
            </w:r>
          </w:p>
        </w:tc>
        <w:tc>
          <w:tcPr>
            <w:tcW w:w="840" w:type="dxa"/>
            <w:tcBorders>
              <w:top w:val="nil"/>
              <w:left w:val="nil"/>
              <w:bottom w:val="single" w:sz="4" w:space="0" w:color="auto"/>
              <w:right w:val="single" w:sz="8" w:space="0" w:color="auto"/>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/3 /B</w:t>
            </w:r>
          </w:p>
        </w:tc>
      </w:tr>
      <w:tr w:rsidR="00EE6A26" w:rsidRPr="00EE6A26" w:rsidTr="00EE6A26">
        <w:trPr>
          <w:trHeight w:val="254"/>
        </w:trPr>
        <w:tc>
          <w:tcPr>
            <w:tcW w:w="4159" w:type="dxa"/>
            <w:tcBorders>
              <w:top w:val="nil"/>
              <w:left w:val="single" w:sz="8" w:space="0" w:color="auto"/>
              <w:bottom w:val="single" w:sz="4" w:space="0" w:color="auto"/>
              <w:right w:val="single" w:sz="4" w:space="0" w:color="auto"/>
            </w:tcBorders>
            <w:shd w:val="clear" w:color="000000" w:fill="FFFFFF"/>
            <w:noWrap/>
            <w:vAlign w:val="center"/>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xml:space="preserve">                                         Rozvádzač RH</w:t>
            </w:r>
          </w:p>
        </w:tc>
        <w:tc>
          <w:tcPr>
            <w:tcW w:w="894"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w:t>
            </w:r>
          </w:p>
        </w:tc>
        <w:tc>
          <w:tcPr>
            <w:tcW w:w="894"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w:t>
            </w:r>
          </w:p>
        </w:tc>
        <w:tc>
          <w:tcPr>
            <w:tcW w:w="894"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w:t>
            </w:r>
          </w:p>
        </w:tc>
        <w:tc>
          <w:tcPr>
            <w:tcW w:w="894" w:type="dxa"/>
            <w:tcBorders>
              <w:top w:val="nil"/>
              <w:left w:val="nil"/>
              <w:bottom w:val="single" w:sz="4" w:space="0" w:color="auto"/>
              <w:right w:val="single" w:sz="4" w:space="0" w:color="auto"/>
            </w:tcBorders>
            <w:shd w:val="clear" w:color="000000" w:fill="FFFFFF"/>
            <w:noWrap/>
            <w:vAlign w:val="center"/>
          </w:tcPr>
          <w:p w:rsidR="00EE6A26" w:rsidRPr="00EE6A26" w:rsidRDefault="00EE6A26" w:rsidP="00A30F65">
            <w:pPr>
              <w:jc w:val="center"/>
              <w:rPr>
                <w:rFonts w:asciiTheme="majorHAnsi" w:hAnsiTheme="majorHAnsi" w:cstheme="majorHAnsi"/>
                <w:color w:val="000000"/>
                <w:sz w:val="20"/>
              </w:rPr>
            </w:pPr>
          </w:p>
        </w:tc>
        <w:tc>
          <w:tcPr>
            <w:tcW w:w="485" w:type="dxa"/>
            <w:tcBorders>
              <w:top w:val="nil"/>
              <w:left w:val="nil"/>
              <w:bottom w:val="single" w:sz="4" w:space="0" w:color="auto"/>
              <w:right w:val="nil"/>
            </w:tcBorders>
            <w:shd w:val="clear" w:color="000000" w:fill="FFFFFF"/>
            <w:noWrap/>
            <w:vAlign w:val="center"/>
          </w:tcPr>
          <w:p w:rsidR="00EE6A26" w:rsidRPr="00EE6A26" w:rsidRDefault="00EE6A26" w:rsidP="00A30F65">
            <w:pPr>
              <w:jc w:val="right"/>
              <w:rPr>
                <w:rFonts w:asciiTheme="majorHAnsi" w:hAnsiTheme="majorHAnsi" w:cstheme="majorHAnsi"/>
                <w:color w:val="000000"/>
                <w:sz w:val="20"/>
              </w:rPr>
            </w:pPr>
          </w:p>
        </w:tc>
        <w:tc>
          <w:tcPr>
            <w:tcW w:w="840" w:type="dxa"/>
            <w:tcBorders>
              <w:top w:val="nil"/>
              <w:left w:val="nil"/>
              <w:bottom w:val="single" w:sz="4" w:space="0" w:color="auto"/>
              <w:right w:val="single" w:sz="8" w:space="0" w:color="auto"/>
            </w:tcBorders>
            <w:shd w:val="clear" w:color="000000" w:fill="FFFFFF"/>
            <w:noWrap/>
            <w:vAlign w:val="center"/>
          </w:tcPr>
          <w:p w:rsidR="00EE6A26" w:rsidRPr="00EE6A26" w:rsidRDefault="00EE6A26" w:rsidP="00A30F65">
            <w:pPr>
              <w:rPr>
                <w:rFonts w:asciiTheme="majorHAnsi" w:hAnsiTheme="majorHAnsi" w:cstheme="majorHAnsi"/>
                <w:color w:val="000000"/>
                <w:sz w:val="20"/>
              </w:rPr>
            </w:pPr>
          </w:p>
        </w:tc>
      </w:tr>
      <w:tr w:rsidR="00EE6A26" w:rsidRPr="00EE6A26" w:rsidTr="00EE6A26">
        <w:trPr>
          <w:trHeight w:val="266"/>
        </w:trPr>
        <w:tc>
          <w:tcPr>
            <w:tcW w:w="4159" w:type="dxa"/>
            <w:tcBorders>
              <w:top w:val="nil"/>
              <w:left w:val="single" w:sz="8" w:space="0" w:color="auto"/>
              <w:bottom w:val="single" w:sz="8"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Spolu odberných miest</w:t>
            </w:r>
          </w:p>
        </w:tc>
        <w:tc>
          <w:tcPr>
            <w:tcW w:w="894" w:type="dxa"/>
            <w:tcBorders>
              <w:top w:val="nil"/>
              <w:left w:val="nil"/>
              <w:bottom w:val="single" w:sz="8"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p>
        </w:tc>
        <w:tc>
          <w:tcPr>
            <w:tcW w:w="894" w:type="dxa"/>
            <w:tcBorders>
              <w:top w:val="nil"/>
              <w:left w:val="nil"/>
              <w:bottom w:val="single" w:sz="8"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10</w:t>
            </w:r>
          </w:p>
        </w:tc>
        <w:tc>
          <w:tcPr>
            <w:tcW w:w="894" w:type="dxa"/>
            <w:tcBorders>
              <w:top w:val="nil"/>
              <w:left w:val="nil"/>
              <w:bottom w:val="single" w:sz="8"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FF0000"/>
                <w:sz w:val="20"/>
              </w:rPr>
            </w:pPr>
            <w:r w:rsidRPr="00EE6A26">
              <w:rPr>
                <w:rFonts w:asciiTheme="majorHAnsi" w:hAnsiTheme="majorHAnsi" w:cstheme="majorHAnsi"/>
                <w:b/>
                <w:bCs/>
                <w:color w:val="FF0000"/>
                <w:sz w:val="20"/>
              </w:rPr>
              <w:t>6</w:t>
            </w:r>
          </w:p>
        </w:tc>
        <w:tc>
          <w:tcPr>
            <w:tcW w:w="894" w:type="dxa"/>
            <w:tcBorders>
              <w:top w:val="nil"/>
              <w:left w:val="nil"/>
              <w:bottom w:val="single" w:sz="8"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r w:rsidRPr="00EE6A26">
              <w:rPr>
                <w:rFonts w:asciiTheme="majorHAnsi" w:hAnsiTheme="majorHAnsi" w:cstheme="majorHAnsi"/>
                <w:b/>
                <w:bCs/>
                <w:color w:val="000000"/>
                <w:sz w:val="20"/>
              </w:rPr>
              <w:t>0,6</w:t>
            </w:r>
          </w:p>
        </w:tc>
        <w:tc>
          <w:tcPr>
            <w:tcW w:w="1325" w:type="dxa"/>
            <w:gridSpan w:val="2"/>
            <w:tcBorders>
              <w:top w:val="single" w:sz="4" w:space="0" w:color="auto"/>
              <w:left w:val="nil"/>
              <w:bottom w:val="single" w:sz="8" w:space="0" w:color="auto"/>
              <w:right w:val="single" w:sz="8"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b/>
                <w:bCs/>
                <w:color w:val="000000"/>
                <w:sz w:val="20"/>
              </w:rPr>
            </w:pPr>
          </w:p>
        </w:tc>
      </w:tr>
    </w:tbl>
    <w:p w:rsidR="00EE6A26" w:rsidRPr="00EE6A26" w:rsidRDefault="00EE6A26" w:rsidP="00EE6A26">
      <w:pPr>
        <w:rPr>
          <w:rFonts w:asciiTheme="majorHAnsi" w:hAnsiTheme="majorHAnsi" w:cstheme="majorHAnsi"/>
          <w:sz w:val="20"/>
        </w:rPr>
      </w:pPr>
    </w:p>
    <w:tbl>
      <w:tblPr>
        <w:tblW w:w="9084" w:type="dxa"/>
        <w:tblInd w:w="75" w:type="dxa"/>
        <w:tblCellMar>
          <w:left w:w="70" w:type="dxa"/>
          <w:right w:w="70" w:type="dxa"/>
        </w:tblCellMar>
        <w:tblLook w:val="04A0" w:firstRow="1" w:lastRow="0" w:firstColumn="1" w:lastColumn="0" w:noHBand="0" w:noVBand="1"/>
      </w:tblPr>
      <w:tblGrid>
        <w:gridCol w:w="1529"/>
        <w:gridCol w:w="244"/>
        <w:gridCol w:w="247"/>
        <w:gridCol w:w="532"/>
        <w:gridCol w:w="698"/>
        <w:gridCol w:w="752"/>
        <w:gridCol w:w="532"/>
        <w:gridCol w:w="495"/>
        <w:gridCol w:w="1340"/>
        <w:gridCol w:w="532"/>
        <w:gridCol w:w="752"/>
        <w:gridCol w:w="1431"/>
      </w:tblGrid>
      <w:tr w:rsidR="00EE6A26" w:rsidRPr="00EE6A26" w:rsidTr="00EE6A26">
        <w:trPr>
          <w:trHeight w:val="231"/>
        </w:trPr>
        <w:tc>
          <w:tcPr>
            <w:tcW w:w="2020" w:type="dxa"/>
            <w:gridSpan w:val="3"/>
            <w:tcBorders>
              <w:top w:val="single" w:sz="4" w:space="0" w:color="auto"/>
              <w:left w:val="single" w:sz="4" w:space="0" w:color="auto"/>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VÝKONOVÁ BILANCIA-SUMARIZÁCIA ∑</w:t>
            </w:r>
          </w:p>
        </w:tc>
        <w:tc>
          <w:tcPr>
            <w:tcW w:w="532"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698"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52"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2"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495"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340"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2"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52" w:type="dxa"/>
            <w:tcBorders>
              <w:top w:val="single" w:sz="4" w:space="0" w:color="auto"/>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431" w:type="dxa"/>
            <w:tcBorders>
              <w:top w:val="single" w:sz="4" w:space="0" w:color="auto"/>
              <w:left w:val="nil"/>
              <w:bottom w:val="nil"/>
              <w:right w:val="single" w:sz="4" w:space="0" w:color="auto"/>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r>
      <w:tr w:rsidR="00EE6A26" w:rsidRPr="00EE6A26" w:rsidTr="00EE6A26">
        <w:trPr>
          <w:trHeight w:val="231"/>
        </w:trPr>
        <w:tc>
          <w:tcPr>
            <w:tcW w:w="4002" w:type="dxa"/>
            <w:gridSpan w:val="6"/>
            <w:tcBorders>
              <w:top w:val="single" w:sz="4" w:space="0" w:color="auto"/>
              <w:left w:val="single" w:sz="4" w:space="0" w:color="auto"/>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koeficient súčasnosti βn podľa STN 33 2130</w:t>
            </w:r>
          </w:p>
        </w:tc>
        <w:tc>
          <w:tcPr>
            <w:tcW w:w="532" w:type="dxa"/>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495" w:type="dxa"/>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340" w:type="dxa"/>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2" w:type="dxa"/>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52" w:type="dxa"/>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431" w:type="dxa"/>
            <w:tcBorders>
              <w:top w:val="single" w:sz="4"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r>
      <w:tr w:rsidR="00EE6A26" w:rsidRPr="00EE6A26" w:rsidTr="00EE6A26">
        <w:trPr>
          <w:trHeight w:val="231"/>
        </w:trPr>
        <w:tc>
          <w:tcPr>
            <w:tcW w:w="2552" w:type="dxa"/>
            <w:gridSpan w:val="4"/>
            <w:tcBorders>
              <w:top w:val="single" w:sz="4" w:space="0" w:color="auto"/>
              <w:left w:val="single" w:sz="4" w:space="0" w:color="auto"/>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xml:space="preserve">βn = β∞ +(1 - β∞) / √n </w:t>
            </w:r>
          </w:p>
        </w:tc>
        <w:tc>
          <w:tcPr>
            <w:tcW w:w="1450" w:type="dxa"/>
            <w:gridSpan w:val="2"/>
            <w:tcBorders>
              <w:top w:val="single" w:sz="4" w:space="0" w:color="auto"/>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koeficient  β∞ =</w:t>
            </w:r>
          </w:p>
        </w:tc>
        <w:tc>
          <w:tcPr>
            <w:tcW w:w="532" w:type="dxa"/>
            <w:tcBorders>
              <w:top w:val="nil"/>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0,33</w:t>
            </w:r>
          </w:p>
        </w:tc>
        <w:tc>
          <w:tcPr>
            <w:tcW w:w="495" w:type="dxa"/>
            <w:tcBorders>
              <w:top w:val="nil"/>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340" w:type="dxa"/>
            <w:tcBorders>
              <w:top w:val="nil"/>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2" w:type="dxa"/>
            <w:tcBorders>
              <w:top w:val="nil"/>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52" w:type="dxa"/>
            <w:tcBorders>
              <w:top w:val="nil"/>
              <w:left w:val="nil"/>
              <w:bottom w:val="single" w:sz="4" w:space="0" w:color="auto"/>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1431"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r>
      <w:tr w:rsidR="00EE6A26" w:rsidRPr="00EE6A26" w:rsidTr="00EE6A26">
        <w:trPr>
          <w:trHeight w:val="231"/>
        </w:trPr>
        <w:tc>
          <w:tcPr>
            <w:tcW w:w="1529" w:type="dxa"/>
            <w:tcBorders>
              <w:top w:val="nil"/>
              <w:left w:val="single" w:sz="4" w:space="0" w:color="auto"/>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244"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246"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2"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698"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52"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počet</w:t>
            </w:r>
          </w:p>
        </w:tc>
        <w:tc>
          <w:tcPr>
            <w:tcW w:w="1027" w:type="dxa"/>
            <w:gridSpan w:val="2"/>
            <w:tcBorders>
              <w:top w:val="single" w:sz="4" w:space="0" w:color="auto"/>
              <w:left w:val="nil"/>
              <w:bottom w:val="nil"/>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 xml:space="preserve">príkon </w:t>
            </w:r>
          </w:p>
        </w:tc>
        <w:tc>
          <w:tcPr>
            <w:tcW w:w="1340" w:type="dxa"/>
            <w:tcBorders>
              <w:top w:val="nil"/>
              <w:left w:val="nil"/>
              <w:bottom w:val="nil"/>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 xml:space="preserve">inštalovaný </w:t>
            </w:r>
          </w:p>
        </w:tc>
        <w:tc>
          <w:tcPr>
            <w:tcW w:w="1284" w:type="dxa"/>
            <w:gridSpan w:val="2"/>
            <w:tcBorders>
              <w:top w:val="single" w:sz="4" w:space="0" w:color="auto"/>
              <w:left w:val="nil"/>
              <w:bottom w:val="nil"/>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 xml:space="preserve">koeficient </w:t>
            </w:r>
          </w:p>
        </w:tc>
        <w:tc>
          <w:tcPr>
            <w:tcW w:w="1431" w:type="dxa"/>
            <w:tcBorders>
              <w:top w:val="nil"/>
              <w:left w:val="nil"/>
              <w:bottom w:val="nil"/>
              <w:right w:val="single" w:sz="4" w:space="0" w:color="auto"/>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xml:space="preserve">súčasný príkon </w:t>
            </w:r>
          </w:p>
        </w:tc>
      </w:tr>
      <w:tr w:rsidR="00EE6A26" w:rsidRPr="00EE6A26" w:rsidTr="00EE6A26">
        <w:trPr>
          <w:trHeight w:val="231"/>
        </w:trPr>
        <w:tc>
          <w:tcPr>
            <w:tcW w:w="1529" w:type="dxa"/>
            <w:tcBorders>
              <w:top w:val="nil"/>
              <w:left w:val="single" w:sz="4" w:space="0" w:color="auto"/>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244"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246"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532"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698" w:type="dxa"/>
            <w:tcBorders>
              <w:top w:val="nil"/>
              <w:left w:val="nil"/>
              <w:bottom w:val="nil"/>
              <w:right w:val="nil"/>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 </w:t>
            </w:r>
          </w:p>
        </w:tc>
        <w:tc>
          <w:tcPr>
            <w:tcW w:w="752" w:type="dxa"/>
            <w:vMerge/>
            <w:tcBorders>
              <w:top w:val="nil"/>
              <w:left w:val="single" w:sz="4" w:space="0" w:color="auto"/>
              <w:bottom w:val="single" w:sz="4" w:space="0" w:color="000000"/>
              <w:right w:val="single" w:sz="4" w:space="0" w:color="auto"/>
            </w:tcBorders>
            <w:vAlign w:val="center"/>
            <w:hideMark/>
          </w:tcPr>
          <w:p w:rsidR="00EE6A26" w:rsidRPr="00EE6A26" w:rsidRDefault="00EE6A26" w:rsidP="00A30F65">
            <w:pPr>
              <w:rPr>
                <w:rFonts w:asciiTheme="majorHAnsi" w:hAnsiTheme="majorHAnsi" w:cstheme="majorHAnsi"/>
                <w:color w:val="000000"/>
                <w:sz w:val="20"/>
              </w:rPr>
            </w:pPr>
          </w:p>
        </w:tc>
        <w:tc>
          <w:tcPr>
            <w:tcW w:w="1027" w:type="dxa"/>
            <w:gridSpan w:val="2"/>
            <w:tcBorders>
              <w:top w:val="nil"/>
              <w:left w:val="nil"/>
              <w:bottom w:val="single" w:sz="4" w:space="0" w:color="auto"/>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[kW]</w:t>
            </w:r>
          </w:p>
        </w:tc>
        <w:tc>
          <w:tcPr>
            <w:tcW w:w="1340"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príkon [kW]</w:t>
            </w:r>
          </w:p>
        </w:tc>
        <w:tc>
          <w:tcPr>
            <w:tcW w:w="1284" w:type="dxa"/>
            <w:gridSpan w:val="2"/>
            <w:tcBorders>
              <w:top w:val="nil"/>
              <w:left w:val="nil"/>
              <w:bottom w:val="single" w:sz="4" w:space="0" w:color="auto"/>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 xml:space="preserve">súčasnosti βn </w:t>
            </w:r>
          </w:p>
        </w:tc>
        <w:tc>
          <w:tcPr>
            <w:tcW w:w="1431"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 xml:space="preserve">Ps [kW] </w:t>
            </w:r>
          </w:p>
        </w:tc>
      </w:tr>
      <w:tr w:rsidR="00EE6A26" w:rsidRPr="00EE6A26" w:rsidTr="00EE6A26">
        <w:trPr>
          <w:trHeight w:val="231"/>
        </w:trPr>
        <w:tc>
          <w:tcPr>
            <w:tcW w:w="3250" w:type="dxa"/>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E6A26" w:rsidRPr="00EE6A26" w:rsidRDefault="00EE6A26" w:rsidP="00A30F65">
            <w:pPr>
              <w:rPr>
                <w:rFonts w:asciiTheme="majorHAnsi" w:hAnsiTheme="majorHAnsi" w:cstheme="majorHAnsi"/>
                <w:color w:val="000000"/>
                <w:sz w:val="20"/>
              </w:rPr>
            </w:pPr>
            <w:r w:rsidRPr="00EE6A26">
              <w:rPr>
                <w:rFonts w:asciiTheme="majorHAnsi" w:hAnsiTheme="majorHAnsi" w:cstheme="majorHAnsi"/>
                <w:color w:val="000000"/>
                <w:sz w:val="20"/>
              </w:rPr>
              <w:t>Rozvádzač RH</w:t>
            </w:r>
          </w:p>
        </w:tc>
        <w:tc>
          <w:tcPr>
            <w:tcW w:w="752"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1</w:t>
            </w:r>
          </w:p>
        </w:tc>
        <w:tc>
          <w:tcPr>
            <w:tcW w:w="1027"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10</w:t>
            </w:r>
          </w:p>
        </w:tc>
        <w:tc>
          <w:tcPr>
            <w:tcW w:w="1340"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10</w:t>
            </w:r>
          </w:p>
        </w:tc>
        <w:tc>
          <w:tcPr>
            <w:tcW w:w="1284" w:type="dxa"/>
            <w:gridSpan w:val="2"/>
            <w:tcBorders>
              <w:top w:val="single" w:sz="4" w:space="0" w:color="auto"/>
              <w:left w:val="nil"/>
              <w:bottom w:val="single" w:sz="4" w:space="0" w:color="auto"/>
              <w:right w:val="single" w:sz="4" w:space="0" w:color="000000"/>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0,6</w:t>
            </w:r>
          </w:p>
        </w:tc>
        <w:tc>
          <w:tcPr>
            <w:tcW w:w="1431"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6</w:t>
            </w:r>
          </w:p>
        </w:tc>
      </w:tr>
    </w:tbl>
    <w:p w:rsidR="00EE6A26" w:rsidRPr="00EE6A26" w:rsidRDefault="00EE6A26" w:rsidP="00EE6A26">
      <w:pPr>
        <w:rPr>
          <w:rFonts w:asciiTheme="majorHAnsi" w:hAnsiTheme="majorHAnsi" w:cstheme="majorHAnsi"/>
          <w:b/>
          <w:sz w:val="20"/>
        </w:rPr>
      </w:pPr>
    </w:p>
    <w:p w:rsidR="00EE6A26" w:rsidRPr="00EE6A26" w:rsidRDefault="00EE6A26" w:rsidP="00EE6A26">
      <w:pPr>
        <w:rPr>
          <w:rFonts w:asciiTheme="majorHAnsi" w:hAnsiTheme="majorHAnsi" w:cstheme="majorHAnsi"/>
          <w:b/>
          <w:color w:val="000000"/>
          <w:sz w:val="20"/>
        </w:rPr>
      </w:pPr>
      <w:r w:rsidRPr="00EE6A26">
        <w:rPr>
          <w:rFonts w:asciiTheme="majorHAnsi" w:hAnsiTheme="majorHAnsi" w:cstheme="majorHAnsi"/>
          <w:b/>
          <w:sz w:val="20"/>
        </w:rPr>
        <w:t>Pri predpokladanom ročnom využití max. 1800 hod. a vypočítanom celkovom súčasnom príkone 6 kW, bude ročná spotreba elektrickej energie A =  10800 kW.hod/rok.</w:t>
      </w:r>
      <w:r w:rsidRPr="00EE6A26">
        <w:rPr>
          <w:rFonts w:asciiTheme="majorHAnsi" w:hAnsiTheme="majorHAnsi" w:cstheme="majorHAnsi"/>
          <w:b/>
          <w:color w:val="000000"/>
          <w:sz w:val="20"/>
        </w:rPr>
        <w:tab/>
      </w:r>
    </w:p>
    <w:p w:rsidR="00EE6A26" w:rsidRPr="00EE6A26" w:rsidRDefault="00EE6A26" w:rsidP="00EE6A26">
      <w:pPr>
        <w:rPr>
          <w:rFonts w:asciiTheme="majorHAnsi" w:hAnsiTheme="majorHAnsi" w:cstheme="majorHAnsi"/>
          <w:b/>
          <w:color w:val="000000"/>
          <w:sz w:val="20"/>
        </w:rPr>
      </w:pPr>
      <w:r w:rsidRPr="00EE6A26">
        <w:rPr>
          <w:rFonts w:asciiTheme="majorHAnsi" w:hAnsiTheme="majorHAnsi" w:cstheme="majorHAnsi"/>
          <w:b/>
          <w:color w:val="000000"/>
          <w:sz w:val="20"/>
        </w:rPr>
        <w:t>Rozvádzač RH:</w:t>
      </w:r>
    </w:p>
    <w:p w:rsidR="00EE6A26" w:rsidRPr="00EE6A26" w:rsidRDefault="00EE6A26" w:rsidP="00EE6A26">
      <w:pPr>
        <w:keepNext/>
        <w:pBdr>
          <w:top w:val="dashSmallGap" w:sz="4" w:space="1" w:color="auto"/>
          <w:left w:val="dashSmallGap" w:sz="4" w:space="0" w:color="auto"/>
          <w:bottom w:val="dashSmallGap" w:sz="4" w:space="0" w:color="auto"/>
          <w:right w:val="dashSmallGap" w:sz="4" w:space="0" w:color="auto"/>
          <w:between w:val="dashSmallGap" w:sz="4" w:space="0" w:color="auto"/>
        </w:pBdr>
        <w:tabs>
          <w:tab w:val="left" w:pos="6663"/>
        </w:tabs>
        <w:ind w:right="992"/>
        <w:rPr>
          <w:rFonts w:asciiTheme="majorHAnsi" w:hAnsiTheme="majorHAnsi" w:cstheme="majorHAnsi"/>
          <w:b/>
          <w:sz w:val="20"/>
        </w:rPr>
      </w:pPr>
      <w:r w:rsidRPr="00EE6A26">
        <w:rPr>
          <w:rFonts w:asciiTheme="majorHAnsi" w:hAnsiTheme="majorHAnsi" w:cstheme="majorHAnsi"/>
          <w:b/>
          <w:sz w:val="20"/>
        </w:rPr>
        <w:t>Istenie v RE</w:t>
      </w:r>
      <w:r w:rsidRPr="00EE6A26">
        <w:rPr>
          <w:rFonts w:asciiTheme="majorHAnsi" w:hAnsiTheme="majorHAnsi" w:cstheme="majorHAnsi"/>
          <w:b/>
          <w:sz w:val="20"/>
        </w:rPr>
        <w:tab/>
        <w:t>I</w:t>
      </w:r>
      <w:r w:rsidRPr="00EE6A26">
        <w:rPr>
          <w:rFonts w:asciiTheme="majorHAnsi" w:hAnsiTheme="majorHAnsi" w:cstheme="majorHAnsi"/>
          <w:b/>
          <w:sz w:val="20"/>
          <w:vertAlign w:val="subscript"/>
        </w:rPr>
        <w:t>n</w:t>
      </w:r>
      <w:r w:rsidRPr="00EE6A26">
        <w:rPr>
          <w:rFonts w:asciiTheme="majorHAnsi" w:hAnsiTheme="majorHAnsi" w:cstheme="majorHAnsi"/>
          <w:b/>
          <w:sz w:val="20"/>
        </w:rPr>
        <w:t xml:space="preserve"> = 3x25A, </w:t>
      </w:r>
    </w:p>
    <w:p w:rsidR="00EE6A26" w:rsidRPr="00EE6A26" w:rsidRDefault="00EE6A26" w:rsidP="00EE6A26">
      <w:pPr>
        <w:keepNext/>
        <w:pBdr>
          <w:top w:val="dashSmallGap" w:sz="4" w:space="1" w:color="auto"/>
          <w:left w:val="dashSmallGap" w:sz="4" w:space="0" w:color="auto"/>
          <w:bottom w:val="dashSmallGap" w:sz="4" w:space="0" w:color="auto"/>
          <w:right w:val="dashSmallGap" w:sz="4" w:space="0" w:color="auto"/>
          <w:between w:val="dashSmallGap" w:sz="4" w:space="0" w:color="auto"/>
        </w:pBdr>
        <w:tabs>
          <w:tab w:val="left" w:pos="6663"/>
        </w:tabs>
        <w:ind w:right="992"/>
        <w:rPr>
          <w:rFonts w:asciiTheme="majorHAnsi" w:hAnsiTheme="majorHAnsi" w:cstheme="majorHAnsi"/>
          <w:sz w:val="20"/>
        </w:rPr>
      </w:pPr>
      <w:r w:rsidRPr="00EE6A26">
        <w:rPr>
          <w:rFonts w:asciiTheme="majorHAnsi" w:hAnsiTheme="majorHAnsi" w:cstheme="majorHAnsi"/>
          <w:sz w:val="20"/>
        </w:rPr>
        <w:t>Hlavný vypínač v rozvádzači RH</w:t>
      </w:r>
      <w:r w:rsidRPr="00EE6A26">
        <w:rPr>
          <w:rFonts w:asciiTheme="majorHAnsi" w:hAnsiTheme="majorHAnsi" w:cstheme="majorHAnsi"/>
          <w:sz w:val="20"/>
        </w:rPr>
        <w:tab/>
        <w:t>I</w:t>
      </w:r>
      <w:r w:rsidRPr="00EE6A26">
        <w:rPr>
          <w:rFonts w:asciiTheme="majorHAnsi" w:hAnsiTheme="majorHAnsi" w:cstheme="majorHAnsi"/>
          <w:sz w:val="20"/>
          <w:vertAlign w:val="subscript"/>
        </w:rPr>
        <w:t>n</w:t>
      </w:r>
      <w:r w:rsidRPr="00EE6A26">
        <w:rPr>
          <w:rFonts w:asciiTheme="majorHAnsi" w:hAnsiTheme="majorHAnsi" w:cstheme="majorHAnsi"/>
          <w:sz w:val="20"/>
        </w:rPr>
        <w:t xml:space="preserve"> = 3x32A,</w:t>
      </w:r>
      <w:r w:rsidRPr="00EE6A26">
        <w:rPr>
          <w:rFonts w:asciiTheme="majorHAnsi" w:hAnsiTheme="majorHAnsi" w:cstheme="majorHAnsi"/>
          <w:b/>
          <w:sz w:val="20"/>
        </w:rPr>
        <w:t xml:space="preserve"> </w:t>
      </w:r>
    </w:p>
    <w:p w:rsidR="00EE6A26" w:rsidRPr="00EE6A26" w:rsidRDefault="00EE6A26" w:rsidP="00EE6A26">
      <w:pPr>
        <w:keepNext/>
        <w:pBdr>
          <w:top w:val="dashSmallGap" w:sz="4" w:space="1" w:color="auto"/>
          <w:left w:val="dashSmallGap" w:sz="4" w:space="0" w:color="auto"/>
          <w:bottom w:val="dashSmallGap" w:sz="4" w:space="0" w:color="auto"/>
          <w:right w:val="dashSmallGap" w:sz="4" w:space="0" w:color="auto"/>
          <w:between w:val="dashSmallGap" w:sz="4" w:space="0" w:color="auto"/>
        </w:pBdr>
        <w:tabs>
          <w:tab w:val="left" w:pos="6663"/>
        </w:tabs>
        <w:ind w:right="992"/>
        <w:rPr>
          <w:rFonts w:asciiTheme="majorHAnsi" w:hAnsiTheme="majorHAnsi" w:cstheme="majorHAnsi"/>
          <w:sz w:val="20"/>
        </w:rPr>
      </w:pPr>
      <w:r w:rsidRPr="00EE6A26">
        <w:rPr>
          <w:rFonts w:asciiTheme="majorHAnsi" w:hAnsiTheme="majorHAnsi" w:cstheme="majorHAnsi"/>
          <w:sz w:val="20"/>
        </w:rPr>
        <w:t>Rázový skratový prúd Ik“</w:t>
      </w:r>
      <w:r w:rsidRPr="00EE6A26">
        <w:rPr>
          <w:rFonts w:asciiTheme="majorHAnsi" w:hAnsiTheme="majorHAnsi" w:cstheme="majorHAnsi"/>
          <w:sz w:val="20"/>
        </w:rPr>
        <w:tab/>
        <w:t>Ik“=9,66kA</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 xml:space="preserve">STUPEŇ DODÁVKY ELEKTRICKEJ ENERGIE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Dodávka el. energie bude zabezpečená v zmysle STN 34 1610 § 16 107:</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3. stupeň – pre zariadenia resp. spotrebiče normálneho významu</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1. stupeň – pre zariadenia resp. spotrebiče súvisiace prevádzkou elektroinštalácie spoločných priestorov ( núdzové osvetlenie schodísk, chodieb ...) a vybraných zariadení (zabezpečené pomocou núdzového osvetlenia), a elektrické okruhy.</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MERANIE SPOTREBY ELEKTRICKEJ ENERGIE</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Meranie elektrickej energie bude umiestnené v samostatnom elektromerovom rozvádzači RE, umiestnenom na fasáde pozemku, prístupný z verejného priestranstva prístupný pre zamestnancov energetiky a.s. na odpočet el. energie v ktorúkoľvek dennú aj nočnú hodinu.</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 xml:space="preserve">ROZDELENIE EL.ZARIADENÍ </w:t>
      </w:r>
    </w:p>
    <w:p w:rsidR="00EE6A26" w:rsidRPr="00EE6A26" w:rsidRDefault="00EE6A26" w:rsidP="00EE6A26">
      <w:pPr>
        <w:spacing w:before="80" w:after="80"/>
        <w:ind w:firstLine="567"/>
        <w:rPr>
          <w:rFonts w:asciiTheme="majorHAnsi" w:hAnsiTheme="majorHAnsi" w:cstheme="majorHAnsi"/>
          <w:sz w:val="20"/>
        </w:rPr>
      </w:pPr>
      <w:r w:rsidRPr="00EE6A26">
        <w:rPr>
          <w:rFonts w:asciiTheme="majorHAnsi" w:hAnsiTheme="majorHAnsi" w:cstheme="majorHAnsi"/>
          <w:sz w:val="20"/>
        </w:rPr>
        <w:t>Navrhnuté technické zariadenia v technologických priestoroch s vonkajším vplyvom ako AD3/AD4:</w:t>
      </w:r>
    </w:p>
    <w:p w:rsidR="00EE6A26" w:rsidRPr="00EE6A26" w:rsidRDefault="00EE6A26" w:rsidP="00EE6A26">
      <w:pPr>
        <w:spacing w:before="80" w:after="80"/>
        <w:ind w:firstLine="567"/>
        <w:rPr>
          <w:rFonts w:asciiTheme="majorHAnsi" w:hAnsiTheme="majorHAnsi" w:cstheme="majorHAnsi"/>
          <w:sz w:val="20"/>
        </w:rPr>
      </w:pPr>
      <w:r w:rsidRPr="00EE6A26">
        <w:rPr>
          <w:rFonts w:asciiTheme="majorHAnsi" w:hAnsiTheme="majorHAnsi" w:cstheme="majorHAnsi"/>
          <w:sz w:val="20"/>
        </w:rPr>
        <w:t>m.č.: 0.03 Nerezové nádrže</w:t>
      </w:r>
    </w:p>
    <w:p w:rsidR="00EE6A26" w:rsidRPr="00EE6A26" w:rsidRDefault="00EE6A26" w:rsidP="00EE6A26">
      <w:pPr>
        <w:spacing w:before="80" w:after="80"/>
        <w:ind w:firstLine="567"/>
        <w:rPr>
          <w:rFonts w:asciiTheme="majorHAnsi" w:hAnsiTheme="majorHAnsi" w:cstheme="majorHAnsi"/>
          <w:sz w:val="20"/>
        </w:rPr>
      </w:pPr>
      <w:r w:rsidRPr="00EE6A26">
        <w:rPr>
          <w:rFonts w:asciiTheme="majorHAnsi" w:hAnsiTheme="majorHAnsi" w:cstheme="majorHAnsi"/>
          <w:sz w:val="20"/>
        </w:rPr>
        <w:t>m.č.: 0.04 Drevenené sudy</w:t>
      </w:r>
    </w:p>
    <w:p w:rsidR="00EE6A26" w:rsidRPr="00EE6A26" w:rsidRDefault="00EE6A26" w:rsidP="00EE6A26">
      <w:pPr>
        <w:spacing w:before="80" w:after="80"/>
        <w:ind w:firstLine="567"/>
        <w:rPr>
          <w:rFonts w:asciiTheme="majorHAnsi" w:hAnsiTheme="majorHAnsi" w:cstheme="majorHAnsi"/>
          <w:sz w:val="20"/>
        </w:rPr>
      </w:pPr>
      <w:r w:rsidRPr="00EE6A26">
        <w:rPr>
          <w:rFonts w:asciiTheme="majorHAnsi" w:hAnsiTheme="majorHAnsi" w:cstheme="majorHAnsi"/>
          <w:sz w:val="20"/>
        </w:rPr>
        <w:t>m.č.: 0.05 Exist. pivnica</w:t>
      </w:r>
    </w:p>
    <w:p w:rsidR="00EE6A26" w:rsidRPr="00EE6A26" w:rsidRDefault="00EE6A26" w:rsidP="00EE6A26">
      <w:pPr>
        <w:spacing w:before="80" w:after="80"/>
        <w:ind w:firstLine="567"/>
        <w:rPr>
          <w:rFonts w:asciiTheme="majorHAnsi" w:hAnsiTheme="majorHAnsi" w:cstheme="majorHAnsi"/>
          <w:sz w:val="20"/>
        </w:rPr>
      </w:pPr>
      <w:r w:rsidRPr="00EE6A26">
        <w:rPr>
          <w:rFonts w:asciiTheme="majorHAnsi" w:hAnsiTheme="majorHAnsi" w:cstheme="majorHAnsi"/>
          <w:sz w:val="20"/>
        </w:rPr>
        <w:t>m.č.: 1.24 Garáž -Stroje</w:t>
      </w:r>
    </w:p>
    <w:p w:rsidR="00EE6A26" w:rsidRPr="00EE6A26" w:rsidRDefault="00EE6A26" w:rsidP="00EE6A26">
      <w:pPr>
        <w:spacing w:before="80" w:after="80"/>
        <w:ind w:firstLine="567"/>
        <w:rPr>
          <w:rFonts w:asciiTheme="majorHAnsi" w:hAnsiTheme="majorHAnsi" w:cstheme="majorHAnsi"/>
          <w:sz w:val="20"/>
        </w:rPr>
      </w:pPr>
      <w:r w:rsidRPr="00EE6A26">
        <w:rPr>
          <w:rFonts w:asciiTheme="majorHAnsi" w:hAnsiTheme="majorHAnsi" w:cstheme="majorHAnsi"/>
          <w:sz w:val="20"/>
        </w:rPr>
        <w:lastRenderedPageBreak/>
        <w:t>m.č.: 1.13 Lisovňa</w:t>
      </w:r>
    </w:p>
    <w:p w:rsidR="00EE6A26" w:rsidRPr="00EE6A26" w:rsidRDefault="00EE6A26" w:rsidP="00EE6A26">
      <w:pPr>
        <w:spacing w:before="80" w:after="80"/>
        <w:ind w:firstLine="567"/>
        <w:rPr>
          <w:rFonts w:asciiTheme="majorHAnsi" w:hAnsiTheme="majorHAnsi" w:cstheme="majorHAnsi"/>
          <w:sz w:val="20"/>
        </w:rPr>
      </w:pPr>
      <w:r w:rsidRPr="00EE6A26">
        <w:rPr>
          <w:rFonts w:asciiTheme="majorHAnsi" w:hAnsiTheme="majorHAnsi" w:cstheme="majorHAnsi"/>
          <w:sz w:val="20"/>
        </w:rPr>
        <w:t>m.č.: 1.12 Výrobňa chladu</w:t>
      </w:r>
    </w:p>
    <w:p w:rsidR="00EE6A26" w:rsidRPr="00EE6A26" w:rsidRDefault="00EE6A26" w:rsidP="00EE6A26">
      <w:pPr>
        <w:spacing w:before="80" w:after="80"/>
        <w:ind w:firstLine="567"/>
        <w:rPr>
          <w:rFonts w:asciiTheme="majorHAnsi" w:hAnsiTheme="majorHAnsi" w:cstheme="majorHAnsi"/>
          <w:sz w:val="20"/>
        </w:rPr>
      </w:pPr>
      <w:r w:rsidRPr="00EE6A26">
        <w:rPr>
          <w:rFonts w:asciiTheme="majorHAnsi" w:hAnsiTheme="majorHAnsi" w:cstheme="majorHAnsi"/>
          <w:sz w:val="20"/>
        </w:rPr>
        <w:t xml:space="preserve"> sú v zmysle vyhlášky MPSVaR SR č.508/2009 Zb.z. vyhradené el. zariadenia skupina A podľa prílohy č.1 časť III. Všetky zariadenia podliehajú osvedčovaniu Technickému a skúšobnému ústavu stavebnému, n.o. TSÚS v Bratislave a Akreditovaným inšpekčným orgánom SR. Osvedčenia zabezpečuje výrobca zariadenia.</w:t>
      </w:r>
    </w:p>
    <w:p w:rsidR="00EE6A26" w:rsidRPr="00EE6A26" w:rsidRDefault="00EE6A26" w:rsidP="00EE6A26">
      <w:pPr>
        <w:spacing w:before="80" w:after="80"/>
        <w:rPr>
          <w:rFonts w:asciiTheme="majorHAnsi" w:hAnsiTheme="majorHAnsi" w:cstheme="majorHAnsi"/>
          <w:sz w:val="20"/>
        </w:rPr>
      </w:pPr>
      <w:r w:rsidRPr="00EE6A26">
        <w:rPr>
          <w:rFonts w:asciiTheme="majorHAnsi" w:hAnsiTheme="majorHAnsi" w:cstheme="majorHAnsi"/>
          <w:sz w:val="20"/>
        </w:rPr>
        <w:tab/>
        <w:t>Ostatné elektrické zariadenie sú vyhradeným technickým zariadením skupiny B v zmysle § 4 vyhlášky MPSVaR SR č. 508/2009 Z.z. , príloha č. 1,časť III , ktorou sa určujú vyhradené technické zariadenia a stanovujú niektoré podmienky na zaistenie bezpečnosti a ochrany zdravia pri práci a bezpečnosti technických zariadení - Technické zariadenia s vyššou mierou ohrozenia. Podľa § 5 odst. 2 tejto vyhlášky, k tejto dokumentácii nie je potrebné úradné osvedčenie, resp. vyjadrenie inšpekčného orgánu. Prevádzkovateľ je povinný pred začatím prevádzky a počas nej zabezpečiť vykonávanie odborných prehliadok a skúšok elektrického zariadenia podľa § č.13 vyhlášky MPSVaR SR č. 508/2009 Z.z. a STN 33 1500, zmena 1/2007 tab.1. Odborné prehliadky alebo skúšky vykonáva pracovník s odbornou spôsobilosťou podľa § č.24 v lehotách podľa druhu priestoru podľa vyhlášky MPSVaR SR č. 508/2009 Z.z., a vonkajších vplyvov podľa STN 33 1500.Dodávateľ elektroinštalácie je povinný pred začatím prevádzky vykonať východiskovú revíziu elektrického zariadenia, prevádzkovateľ je povinný zabezpečiť následne vykonávanie pravidelných revízii podľa STN 33 1500, STN 33 2000-6.</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 xml:space="preserve">KOMPENZÁCIA ÚČINNÍKA </w:t>
      </w:r>
    </w:p>
    <w:p w:rsidR="00EE6A26" w:rsidRPr="00EE6A26" w:rsidRDefault="00EE6A26" w:rsidP="00EE6A26">
      <w:pPr>
        <w:spacing w:after="120"/>
        <w:ind w:firstLine="567"/>
        <w:rPr>
          <w:rFonts w:asciiTheme="majorHAnsi" w:hAnsiTheme="majorHAnsi" w:cstheme="majorHAnsi"/>
          <w:sz w:val="20"/>
        </w:rPr>
      </w:pPr>
      <w:r w:rsidRPr="00EE6A26">
        <w:rPr>
          <w:rFonts w:asciiTheme="majorHAnsi" w:hAnsiTheme="majorHAnsi" w:cstheme="majorHAnsi"/>
          <w:sz w:val="20"/>
        </w:rPr>
        <w:t>Kompenzácia jalového výkonu Q je riešená centrálne samostatným chráneným kompenzačným rozvádzačom RC pripojeným k hlavnému rozvádzaču v napájacej trafostanici v správe MDS na účinník 0,95 ind. charakteru. Nie je predmetom tejto časti projektovej dokumentácie.</w:t>
      </w:r>
    </w:p>
    <w:p w:rsidR="00EE6A26" w:rsidRPr="00EE6A26" w:rsidRDefault="00EE6A26" w:rsidP="00165ED7">
      <w:pPr>
        <w:pStyle w:val="Nadpis1"/>
        <w:numPr>
          <w:ilvl w:val="0"/>
          <w:numId w:val="14"/>
        </w:numPr>
      </w:pPr>
      <w:r w:rsidRPr="00EE6A26">
        <w:t xml:space="preserve">POPIS RIEŠENIA – ELEKTRICKÁ PRÍPOJKA </w:t>
      </w:r>
    </w:p>
    <w:p w:rsidR="00EE6A26" w:rsidRPr="00EE6A26" w:rsidRDefault="00EE6A26" w:rsidP="00EE6A26">
      <w:pPr>
        <w:spacing w:before="120"/>
        <w:ind w:firstLine="567"/>
        <w:rPr>
          <w:rFonts w:asciiTheme="majorHAnsi" w:hAnsiTheme="majorHAnsi" w:cstheme="majorHAnsi"/>
          <w:sz w:val="20"/>
        </w:rPr>
      </w:pPr>
      <w:r w:rsidRPr="00EE6A26">
        <w:rPr>
          <w:rFonts w:asciiTheme="majorHAnsi" w:hAnsiTheme="majorHAnsi" w:cstheme="majorHAnsi"/>
          <w:sz w:val="20"/>
        </w:rPr>
        <w:tab/>
        <w:t>Pripojenie objektu na elektrickú sieť je navrhnuté káblovou prípojkou z distribučnej siete NN (0,4 kV) pre obec. Vedenia NN v intraviláne obce sa podľa vyhlášky Ministerstva životného prostredia č.532/2002, § 4, ods. 5) umiestňujú zásadne pod povrch zeme – káblové podzemné vedenia NN.</w:t>
      </w:r>
    </w:p>
    <w:p w:rsidR="00EE6A26" w:rsidRPr="00EE6A26" w:rsidRDefault="00EE6A26" w:rsidP="00EE6A26">
      <w:pPr>
        <w:spacing w:before="120"/>
        <w:rPr>
          <w:rFonts w:asciiTheme="majorHAnsi" w:hAnsiTheme="majorHAnsi" w:cstheme="majorHAnsi"/>
          <w:b/>
          <w:sz w:val="20"/>
        </w:rPr>
      </w:pPr>
      <w:r w:rsidRPr="00EE6A26">
        <w:rPr>
          <w:rFonts w:asciiTheme="majorHAnsi" w:hAnsiTheme="majorHAnsi" w:cstheme="majorHAnsi"/>
          <w:b/>
          <w:sz w:val="20"/>
        </w:rPr>
        <w:t>RIEŠENIE PRE SO01,02,03,04:</w:t>
      </w:r>
    </w:p>
    <w:p w:rsidR="00EE6A26" w:rsidRPr="00EE6A26" w:rsidRDefault="00EE6A26" w:rsidP="00EE6A26">
      <w:pPr>
        <w:spacing w:before="120"/>
        <w:rPr>
          <w:rFonts w:asciiTheme="majorHAnsi" w:hAnsiTheme="majorHAnsi" w:cstheme="majorHAnsi"/>
          <w:b/>
          <w:sz w:val="20"/>
        </w:rPr>
      </w:pPr>
      <w:r w:rsidRPr="00EE6A26">
        <w:rPr>
          <w:rFonts w:asciiTheme="majorHAnsi" w:hAnsiTheme="majorHAnsi" w:cstheme="majorHAnsi"/>
          <w:sz w:val="20"/>
        </w:rPr>
        <w:t>Prípojka je navrhnutá z existujúceho podperného bodu PB č.137, káblom NFA2X 4x16 mm² 4x25 mm² do prípojkovej skrine SPP1/1. Na uchytenie tohto kábla sa použije upínací plastový pás a v skrini sa koniec nulového vodiča označí zeleno-žltou farbou. Z prípojkovej skrine SPP1/1 je navrhnutý kábel NAYY-J 4x25 mm² do rozvádzača merania RE-1. Kábel NAYY-J 4x25 mm² bude vedený v zemi. Z RE-1 do rozvádzača fotovoltiky RFVE  je navrhnutý kábel CYKY-J 5x50 mm², kábel CYKY-J 3x1,5 mm². Z RFVE do hlavného rozvádzača RH  je navrhnutý kábel CYKY-J 5x50 mm², kábel CYKY-J 7x1,5 mm².</w:t>
      </w:r>
      <w:r w:rsidRPr="00EE6A26">
        <w:rPr>
          <w:rFonts w:asciiTheme="majorHAnsi" w:hAnsiTheme="majorHAnsi" w:cstheme="majorHAnsi"/>
          <w:b/>
          <w:sz w:val="20"/>
        </w:rPr>
        <w:t xml:space="preserve"> </w:t>
      </w:r>
      <w:r w:rsidRPr="00EE6A26">
        <w:rPr>
          <w:rFonts w:asciiTheme="majorHAnsi" w:hAnsiTheme="majorHAnsi" w:cstheme="majorHAnsi"/>
          <w:sz w:val="20"/>
        </w:rPr>
        <w:t>Hlavný istič pred elektromerom: In=25A s charakteristikou vedenia (napr. LTN B25/3). Pred začatím zriadenia prípojky NN je potrebné požiadať spoločnosť Západoslovenská distribučná, a.s. o vyjadrenie k projektu prípojky NN a vytýčiť inžinierske siete. Pri nevyhnutnom súbehu silnoprúdových a telekomunikačných rozvodov musia byť obidva rozvody od seba vzdialené aspoň podľa tabuľky  a pri križovaní nesmú byť v blízkosti menšej ako 10 mm.</w:t>
      </w:r>
    </w:p>
    <w:p w:rsidR="00EE6A26" w:rsidRPr="00EE6A26" w:rsidRDefault="00EE6A26" w:rsidP="00EE6A26">
      <w:pPr>
        <w:spacing w:before="120"/>
        <w:rPr>
          <w:rFonts w:asciiTheme="majorHAnsi" w:hAnsiTheme="majorHAnsi" w:cstheme="majorHAnsi"/>
          <w:b/>
          <w:sz w:val="20"/>
        </w:rPr>
      </w:pP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NAJMENŠIE DOVOLENÉ VODOROVNÉ VZDIALENOSTI PRI SÚBEHU NN KÁBLA DO 1 kV S PODZEMNÝMI VEDENIAMI V m.</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(VZDIALENOSŤ SA MERIA MEDZI VONKAJŠÍMI POVRCHMI KÁBLOV, POTRUBÍ, OCHRANNÝCH KONŠTRUKCIÍ, ..)</w:t>
      </w:r>
    </w:p>
    <w:tbl>
      <w:tblPr>
        <w:tblW w:w="9084" w:type="dxa"/>
        <w:jc w:val="center"/>
        <w:tblCellMar>
          <w:left w:w="70" w:type="dxa"/>
          <w:right w:w="70" w:type="dxa"/>
        </w:tblCellMar>
        <w:tblLook w:val="04A0" w:firstRow="1" w:lastRow="0" w:firstColumn="1" w:lastColumn="0" w:noHBand="0" w:noVBand="1"/>
      </w:tblPr>
      <w:tblGrid>
        <w:gridCol w:w="634"/>
        <w:gridCol w:w="650"/>
        <w:gridCol w:w="675"/>
        <w:gridCol w:w="738"/>
        <w:gridCol w:w="876"/>
        <w:gridCol w:w="962"/>
        <w:gridCol w:w="732"/>
        <w:gridCol w:w="835"/>
        <w:gridCol w:w="1238"/>
        <w:gridCol w:w="1024"/>
        <w:gridCol w:w="896"/>
        <w:gridCol w:w="801"/>
      </w:tblGrid>
      <w:tr w:rsidR="00EE6A26" w:rsidRPr="00EE6A26" w:rsidTr="00EE6A26">
        <w:trPr>
          <w:trHeight w:val="213"/>
          <w:jc w:val="center"/>
        </w:trPr>
        <w:tc>
          <w:tcPr>
            <w:tcW w:w="2697"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SILOVÉ KÁBLE</w:t>
            </w:r>
          </w:p>
        </w:tc>
        <w:tc>
          <w:tcPr>
            <w:tcW w:w="1602"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OZNAMOVACIE KÁBLE</w:t>
            </w:r>
          </w:p>
        </w:tc>
        <w:tc>
          <w:tcPr>
            <w:tcW w:w="1567"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PLYNOVODY</w:t>
            </w:r>
          </w:p>
        </w:tc>
        <w:tc>
          <w:tcPr>
            <w:tcW w:w="1007" w:type="dxa"/>
            <w:vMerge w:val="restart"/>
            <w:tcBorders>
              <w:top w:val="single" w:sz="4" w:space="0" w:color="auto"/>
              <w:left w:val="nil"/>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VODOVODNÉ POTRUBIE</w:t>
            </w:r>
          </w:p>
        </w:tc>
        <w:tc>
          <w:tcPr>
            <w:tcW w:w="832" w:type="dxa"/>
            <w:vMerge w:val="restart"/>
            <w:tcBorders>
              <w:top w:val="single" w:sz="4" w:space="0" w:color="auto"/>
              <w:left w:val="nil"/>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TEPLOVOD</w:t>
            </w:r>
          </w:p>
        </w:tc>
        <w:tc>
          <w:tcPr>
            <w:tcW w:w="728" w:type="dxa"/>
            <w:tcBorders>
              <w:top w:val="single" w:sz="4" w:space="0" w:color="auto"/>
              <w:left w:val="nil"/>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KÁBLOVÝ</w:t>
            </w:r>
          </w:p>
        </w:tc>
        <w:tc>
          <w:tcPr>
            <w:tcW w:w="651" w:type="dxa"/>
            <w:tcBorders>
              <w:top w:val="single" w:sz="4" w:space="0" w:color="auto"/>
              <w:left w:val="nil"/>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KANALI-</w:t>
            </w:r>
          </w:p>
        </w:tc>
      </w:tr>
      <w:tr w:rsidR="00EE6A26" w:rsidRPr="00EE6A26" w:rsidTr="00EE6A26">
        <w:trPr>
          <w:trHeight w:val="213"/>
          <w:jc w:val="center"/>
        </w:trPr>
        <w:tc>
          <w:tcPr>
            <w:tcW w:w="634" w:type="dxa"/>
            <w:tcBorders>
              <w:top w:val="nil"/>
              <w:left w:val="single" w:sz="4" w:space="0" w:color="auto"/>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DO 1kV</w:t>
            </w:r>
          </w:p>
        </w:tc>
        <w:tc>
          <w:tcPr>
            <w:tcW w:w="650"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DO 10kV</w:t>
            </w:r>
          </w:p>
        </w:tc>
        <w:tc>
          <w:tcPr>
            <w:tcW w:w="675"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DO 35kV</w:t>
            </w:r>
          </w:p>
        </w:tc>
        <w:tc>
          <w:tcPr>
            <w:tcW w:w="736"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DO 110kV</w:t>
            </w:r>
          </w:p>
        </w:tc>
        <w:tc>
          <w:tcPr>
            <w:tcW w:w="819"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MIESTNE</w:t>
            </w:r>
          </w:p>
        </w:tc>
        <w:tc>
          <w:tcPr>
            <w:tcW w:w="782"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DIAĽKOVÉ</w:t>
            </w:r>
          </w:p>
        </w:tc>
        <w:tc>
          <w:tcPr>
            <w:tcW w:w="732"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DO 5kPa</w:t>
            </w:r>
          </w:p>
        </w:tc>
        <w:tc>
          <w:tcPr>
            <w:tcW w:w="834"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DO 300kPa</w:t>
            </w:r>
          </w:p>
        </w:tc>
        <w:tc>
          <w:tcPr>
            <w:tcW w:w="1007" w:type="dxa"/>
            <w:vMerge/>
            <w:tcBorders>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p>
        </w:tc>
        <w:tc>
          <w:tcPr>
            <w:tcW w:w="832" w:type="dxa"/>
            <w:vMerge/>
            <w:tcBorders>
              <w:left w:val="nil"/>
              <w:bottom w:val="single" w:sz="4" w:space="0" w:color="auto"/>
              <w:right w:val="single" w:sz="4" w:space="0" w:color="auto"/>
            </w:tcBorders>
            <w:shd w:val="clear" w:color="000000" w:fill="FFFFFF"/>
            <w:vAlign w:val="center"/>
          </w:tcPr>
          <w:p w:rsidR="00EE6A26" w:rsidRPr="00EE6A26" w:rsidRDefault="00EE6A26" w:rsidP="00A30F65">
            <w:pPr>
              <w:rPr>
                <w:rFonts w:asciiTheme="majorHAnsi" w:hAnsiTheme="majorHAnsi" w:cstheme="majorHAnsi"/>
                <w:color w:val="000000"/>
                <w:sz w:val="20"/>
              </w:rPr>
            </w:pPr>
          </w:p>
        </w:tc>
        <w:tc>
          <w:tcPr>
            <w:tcW w:w="728" w:type="dxa"/>
            <w:tcBorders>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KANÁL</w:t>
            </w:r>
          </w:p>
        </w:tc>
        <w:tc>
          <w:tcPr>
            <w:tcW w:w="651" w:type="dxa"/>
            <w:tcBorders>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ZÁCIA</w:t>
            </w:r>
          </w:p>
        </w:tc>
      </w:tr>
      <w:tr w:rsidR="00EE6A26" w:rsidRPr="00EE6A26" w:rsidTr="00EE6A26">
        <w:trPr>
          <w:trHeight w:val="237"/>
          <w:jc w:val="center"/>
        </w:trPr>
        <w:tc>
          <w:tcPr>
            <w:tcW w:w="634" w:type="dxa"/>
            <w:tcBorders>
              <w:top w:val="nil"/>
              <w:left w:val="single" w:sz="4" w:space="0" w:color="auto"/>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0,05</w:t>
            </w:r>
          </w:p>
        </w:tc>
        <w:tc>
          <w:tcPr>
            <w:tcW w:w="650"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0,15</w:t>
            </w:r>
          </w:p>
        </w:tc>
        <w:tc>
          <w:tcPr>
            <w:tcW w:w="675"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0,2</w:t>
            </w:r>
          </w:p>
        </w:tc>
        <w:tc>
          <w:tcPr>
            <w:tcW w:w="736"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0,2</w:t>
            </w:r>
          </w:p>
        </w:tc>
        <w:tc>
          <w:tcPr>
            <w:tcW w:w="819"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0,3</w:t>
            </w:r>
            <w:r w:rsidRPr="00EE6A26">
              <w:rPr>
                <w:rFonts w:asciiTheme="majorHAnsi" w:hAnsiTheme="majorHAnsi" w:cstheme="majorHAnsi"/>
                <w:color w:val="000000"/>
                <w:sz w:val="20"/>
                <w:vertAlign w:val="superscript"/>
              </w:rPr>
              <w:t>1)</w:t>
            </w:r>
            <w:r w:rsidRPr="00EE6A26">
              <w:rPr>
                <w:rFonts w:asciiTheme="majorHAnsi" w:hAnsiTheme="majorHAnsi" w:cstheme="majorHAnsi"/>
                <w:color w:val="000000"/>
                <w:sz w:val="20"/>
              </w:rPr>
              <w:t xml:space="preserve">  0,1</w:t>
            </w:r>
            <w:r w:rsidRPr="00EE6A26">
              <w:rPr>
                <w:rFonts w:asciiTheme="majorHAnsi" w:hAnsiTheme="majorHAnsi" w:cstheme="majorHAnsi"/>
                <w:color w:val="000000"/>
                <w:sz w:val="20"/>
                <w:vertAlign w:val="superscript"/>
              </w:rPr>
              <w:t>2)</w:t>
            </w:r>
          </w:p>
        </w:tc>
        <w:tc>
          <w:tcPr>
            <w:tcW w:w="782"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0,3</w:t>
            </w:r>
            <w:r w:rsidRPr="00EE6A26">
              <w:rPr>
                <w:rFonts w:asciiTheme="majorHAnsi" w:hAnsiTheme="majorHAnsi" w:cstheme="majorHAnsi"/>
                <w:color w:val="000000"/>
                <w:sz w:val="20"/>
                <w:vertAlign w:val="superscript"/>
              </w:rPr>
              <w:t>1)</w:t>
            </w:r>
            <w:r w:rsidRPr="00EE6A26">
              <w:rPr>
                <w:rFonts w:asciiTheme="majorHAnsi" w:hAnsiTheme="majorHAnsi" w:cstheme="majorHAnsi"/>
                <w:color w:val="000000"/>
                <w:sz w:val="20"/>
              </w:rPr>
              <w:t xml:space="preserve">  0,1</w:t>
            </w:r>
            <w:r w:rsidRPr="00EE6A26">
              <w:rPr>
                <w:rFonts w:asciiTheme="majorHAnsi" w:hAnsiTheme="majorHAnsi" w:cstheme="majorHAnsi"/>
                <w:color w:val="000000"/>
                <w:sz w:val="20"/>
                <w:vertAlign w:val="superscript"/>
              </w:rPr>
              <w:t>2)</w:t>
            </w:r>
          </w:p>
        </w:tc>
        <w:tc>
          <w:tcPr>
            <w:tcW w:w="732"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0,4</w:t>
            </w:r>
          </w:p>
        </w:tc>
        <w:tc>
          <w:tcPr>
            <w:tcW w:w="834"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0,6</w:t>
            </w:r>
          </w:p>
        </w:tc>
        <w:tc>
          <w:tcPr>
            <w:tcW w:w="1007" w:type="dxa"/>
            <w:tcBorders>
              <w:top w:val="nil"/>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0,4</w:t>
            </w:r>
          </w:p>
        </w:tc>
        <w:tc>
          <w:tcPr>
            <w:tcW w:w="832" w:type="dxa"/>
            <w:tcBorders>
              <w:top w:val="nil"/>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0,3</w:t>
            </w:r>
          </w:p>
        </w:tc>
        <w:tc>
          <w:tcPr>
            <w:tcW w:w="728" w:type="dxa"/>
            <w:tcBorders>
              <w:top w:val="nil"/>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0,1</w:t>
            </w:r>
          </w:p>
        </w:tc>
        <w:tc>
          <w:tcPr>
            <w:tcW w:w="651" w:type="dxa"/>
            <w:tcBorders>
              <w:top w:val="nil"/>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0,5</w:t>
            </w:r>
          </w:p>
        </w:tc>
      </w:tr>
    </w:tbl>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NAJMENŠIE DOVOLENÉ ZVISLÉ VZDIALENOSTI PRÍ KRIŽOVANÍ NN KÁBLA DO 1 kV S PODZEMNÝMI VEDENIAMI V m.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(VZDIALENOSŤ SA MERIA MEDZI VONKAJŠÍMI POVRCHMI KÁBLOV, POTRUBÍ, OCHRANNÝCH KONŠTRUKCIÍ, ..)</w:t>
      </w:r>
    </w:p>
    <w:tbl>
      <w:tblPr>
        <w:tblW w:w="9475" w:type="dxa"/>
        <w:jc w:val="center"/>
        <w:tblCellMar>
          <w:left w:w="70" w:type="dxa"/>
          <w:right w:w="70" w:type="dxa"/>
        </w:tblCellMar>
        <w:tblLook w:val="04A0" w:firstRow="1" w:lastRow="0" w:firstColumn="1" w:lastColumn="0" w:noHBand="0" w:noVBand="1"/>
      </w:tblPr>
      <w:tblGrid>
        <w:gridCol w:w="661"/>
        <w:gridCol w:w="678"/>
        <w:gridCol w:w="704"/>
        <w:gridCol w:w="770"/>
        <w:gridCol w:w="876"/>
        <w:gridCol w:w="962"/>
        <w:gridCol w:w="764"/>
        <w:gridCol w:w="870"/>
        <w:gridCol w:w="1238"/>
        <w:gridCol w:w="1024"/>
        <w:gridCol w:w="896"/>
        <w:gridCol w:w="801"/>
      </w:tblGrid>
      <w:tr w:rsidR="00EE6A26" w:rsidRPr="00EE6A26" w:rsidTr="00EE6A26">
        <w:trPr>
          <w:trHeight w:val="202"/>
          <w:jc w:val="center"/>
        </w:trPr>
        <w:tc>
          <w:tcPr>
            <w:tcW w:w="2813"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SILOVÉ KÁBLE</w:t>
            </w:r>
          </w:p>
        </w:tc>
        <w:tc>
          <w:tcPr>
            <w:tcW w:w="1671"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OZNAMOVACIE KÁBLE</w:t>
            </w:r>
          </w:p>
        </w:tc>
        <w:tc>
          <w:tcPr>
            <w:tcW w:w="1634"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PLYNOVODY</w:t>
            </w:r>
          </w:p>
        </w:tc>
        <w:tc>
          <w:tcPr>
            <w:tcW w:w="1050" w:type="dxa"/>
            <w:vMerge w:val="restart"/>
            <w:tcBorders>
              <w:top w:val="single" w:sz="4" w:space="0" w:color="auto"/>
              <w:left w:val="nil"/>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VODOVODNÉ POTRUBIE</w:t>
            </w:r>
          </w:p>
        </w:tc>
        <w:tc>
          <w:tcPr>
            <w:tcW w:w="868" w:type="dxa"/>
            <w:vMerge w:val="restart"/>
            <w:tcBorders>
              <w:top w:val="single" w:sz="4" w:space="0" w:color="auto"/>
              <w:left w:val="nil"/>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TEPLOVOD</w:t>
            </w:r>
          </w:p>
        </w:tc>
        <w:tc>
          <w:tcPr>
            <w:tcW w:w="760" w:type="dxa"/>
            <w:tcBorders>
              <w:top w:val="single" w:sz="4" w:space="0" w:color="auto"/>
              <w:left w:val="nil"/>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KÁBLOVÝ</w:t>
            </w:r>
          </w:p>
        </w:tc>
        <w:tc>
          <w:tcPr>
            <w:tcW w:w="679" w:type="dxa"/>
            <w:tcBorders>
              <w:top w:val="single" w:sz="4" w:space="0" w:color="auto"/>
              <w:left w:val="nil"/>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KANALI-</w:t>
            </w:r>
          </w:p>
        </w:tc>
      </w:tr>
      <w:tr w:rsidR="00EE6A26" w:rsidRPr="00EE6A26" w:rsidTr="00EE6A26">
        <w:trPr>
          <w:trHeight w:val="202"/>
          <w:jc w:val="center"/>
        </w:trPr>
        <w:tc>
          <w:tcPr>
            <w:tcW w:w="661" w:type="dxa"/>
            <w:tcBorders>
              <w:top w:val="nil"/>
              <w:left w:val="single" w:sz="4" w:space="0" w:color="auto"/>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lastRenderedPageBreak/>
              <w:t>DO 1kV</w:t>
            </w:r>
          </w:p>
        </w:tc>
        <w:tc>
          <w:tcPr>
            <w:tcW w:w="678"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DO 10kV</w:t>
            </w:r>
          </w:p>
        </w:tc>
        <w:tc>
          <w:tcPr>
            <w:tcW w:w="704"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DO 35kV</w:t>
            </w:r>
          </w:p>
        </w:tc>
        <w:tc>
          <w:tcPr>
            <w:tcW w:w="767"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DO 110kV</w:t>
            </w:r>
          </w:p>
        </w:tc>
        <w:tc>
          <w:tcPr>
            <w:tcW w:w="855"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MIESTNE</w:t>
            </w:r>
          </w:p>
        </w:tc>
        <w:tc>
          <w:tcPr>
            <w:tcW w:w="816"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DIAĽKOVÉ</w:t>
            </w:r>
          </w:p>
        </w:tc>
        <w:tc>
          <w:tcPr>
            <w:tcW w:w="764"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DO 5kPa</w:t>
            </w:r>
          </w:p>
        </w:tc>
        <w:tc>
          <w:tcPr>
            <w:tcW w:w="870"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DO 300kPa</w:t>
            </w:r>
          </w:p>
        </w:tc>
        <w:tc>
          <w:tcPr>
            <w:tcW w:w="1050" w:type="dxa"/>
            <w:vMerge/>
            <w:tcBorders>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p>
        </w:tc>
        <w:tc>
          <w:tcPr>
            <w:tcW w:w="868" w:type="dxa"/>
            <w:vMerge/>
            <w:tcBorders>
              <w:left w:val="nil"/>
              <w:bottom w:val="single" w:sz="4" w:space="0" w:color="auto"/>
              <w:right w:val="single" w:sz="4" w:space="0" w:color="auto"/>
            </w:tcBorders>
            <w:shd w:val="clear" w:color="000000" w:fill="FFFFFF"/>
            <w:vAlign w:val="center"/>
          </w:tcPr>
          <w:p w:rsidR="00EE6A26" w:rsidRPr="00EE6A26" w:rsidRDefault="00EE6A26" w:rsidP="00A30F65">
            <w:pPr>
              <w:rPr>
                <w:rFonts w:asciiTheme="majorHAnsi" w:hAnsiTheme="majorHAnsi" w:cstheme="majorHAnsi"/>
                <w:color w:val="000000"/>
                <w:sz w:val="20"/>
              </w:rPr>
            </w:pPr>
          </w:p>
        </w:tc>
        <w:tc>
          <w:tcPr>
            <w:tcW w:w="760" w:type="dxa"/>
            <w:tcBorders>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KANÁL</w:t>
            </w:r>
          </w:p>
        </w:tc>
        <w:tc>
          <w:tcPr>
            <w:tcW w:w="679" w:type="dxa"/>
            <w:tcBorders>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ZÁCIA</w:t>
            </w:r>
          </w:p>
        </w:tc>
      </w:tr>
      <w:tr w:rsidR="00EE6A26" w:rsidRPr="00EE6A26" w:rsidTr="00EE6A26">
        <w:trPr>
          <w:trHeight w:val="224"/>
          <w:jc w:val="center"/>
        </w:trPr>
        <w:tc>
          <w:tcPr>
            <w:tcW w:w="661" w:type="dxa"/>
            <w:tcBorders>
              <w:top w:val="nil"/>
              <w:left w:val="single" w:sz="4" w:space="0" w:color="auto"/>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0,05</w:t>
            </w:r>
          </w:p>
        </w:tc>
        <w:tc>
          <w:tcPr>
            <w:tcW w:w="678"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0,15</w:t>
            </w:r>
          </w:p>
        </w:tc>
        <w:tc>
          <w:tcPr>
            <w:tcW w:w="704"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0,2</w:t>
            </w:r>
          </w:p>
        </w:tc>
        <w:tc>
          <w:tcPr>
            <w:tcW w:w="767"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0,2</w:t>
            </w:r>
          </w:p>
        </w:tc>
        <w:tc>
          <w:tcPr>
            <w:tcW w:w="855"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0,3</w:t>
            </w:r>
            <w:r w:rsidRPr="00EE6A26">
              <w:rPr>
                <w:rFonts w:asciiTheme="majorHAnsi" w:hAnsiTheme="majorHAnsi" w:cstheme="majorHAnsi"/>
                <w:color w:val="000000"/>
                <w:sz w:val="20"/>
                <w:vertAlign w:val="superscript"/>
              </w:rPr>
              <w:t>1)</w:t>
            </w:r>
            <w:r w:rsidRPr="00EE6A26">
              <w:rPr>
                <w:rFonts w:asciiTheme="majorHAnsi" w:hAnsiTheme="majorHAnsi" w:cstheme="majorHAnsi"/>
                <w:color w:val="000000"/>
                <w:sz w:val="20"/>
              </w:rPr>
              <w:t xml:space="preserve">  0,1</w:t>
            </w:r>
            <w:r w:rsidRPr="00EE6A26">
              <w:rPr>
                <w:rFonts w:asciiTheme="majorHAnsi" w:hAnsiTheme="majorHAnsi" w:cstheme="majorHAnsi"/>
                <w:color w:val="000000"/>
                <w:sz w:val="20"/>
                <w:vertAlign w:val="superscript"/>
              </w:rPr>
              <w:t>2)</w:t>
            </w:r>
          </w:p>
        </w:tc>
        <w:tc>
          <w:tcPr>
            <w:tcW w:w="816"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0,3</w:t>
            </w:r>
            <w:r w:rsidRPr="00EE6A26">
              <w:rPr>
                <w:rFonts w:asciiTheme="majorHAnsi" w:hAnsiTheme="majorHAnsi" w:cstheme="majorHAnsi"/>
                <w:color w:val="000000"/>
                <w:sz w:val="20"/>
                <w:vertAlign w:val="superscript"/>
              </w:rPr>
              <w:t>1)</w:t>
            </w:r>
            <w:r w:rsidRPr="00EE6A26">
              <w:rPr>
                <w:rFonts w:asciiTheme="majorHAnsi" w:hAnsiTheme="majorHAnsi" w:cstheme="majorHAnsi"/>
                <w:color w:val="000000"/>
                <w:sz w:val="20"/>
              </w:rPr>
              <w:t xml:space="preserve">  0,1</w:t>
            </w:r>
            <w:r w:rsidRPr="00EE6A26">
              <w:rPr>
                <w:rFonts w:asciiTheme="majorHAnsi" w:hAnsiTheme="majorHAnsi" w:cstheme="majorHAnsi"/>
                <w:color w:val="000000"/>
                <w:sz w:val="20"/>
                <w:vertAlign w:val="superscript"/>
              </w:rPr>
              <w:t>2)</w:t>
            </w:r>
          </w:p>
        </w:tc>
        <w:tc>
          <w:tcPr>
            <w:tcW w:w="764"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0,4</w:t>
            </w:r>
            <w:r w:rsidRPr="00EE6A26">
              <w:rPr>
                <w:rFonts w:asciiTheme="majorHAnsi" w:hAnsiTheme="majorHAnsi" w:cstheme="majorHAnsi"/>
                <w:color w:val="000000"/>
                <w:sz w:val="20"/>
                <w:vertAlign w:val="superscript"/>
              </w:rPr>
              <w:t>4)</w:t>
            </w:r>
          </w:p>
        </w:tc>
        <w:tc>
          <w:tcPr>
            <w:tcW w:w="870" w:type="dxa"/>
            <w:tcBorders>
              <w:top w:val="nil"/>
              <w:left w:val="nil"/>
              <w:bottom w:val="single" w:sz="4" w:space="0" w:color="auto"/>
              <w:right w:val="single" w:sz="4" w:space="0" w:color="auto"/>
            </w:tcBorders>
            <w:shd w:val="clear" w:color="000000" w:fill="FFFFFF"/>
            <w:noWrap/>
            <w:vAlign w:val="center"/>
            <w:hideMark/>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1,0</w:t>
            </w:r>
            <w:r w:rsidRPr="00EE6A26">
              <w:rPr>
                <w:rFonts w:asciiTheme="majorHAnsi" w:hAnsiTheme="majorHAnsi" w:cstheme="majorHAnsi"/>
                <w:color w:val="000000"/>
                <w:sz w:val="20"/>
                <w:vertAlign w:val="superscript"/>
              </w:rPr>
              <w:t>4)</w:t>
            </w:r>
          </w:p>
        </w:tc>
        <w:tc>
          <w:tcPr>
            <w:tcW w:w="1050" w:type="dxa"/>
            <w:tcBorders>
              <w:top w:val="nil"/>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0,4</w:t>
            </w:r>
            <w:r w:rsidRPr="00EE6A26">
              <w:rPr>
                <w:rFonts w:asciiTheme="majorHAnsi" w:hAnsiTheme="majorHAnsi" w:cstheme="majorHAnsi"/>
                <w:color w:val="000000"/>
                <w:sz w:val="20"/>
                <w:vertAlign w:val="superscript"/>
              </w:rPr>
              <w:t>1)</w:t>
            </w:r>
            <w:r w:rsidRPr="00EE6A26">
              <w:rPr>
                <w:rFonts w:asciiTheme="majorHAnsi" w:hAnsiTheme="majorHAnsi" w:cstheme="majorHAnsi"/>
                <w:color w:val="000000"/>
                <w:sz w:val="20"/>
              </w:rPr>
              <w:t xml:space="preserve">   0,2</w:t>
            </w:r>
            <w:r w:rsidRPr="00EE6A26">
              <w:rPr>
                <w:rFonts w:asciiTheme="majorHAnsi" w:hAnsiTheme="majorHAnsi" w:cstheme="majorHAnsi"/>
                <w:color w:val="000000"/>
                <w:sz w:val="20"/>
                <w:vertAlign w:val="superscript"/>
              </w:rPr>
              <w:t>2)</w:t>
            </w:r>
          </w:p>
        </w:tc>
        <w:tc>
          <w:tcPr>
            <w:tcW w:w="868" w:type="dxa"/>
            <w:tcBorders>
              <w:top w:val="nil"/>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0,3</w:t>
            </w:r>
            <w:r w:rsidRPr="00EE6A26">
              <w:rPr>
                <w:rFonts w:asciiTheme="majorHAnsi" w:hAnsiTheme="majorHAnsi" w:cstheme="majorHAnsi"/>
                <w:color w:val="000000"/>
                <w:sz w:val="20"/>
                <w:vertAlign w:val="superscript"/>
              </w:rPr>
              <w:t>3)</w:t>
            </w:r>
          </w:p>
        </w:tc>
        <w:tc>
          <w:tcPr>
            <w:tcW w:w="760" w:type="dxa"/>
            <w:tcBorders>
              <w:top w:val="nil"/>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0,3</w:t>
            </w:r>
          </w:p>
        </w:tc>
        <w:tc>
          <w:tcPr>
            <w:tcW w:w="679" w:type="dxa"/>
            <w:tcBorders>
              <w:top w:val="nil"/>
              <w:left w:val="nil"/>
              <w:bottom w:val="single" w:sz="4" w:space="0" w:color="auto"/>
              <w:right w:val="single" w:sz="4" w:space="0" w:color="auto"/>
            </w:tcBorders>
            <w:shd w:val="clear" w:color="000000" w:fill="FFFFFF"/>
            <w:vAlign w:val="center"/>
          </w:tcPr>
          <w:p w:rsidR="00EE6A26" w:rsidRPr="00EE6A26" w:rsidRDefault="00EE6A26" w:rsidP="00A30F65">
            <w:pPr>
              <w:jc w:val="center"/>
              <w:rPr>
                <w:rFonts w:asciiTheme="majorHAnsi" w:hAnsiTheme="majorHAnsi" w:cstheme="majorHAnsi"/>
                <w:color w:val="000000"/>
                <w:sz w:val="20"/>
              </w:rPr>
            </w:pPr>
            <w:r w:rsidRPr="00EE6A26">
              <w:rPr>
                <w:rFonts w:asciiTheme="majorHAnsi" w:hAnsiTheme="majorHAnsi" w:cstheme="majorHAnsi"/>
                <w:color w:val="000000"/>
                <w:sz w:val="20"/>
              </w:rPr>
              <w:t>0,3</w:t>
            </w:r>
          </w:p>
        </w:tc>
      </w:tr>
    </w:tbl>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vertAlign w:val="superscript"/>
        </w:rPr>
        <w:t xml:space="preserve">1) </w:t>
      </w:r>
      <w:r w:rsidRPr="00EE6A26">
        <w:rPr>
          <w:rFonts w:asciiTheme="majorHAnsi" w:hAnsiTheme="majorHAnsi" w:cstheme="majorHAnsi"/>
          <w:sz w:val="20"/>
        </w:rPr>
        <w:t xml:space="preserve">NECHRÁNENÉ, </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V KÁBLOVOM KANÁLI ALEBO V CHRÁNIČKE, </w:t>
      </w:r>
      <w:r w:rsidRPr="00EE6A26">
        <w:rPr>
          <w:rFonts w:asciiTheme="majorHAnsi" w:hAnsiTheme="majorHAnsi" w:cstheme="majorHAnsi"/>
          <w:sz w:val="20"/>
          <w:vertAlign w:val="superscript"/>
        </w:rPr>
        <w:t>3)</w:t>
      </w:r>
      <w:r w:rsidRPr="00EE6A26">
        <w:rPr>
          <w:rFonts w:asciiTheme="majorHAnsi" w:hAnsiTheme="majorHAnsi" w:cstheme="majorHAnsi"/>
          <w:sz w:val="20"/>
        </w:rPr>
        <w:t xml:space="preserve"> PRI ULOŽENÍ V CHRÁNIČKE MOŽNO PRIMERANE ZNÍŽIŤ,</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vertAlign w:val="superscript"/>
        </w:rPr>
        <w:t>4)</w:t>
      </w:r>
      <w:r w:rsidRPr="00EE6A26">
        <w:rPr>
          <w:rFonts w:asciiTheme="majorHAnsi" w:hAnsiTheme="majorHAnsi" w:cstheme="majorHAnsi"/>
          <w:sz w:val="20"/>
        </w:rPr>
        <w:t xml:space="preserve"> 0,1m AK JE KÁBEL V CHRÁNIČKE PRESAHUJÚCEJ PLYNOVOD O 1m NA KAŽDÚ STRANU.</w:t>
      </w:r>
    </w:p>
    <w:p w:rsidR="00EE6A26" w:rsidRPr="00EE6A26" w:rsidRDefault="00EE6A26" w:rsidP="00165ED7">
      <w:pPr>
        <w:pStyle w:val="Nadpis1"/>
        <w:numPr>
          <w:ilvl w:val="0"/>
          <w:numId w:val="14"/>
        </w:numPr>
      </w:pPr>
      <w:r w:rsidRPr="00EE6A26">
        <w:t>POPIS RIEŠENIA – SILNOPRÚDOVÉ ROZVODY</w:t>
      </w:r>
    </w:p>
    <w:p w:rsidR="00EE6A26" w:rsidRPr="00EE6A26" w:rsidRDefault="00EE6A26" w:rsidP="00EE6A26">
      <w:pPr>
        <w:pStyle w:val="Odsekzoznamu"/>
        <w:keepNext/>
        <w:keepLines/>
        <w:widowControl w:val="0"/>
        <w:numPr>
          <w:ilvl w:val="0"/>
          <w:numId w:val="15"/>
        </w:numPr>
        <w:tabs>
          <w:tab w:val="left" w:pos="567"/>
        </w:tabs>
        <w:overflowPunct w:val="0"/>
        <w:autoSpaceDE w:val="0"/>
        <w:autoSpaceDN w:val="0"/>
        <w:adjustRightInd w:val="0"/>
        <w:spacing w:before="200" w:after="120" w:line="276" w:lineRule="auto"/>
        <w:contextualSpacing w:val="0"/>
        <w:jc w:val="both"/>
        <w:outlineLvl w:val="1"/>
        <w:rPr>
          <w:rFonts w:asciiTheme="majorHAnsi" w:eastAsiaTheme="majorEastAsia" w:hAnsiTheme="majorHAnsi" w:cstheme="majorHAnsi"/>
          <w:b/>
          <w:bCs/>
          <w:caps/>
          <w:vanish/>
          <w:color w:val="000000" w:themeColor="text1"/>
          <w:sz w:val="20"/>
          <w:szCs w:val="20"/>
          <w:lang w:eastAsia="en-US"/>
        </w:rPr>
      </w:pP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bookmarkStart w:id="92" w:name="_Hlk527983053"/>
      <w:r w:rsidRPr="00EE6A26">
        <w:rPr>
          <w:rFonts w:asciiTheme="majorHAnsi" w:hAnsiTheme="majorHAnsi" w:cstheme="majorHAnsi"/>
          <w:szCs w:val="20"/>
        </w:rPr>
        <w:t>ROZVÁDZAČ ,,RH“</w:t>
      </w:r>
    </w:p>
    <w:p w:rsidR="00EE6A26" w:rsidRPr="00EE6A26" w:rsidRDefault="00EE6A26" w:rsidP="00EE6A26">
      <w:pPr>
        <w:pStyle w:val="Nadpis2"/>
        <w:numPr>
          <w:ilvl w:val="0"/>
          <w:numId w:val="0"/>
        </w:numPr>
        <w:rPr>
          <w:rFonts w:asciiTheme="majorHAnsi" w:eastAsiaTheme="minorHAnsi" w:hAnsiTheme="majorHAnsi" w:cstheme="majorHAnsi"/>
          <w:b w:val="0"/>
          <w:bCs w:val="0"/>
          <w:caps/>
          <w:szCs w:val="20"/>
        </w:rPr>
      </w:pPr>
      <w:r w:rsidRPr="00EE6A26">
        <w:rPr>
          <w:rFonts w:asciiTheme="majorHAnsi" w:eastAsiaTheme="minorHAnsi" w:hAnsiTheme="majorHAnsi" w:cstheme="majorHAnsi"/>
          <w:b w:val="0"/>
          <w:bCs w:val="0"/>
          <w:szCs w:val="20"/>
        </w:rPr>
        <w:tab/>
        <w:t>Vstupný výkon z elektrickej prípojky do objektu bude rozdelený pomocou hlavného rozvádzača RH. Navrhované riešenie bude spĺňať požiadavky investora v zmysle určeného manuálu pre tuto stavbu, s rešpektovaním noriem STN a predpisov.</w:t>
      </w:r>
      <w:r w:rsidRPr="00EE6A26">
        <w:rPr>
          <w:rFonts w:asciiTheme="majorHAnsi" w:hAnsiTheme="majorHAnsi" w:cstheme="majorHAnsi"/>
          <w:szCs w:val="20"/>
        </w:rPr>
        <w:t xml:space="preserve"> </w:t>
      </w:r>
      <w:r w:rsidRPr="00EE6A26">
        <w:rPr>
          <w:rFonts w:asciiTheme="majorHAnsi" w:eastAsiaTheme="minorHAnsi" w:hAnsiTheme="majorHAnsi" w:cstheme="majorHAnsi"/>
          <w:b w:val="0"/>
          <w:bCs w:val="0"/>
          <w:szCs w:val="20"/>
        </w:rPr>
        <w:t>Rozvádzač bude skriňový prisadený ku stene vo vyhotovení min. IP40/20. Rozvádzač RH je typu LEGRAND s menovitým prúdom prípojníc In=125A. Rozvádzač má rozmery 800 x 2060 x 400 (Šírka x Výška x Hĺbka), OCELOPLECHOVÝ, NADOMIETKOVÝ, RAL 9016. Rozvádzač bude napojený z rozvádzača RFVE, ktorý je umiestnený v SO03 (rieši prípojka nn). Rozvádzač je napojený káblom CYKY-J 5x50mm</w:t>
      </w:r>
      <w:r w:rsidRPr="00EE6A26">
        <w:rPr>
          <w:rFonts w:asciiTheme="majorHAnsi" w:eastAsiaTheme="minorHAnsi" w:hAnsiTheme="majorHAnsi" w:cstheme="majorHAnsi"/>
          <w:b w:val="0"/>
          <w:bCs w:val="0"/>
          <w:szCs w:val="20"/>
          <w:vertAlign w:val="superscript"/>
        </w:rPr>
        <w:t>2</w:t>
      </w:r>
      <w:r w:rsidRPr="00EE6A26">
        <w:rPr>
          <w:rFonts w:asciiTheme="majorHAnsi" w:eastAsiaTheme="minorHAnsi" w:hAnsiTheme="majorHAnsi" w:cstheme="majorHAnsi"/>
          <w:b w:val="0"/>
          <w:bCs w:val="0"/>
          <w:szCs w:val="20"/>
        </w:rPr>
        <w:t xml:space="preserve">. Kábel bude istený </w:t>
      </w:r>
      <w:bookmarkEnd w:id="92"/>
      <w:r w:rsidRPr="00EE6A26">
        <w:rPr>
          <w:rFonts w:asciiTheme="majorHAnsi" w:eastAsiaTheme="minorHAnsi" w:hAnsiTheme="majorHAnsi" w:cstheme="majorHAnsi"/>
          <w:b w:val="0"/>
          <w:bCs w:val="0"/>
          <w:szCs w:val="20"/>
        </w:rPr>
        <w:t xml:space="preserve">ističom 3x32A. Presný zákres a návrh rozvádzača sú uvedené vo výkresovej časti. V rozvádzačoch  musí byť priestorová rezerva a výkonová rezerva 20-30%. Z rozvádzača budú napojené: osvetlenie, zásuvky pre servisné účely, zásuvkové obvody, podružné rozvádzače a ostatné silové vývody. Konkrétne trojpólové zapojovacie schémy jednotlivých rozvádzačov sú uvedené na výkresoch v ďalšom stupni PD. </w:t>
      </w:r>
    </w:p>
    <w:p w:rsidR="00EE6A26" w:rsidRPr="00EE6A26" w:rsidRDefault="00EE6A26" w:rsidP="00EE6A26">
      <w:pPr>
        <w:spacing w:before="120" w:after="120"/>
        <w:rPr>
          <w:rFonts w:asciiTheme="majorHAnsi" w:hAnsiTheme="majorHAnsi" w:cstheme="majorHAnsi"/>
          <w:b/>
          <w:bCs/>
          <w:sz w:val="20"/>
        </w:rPr>
      </w:pPr>
      <w:r w:rsidRPr="00EE6A26">
        <w:rPr>
          <w:rFonts w:asciiTheme="majorHAnsi" w:hAnsiTheme="majorHAnsi" w:cstheme="majorHAnsi"/>
          <w:b/>
          <w:bCs/>
          <w:sz w:val="20"/>
        </w:rPr>
        <w:t xml:space="preserve">3.3 UMELÉ OSVETLENIE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Osvetlenie jednotlivých častí objektu bude riešené v závislosti na účele danej miestnosti. Pre jednotlivé priestory bude v zmysle normy (STN EN 12464-1 Svetlo a osvetlenie miest. Časť 1: Vnútorné pracovné miesta) stanovená požadovaná intenzita osvetlenia ako aj ostatné svetelno-technické ukazovatele.  Intenzita osvetlenia v jednotlivých priestoroch sa uvažuje nasledovná :</w:t>
      </w:r>
    </w:p>
    <w:p w:rsidR="00EE6A26" w:rsidRPr="00EE6A26" w:rsidRDefault="00EE6A26" w:rsidP="00EE6A26">
      <w:pPr>
        <w:rPr>
          <w:rFonts w:asciiTheme="majorHAnsi" w:hAnsiTheme="majorHAnsi" w:cstheme="majorHAnsi"/>
          <w:b/>
          <w:sz w:val="20"/>
        </w:rPr>
      </w:pPr>
      <w:r w:rsidRPr="00EE6A26">
        <w:rPr>
          <w:rFonts w:asciiTheme="majorHAnsi" w:hAnsiTheme="majorHAnsi" w:cstheme="majorHAnsi"/>
          <w:b/>
          <w:sz w:val="20"/>
        </w:rPr>
        <w:t>Požiadavky podľa manuálu na intenzitu osvetlenia podľa STN 12464:</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Technická a technologická miestnosť</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300Lx</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vstup .haly, chodby, schody</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200Lx</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kancelárie</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500Lx</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toalety</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150Lx</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hlavný vstup</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100Lx</w:t>
      </w: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b/>
          <w:sz w:val="20"/>
        </w:rPr>
      </w:pPr>
      <w:r w:rsidRPr="00EE6A26">
        <w:rPr>
          <w:rFonts w:asciiTheme="majorHAnsi" w:hAnsiTheme="majorHAnsi" w:cstheme="majorHAnsi"/>
          <w:b/>
          <w:sz w:val="20"/>
        </w:rPr>
        <w:t>Svietidlá budú umiestnené nasledovne:</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v podhľade - miestnosti s podhľadom alebo SDK (sociálne priestory, chodby, atď.),</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zavesené na závesoch, stojanové resp. nástenné – vybrané priestory,</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prisadené na strope – sklady, chodby, technické a technologické miestnosti,</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architektonické - vybrané časti objektu (vstupy, lobby,...).</w:t>
      </w: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sz w:val="20"/>
        </w:rPr>
      </w:pPr>
      <w:r w:rsidRPr="00EE6A26">
        <w:rPr>
          <w:rFonts w:asciiTheme="majorHAnsi" w:hAnsiTheme="majorHAnsi" w:cstheme="majorHAnsi"/>
          <w:b/>
          <w:sz w:val="20"/>
        </w:rPr>
        <w:t>Riešenie vybraných priestorov</w:t>
      </w:r>
      <w:r w:rsidRPr="00EE6A26">
        <w:rPr>
          <w:rFonts w:asciiTheme="majorHAnsi" w:hAnsiTheme="majorHAnsi" w:cstheme="majorHAnsi"/>
          <w:sz w:val="20"/>
        </w:rPr>
        <w:t>:</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vstupná hala - priame LED osvetlenie, LED downlight svietidlá</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chodby - priame LED osvetlenie, LED downlight svietidlá</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sociálne zariadenia - priame LED osvetlenie, LED downlight svietidlá</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kancelárie -  priame LED osvetlenie – LED PANEL 600x600</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technické miestosti  – priame LED osvetlenie, priemyselné LED svietidlá IP65.</w:t>
      </w:r>
    </w:p>
    <w:p w:rsidR="00EE6A26" w:rsidRPr="00EE6A26" w:rsidRDefault="00EE6A26" w:rsidP="00EE6A26">
      <w:pPr>
        <w:ind w:left="360"/>
        <w:rPr>
          <w:rFonts w:asciiTheme="majorHAnsi" w:hAnsiTheme="majorHAnsi" w:cstheme="majorHAnsi"/>
          <w:sz w:val="20"/>
        </w:rPr>
      </w:pPr>
    </w:p>
    <w:p w:rsidR="00EE6A26" w:rsidRPr="00EE6A26" w:rsidRDefault="00EE6A26" w:rsidP="00EE6A26">
      <w:pPr>
        <w:spacing w:after="240"/>
        <w:rPr>
          <w:rFonts w:asciiTheme="majorHAnsi" w:hAnsiTheme="majorHAnsi" w:cstheme="majorHAnsi"/>
          <w:sz w:val="20"/>
        </w:rPr>
      </w:pPr>
      <w:r w:rsidRPr="00EE6A26">
        <w:rPr>
          <w:rFonts w:asciiTheme="majorHAnsi" w:hAnsiTheme="majorHAnsi" w:cstheme="majorHAnsi"/>
          <w:sz w:val="20"/>
        </w:rPr>
        <w:t xml:space="preserve">V priestoroch umyvární musia byť svietidlá v umývacom priestore umiestnené tak, aby ich spodný okraj bol aspoň </w:t>
      </w:r>
      <w:smartTag w:uri="urn:schemas-microsoft-com:office:smarttags" w:element="metricconverter">
        <w:smartTagPr>
          <w:attr w:name="ProductID" w:val="1,8 m"/>
        </w:smartTagPr>
        <w:r w:rsidRPr="00EE6A26">
          <w:rPr>
            <w:rFonts w:asciiTheme="majorHAnsi" w:hAnsiTheme="majorHAnsi" w:cstheme="majorHAnsi"/>
            <w:sz w:val="20"/>
          </w:rPr>
          <w:t>1,8 m</w:t>
        </w:r>
      </w:smartTag>
      <w:r w:rsidRPr="00EE6A26">
        <w:rPr>
          <w:rFonts w:asciiTheme="majorHAnsi" w:hAnsiTheme="majorHAnsi" w:cstheme="majorHAnsi"/>
          <w:sz w:val="20"/>
        </w:rPr>
        <w:t xml:space="preserve"> nad podlahou. Svetelný zdroj svietidiel sa musí zakryť ochranným sklom. Všetky vonkajšie časti svietidla, ktoré sú nižšie ako 2,5m nad podlahou, musia byť z trvanlivého. </w:t>
      </w:r>
    </w:p>
    <w:p w:rsidR="00EE6A26" w:rsidRPr="00EE6A26" w:rsidRDefault="00EE6A26" w:rsidP="00EE6A26">
      <w:pPr>
        <w:tabs>
          <w:tab w:val="num" w:pos="0"/>
        </w:tabs>
        <w:rPr>
          <w:rFonts w:asciiTheme="majorHAnsi" w:hAnsiTheme="majorHAnsi" w:cstheme="majorHAnsi"/>
          <w:b/>
          <w:bCs/>
          <w:sz w:val="20"/>
        </w:rPr>
      </w:pPr>
      <w:bookmarkStart w:id="93" w:name="_Toc296589803"/>
      <w:bookmarkStart w:id="94" w:name="_Toc434405255"/>
      <w:r w:rsidRPr="00EE6A26">
        <w:rPr>
          <w:rFonts w:asciiTheme="majorHAnsi" w:hAnsiTheme="majorHAnsi" w:cstheme="majorHAnsi"/>
          <w:b/>
          <w:bCs/>
          <w:sz w:val="20"/>
        </w:rPr>
        <w:t>Ovládanie osvetlenia</w:t>
      </w:r>
      <w:bookmarkEnd w:id="93"/>
      <w:bookmarkEnd w:id="94"/>
    </w:p>
    <w:p w:rsidR="00EE6A26" w:rsidRPr="00EE6A26" w:rsidRDefault="00EE6A26" w:rsidP="00EE6A26">
      <w:pPr>
        <w:rPr>
          <w:rFonts w:asciiTheme="majorHAnsi" w:hAnsiTheme="majorHAnsi" w:cstheme="majorHAnsi"/>
          <w:b/>
          <w:sz w:val="20"/>
        </w:rPr>
      </w:pPr>
      <w:r w:rsidRPr="00EE6A26">
        <w:rPr>
          <w:rFonts w:asciiTheme="majorHAnsi" w:hAnsiTheme="majorHAnsi" w:cstheme="majorHAnsi"/>
          <w:b/>
          <w:sz w:val="20"/>
        </w:rPr>
        <w:t>Ovládanie osvetlenia je riešené nasledovne:</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lastRenderedPageBreak/>
        <w:t>spoločné priestory - nadradene ovládanie MaR, podradené ovládanie miestnymi spínačmi alebo čidlami,</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 xml:space="preserve">sklady, technické miestnosti - miestnymi spínačmi pomocou imp.relé, </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 xml:space="preserve">vonkajšie osvetlenie a iluminácia fasády - ovládanie MaR </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izby - miestnymi spínačmi a spínačmi prítomnosťi rozmiestnených v jednotlivých sekciách</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Výška osadenia ovládacích spínačov osvetlenia je 1,2 m nad podlahou (ak nie je uvedené na výkrese inak).</w:t>
      </w:r>
    </w:p>
    <w:p w:rsidR="00EE6A26" w:rsidRPr="00EE6A26" w:rsidRDefault="00EE6A26" w:rsidP="00EE6A26">
      <w:pPr>
        <w:rPr>
          <w:rFonts w:asciiTheme="majorHAnsi" w:hAnsiTheme="majorHAnsi" w:cstheme="majorHAnsi"/>
          <w:sz w:val="20"/>
        </w:rPr>
      </w:pPr>
    </w:p>
    <w:p w:rsidR="00EE6A26" w:rsidRPr="00EE6A26" w:rsidRDefault="00EE6A26" w:rsidP="00EE6A26">
      <w:pPr>
        <w:tabs>
          <w:tab w:val="num" w:pos="0"/>
        </w:tabs>
        <w:rPr>
          <w:rFonts w:asciiTheme="majorHAnsi" w:hAnsiTheme="majorHAnsi" w:cstheme="majorHAnsi"/>
          <w:b/>
          <w:bCs/>
          <w:sz w:val="20"/>
        </w:rPr>
      </w:pPr>
      <w:bookmarkStart w:id="95" w:name="_Toc296589804"/>
      <w:bookmarkStart w:id="96" w:name="_Toc434405256"/>
      <w:r w:rsidRPr="00EE6A26">
        <w:rPr>
          <w:rFonts w:asciiTheme="majorHAnsi" w:hAnsiTheme="majorHAnsi" w:cstheme="majorHAnsi"/>
          <w:b/>
          <w:bCs/>
          <w:sz w:val="20"/>
        </w:rPr>
        <w:t>Núdzové osvetlenie</w:t>
      </w:r>
      <w:bookmarkEnd w:id="95"/>
      <w:bookmarkEnd w:id="96"/>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Pre zabezpečenie osvetlenia na únikových komunikáciách pri výpadku napájania objektu budú vybrané priestory vybavené núdzovými svietidlami s vlastným zdrojom 3h. Všetky rozvody núdzového osvetlenia musia byť realizované certifikovanými káblami (typ N2XH-) a nosnými systémami (žľaby, rošty, chráničky, spojovací a pripevňovací materiál,...), s požadovanou funkčnosťou počas požiaru - viď projekt požiarnej ochrany.</w:t>
      </w: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b/>
          <w:sz w:val="20"/>
        </w:rPr>
      </w:pPr>
      <w:r w:rsidRPr="00EE6A26">
        <w:rPr>
          <w:rFonts w:asciiTheme="majorHAnsi" w:hAnsiTheme="majorHAnsi" w:cstheme="majorHAnsi"/>
          <w:b/>
          <w:sz w:val="20"/>
        </w:rPr>
        <w:t>Systém núdzového osvetlenia bude zabezpečovať nasledujúce funkcie:</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osvetlenie únikových ciest, antipanikové osvetlenie a osvetlenie priestoru s vysokými rizikami,</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vyznačenie smerov úniku presvetlenými piktogramami s pozorovacou vzdialenosťou 20 m,</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sledovanie lokálnych výpadkov napájania v obvodoch hlavného osvetlenia v zmysle STN EN 50172,</w:t>
      </w:r>
    </w:p>
    <w:p w:rsidR="00EE6A26" w:rsidRPr="00EE6A26" w:rsidRDefault="00EE6A26" w:rsidP="00EE6A26">
      <w:pPr>
        <w:widowControl w:val="0"/>
        <w:numPr>
          <w:ilvl w:val="0"/>
          <w:numId w:val="21"/>
        </w:numPr>
        <w:tabs>
          <w:tab w:val="clear" w:pos="1080"/>
          <w:tab w:val="num" w:pos="360"/>
          <w:tab w:val="left" w:pos="567"/>
        </w:tabs>
        <w:overflowPunct w:val="0"/>
        <w:autoSpaceDE w:val="0"/>
        <w:autoSpaceDN w:val="0"/>
        <w:adjustRightInd w:val="0"/>
        <w:ind w:left="360"/>
        <w:jc w:val="both"/>
        <w:rPr>
          <w:rFonts w:asciiTheme="majorHAnsi" w:hAnsiTheme="majorHAnsi" w:cstheme="majorHAnsi"/>
          <w:sz w:val="20"/>
        </w:rPr>
      </w:pPr>
      <w:r w:rsidRPr="00EE6A26">
        <w:rPr>
          <w:rFonts w:asciiTheme="majorHAnsi" w:hAnsiTheme="majorHAnsi" w:cstheme="majorHAnsi"/>
          <w:sz w:val="20"/>
        </w:rPr>
        <w:t>svietidlá hlavného osvetlenia, ktoré sú použité pre núdzové únikové osvetlenie, musia spĺňať požiadavky  STN EN 60598-2-</w:t>
      </w:r>
      <w:smartTag w:uri="urn:schemas-microsoft-com:office:smarttags" w:element="metricconverter">
        <w:smartTagPr>
          <w:attr w:name="ProductID" w:val="22, a"/>
        </w:smartTagPr>
        <w:r w:rsidRPr="00EE6A26">
          <w:rPr>
            <w:rFonts w:asciiTheme="majorHAnsi" w:hAnsiTheme="majorHAnsi" w:cstheme="majorHAnsi"/>
            <w:sz w:val="20"/>
          </w:rPr>
          <w:t>22, a</w:t>
        </w:r>
      </w:smartTag>
      <w:r w:rsidRPr="00EE6A26">
        <w:rPr>
          <w:rFonts w:asciiTheme="majorHAnsi" w:hAnsiTheme="majorHAnsi" w:cstheme="majorHAnsi"/>
          <w:sz w:val="20"/>
        </w:rPr>
        <w:t xml:space="preserve"> to najmä vo vyhotovení predradníkov, zaručení teplotnej odolnosti krytov </w:t>
      </w:r>
      <w:smartTag w:uri="urn:schemas-microsoft-com:office:smarttags" w:element="metricconverter">
        <w:smartTagPr>
          <w:attr w:name="ProductID" w:val="850ﾰC"/>
        </w:smartTagPr>
        <w:r w:rsidRPr="00EE6A26">
          <w:rPr>
            <w:rFonts w:asciiTheme="majorHAnsi" w:hAnsiTheme="majorHAnsi" w:cstheme="majorHAnsi"/>
            <w:sz w:val="20"/>
          </w:rPr>
          <w:t>850°C</w:t>
        </w:r>
      </w:smartTag>
      <w:r w:rsidRPr="00EE6A26">
        <w:rPr>
          <w:rFonts w:asciiTheme="majorHAnsi" w:hAnsiTheme="majorHAnsi" w:cstheme="majorHAnsi"/>
          <w:sz w:val="20"/>
        </w:rPr>
        <w:t xml:space="preserve"> a ďalšie.</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Svietidlá budú navrhnuté tak, aby vyhovovali charakteru prevádzky. Káblové rozvody budú káblami N2XH-J 3x1,5mm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pre osvetlenie a N2XH-J 3x2,5mm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pre zásuvky. Protipožiarne upchávky budú súčasťou prác elektro. Prestupy káblových vedení požiarne deliacimi konštrukciami v hlavných  a združených trasách budú pevnými upchávkami. Maximálna požiarna odolnosť u prestupov káblových zväzkov musí byť najmenej podľa požiarnej odolnosti stavebné konštrukcie, najviac však 60 minút. Hmoty smú mať horľavosť najviac  C1.</w:t>
      </w:r>
    </w:p>
    <w:p w:rsidR="00EE6A26" w:rsidRPr="00EE6A26" w:rsidRDefault="00EE6A26" w:rsidP="00EE6A26">
      <w:pPr>
        <w:rPr>
          <w:rFonts w:asciiTheme="majorHAnsi" w:hAnsiTheme="majorHAnsi" w:cstheme="majorHAnsi"/>
          <w:b/>
          <w:sz w:val="20"/>
        </w:rPr>
      </w:pPr>
      <w:r w:rsidRPr="00EE6A26">
        <w:rPr>
          <w:rFonts w:asciiTheme="majorHAnsi" w:hAnsiTheme="majorHAnsi" w:cstheme="majorHAnsi"/>
          <w:b/>
          <w:sz w:val="20"/>
        </w:rPr>
        <w:t>Núdzové únikové osvetlenie v objekte je zriadené v kategóriách:</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Núdzové osvetlenie únikových ciest s intenzitou min. 1 lx na zemi, a to v osi únikovej cesty. Rovnomernosť 1:40.</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Osvetlenie priestorov s vysokým rizikom na hodnotu 10 % Em, minimálne však 15 lx, a to vo vybraných priestoroch technológie, alebo inak rizikových priestoroch. 100 % osvetlenia bude k dispozícii s prepnutím 0,5 s a bude zamedzený stroboskopický efekt. Rovnomernosť 1:40.</w:t>
      </w:r>
    </w:p>
    <w:tbl>
      <w:tblPr>
        <w:tblpPr w:leftFromText="180" w:rightFromText="180" w:vertAnchor="text" w:horzAnchor="page" w:tblpX="2545" w:tblpY="197"/>
        <w:tblW w:w="7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06"/>
        <w:gridCol w:w="1751"/>
        <w:gridCol w:w="1752"/>
        <w:gridCol w:w="957"/>
      </w:tblGrid>
      <w:tr w:rsidR="00EE6A26" w:rsidRPr="00EE6A26" w:rsidTr="00A30F65">
        <w:trPr>
          <w:trHeight w:val="248"/>
        </w:trPr>
        <w:tc>
          <w:tcPr>
            <w:tcW w:w="2606" w:type="dxa"/>
          </w:tcPr>
          <w:p w:rsidR="00EE6A26" w:rsidRPr="00EE6A26" w:rsidRDefault="00EE6A26" w:rsidP="00A30F65">
            <w:pPr>
              <w:rPr>
                <w:rFonts w:asciiTheme="majorHAnsi" w:hAnsiTheme="majorHAnsi" w:cstheme="majorHAnsi"/>
                <w:sz w:val="20"/>
                <w:lang w:eastAsia="cs-CZ"/>
              </w:rPr>
            </w:pPr>
            <w:r w:rsidRPr="00EE6A26">
              <w:rPr>
                <w:rFonts w:asciiTheme="majorHAnsi" w:hAnsiTheme="majorHAnsi" w:cstheme="majorHAnsi"/>
                <w:sz w:val="20"/>
                <w:lang w:eastAsia="cs-CZ"/>
              </w:rPr>
              <w:t>Osvetľovaný priestor</w:t>
            </w:r>
          </w:p>
        </w:tc>
        <w:tc>
          <w:tcPr>
            <w:tcW w:w="1751" w:type="dxa"/>
          </w:tcPr>
          <w:p w:rsidR="00EE6A26" w:rsidRPr="00EE6A26" w:rsidRDefault="00EE6A26" w:rsidP="00A30F65">
            <w:pPr>
              <w:rPr>
                <w:rFonts w:asciiTheme="majorHAnsi" w:hAnsiTheme="majorHAnsi" w:cstheme="majorHAnsi"/>
                <w:sz w:val="20"/>
                <w:lang w:eastAsia="cs-CZ"/>
              </w:rPr>
            </w:pPr>
            <w:r w:rsidRPr="00EE6A26">
              <w:rPr>
                <w:rFonts w:asciiTheme="majorHAnsi" w:hAnsiTheme="majorHAnsi" w:cstheme="majorHAnsi"/>
                <w:sz w:val="20"/>
                <w:lang w:eastAsia="cs-CZ"/>
              </w:rPr>
              <w:t>Intenzita osvetlenia Em (lx)</w:t>
            </w:r>
          </w:p>
        </w:tc>
        <w:tc>
          <w:tcPr>
            <w:tcW w:w="1752" w:type="dxa"/>
          </w:tcPr>
          <w:p w:rsidR="00EE6A26" w:rsidRPr="00EE6A26" w:rsidRDefault="00EE6A26" w:rsidP="00A30F65">
            <w:pPr>
              <w:rPr>
                <w:rFonts w:asciiTheme="majorHAnsi" w:hAnsiTheme="majorHAnsi" w:cstheme="majorHAnsi"/>
                <w:sz w:val="20"/>
                <w:lang w:eastAsia="cs-CZ"/>
              </w:rPr>
            </w:pPr>
            <w:r w:rsidRPr="00EE6A26">
              <w:rPr>
                <w:rFonts w:asciiTheme="majorHAnsi" w:hAnsiTheme="majorHAnsi" w:cstheme="majorHAnsi"/>
                <w:sz w:val="20"/>
                <w:lang w:eastAsia="cs-CZ"/>
              </w:rPr>
              <w:t>Index farebného podania Ra</w:t>
            </w:r>
          </w:p>
        </w:tc>
        <w:tc>
          <w:tcPr>
            <w:tcW w:w="957" w:type="dxa"/>
          </w:tcPr>
          <w:p w:rsidR="00EE6A26" w:rsidRPr="00EE6A26" w:rsidRDefault="00EE6A26" w:rsidP="00A30F65">
            <w:pPr>
              <w:rPr>
                <w:rFonts w:asciiTheme="majorHAnsi" w:hAnsiTheme="majorHAnsi" w:cstheme="majorHAnsi"/>
                <w:sz w:val="20"/>
                <w:lang w:eastAsia="cs-CZ"/>
              </w:rPr>
            </w:pPr>
            <w:r w:rsidRPr="00EE6A26">
              <w:rPr>
                <w:rFonts w:asciiTheme="majorHAnsi" w:hAnsiTheme="majorHAnsi" w:cstheme="majorHAnsi"/>
                <w:sz w:val="20"/>
                <w:lang w:eastAsia="cs-CZ"/>
              </w:rPr>
              <w:t>UGR</w:t>
            </w:r>
          </w:p>
        </w:tc>
      </w:tr>
      <w:tr w:rsidR="00EE6A26" w:rsidRPr="00EE6A26" w:rsidTr="00A30F65">
        <w:trPr>
          <w:trHeight w:val="166"/>
        </w:trPr>
        <w:tc>
          <w:tcPr>
            <w:tcW w:w="2606" w:type="dxa"/>
            <w:vAlign w:val="center"/>
          </w:tcPr>
          <w:p w:rsidR="00EE6A26" w:rsidRPr="00EE6A26" w:rsidRDefault="00EE6A26" w:rsidP="00A30F65">
            <w:pPr>
              <w:rPr>
                <w:rFonts w:asciiTheme="majorHAnsi" w:hAnsiTheme="majorHAnsi" w:cstheme="majorHAnsi"/>
                <w:sz w:val="20"/>
                <w:lang w:eastAsia="cs-CZ"/>
              </w:rPr>
            </w:pPr>
            <w:r w:rsidRPr="00EE6A26">
              <w:rPr>
                <w:rFonts w:asciiTheme="majorHAnsi" w:hAnsiTheme="majorHAnsi" w:cstheme="majorHAnsi"/>
                <w:sz w:val="20"/>
                <w:lang w:eastAsia="cs-CZ"/>
              </w:rPr>
              <w:t>Núdzové osvetlenie únikových ciest</w:t>
            </w:r>
          </w:p>
        </w:tc>
        <w:tc>
          <w:tcPr>
            <w:tcW w:w="1751" w:type="dxa"/>
            <w:vAlign w:val="center"/>
          </w:tcPr>
          <w:p w:rsidR="00EE6A26" w:rsidRPr="00EE6A26" w:rsidRDefault="00EE6A26" w:rsidP="00A30F65">
            <w:pPr>
              <w:jc w:val="center"/>
              <w:rPr>
                <w:rFonts w:asciiTheme="majorHAnsi" w:hAnsiTheme="majorHAnsi" w:cstheme="majorHAnsi"/>
                <w:sz w:val="20"/>
                <w:lang w:eastAsia="cs-CZ"/>
              </w:rPr>
            </w:pPr>
            <w:r w:rsidRPr="00EE6A26">
              <w:rPr>
                <w:rFonts w:asciiTheme="majorHAnsi" w:hAnsiTheme="majorHAnsi" w:cstheme="majorHAnsi"/>
                <w:sz w:val="20"/>
                <w:lang w:eastAsia="cs-CZ"/>
              </w:rPr>
              <w:t>1</w:t>
            </w:r>
          </w:p>
        </w:tc>
        <w:tc>
          <w:tcPr>
            <w:tcW w:w="1752" w:type="dxa"/>
            <w:vAlign w:val="center"/>
          </w:tcPr>
          <w:p w:rsidR="00EE6A26" w:rsidRPr="00EE6A26" w:rsidRDefault="00EE6A26" w:rsidP="00A30F65">
            <w:pPr>
              <w:jc w:val="center"/>
              <w:rPr>
                <w:rFonts w:asciiTheme="majorHAnsi" w:hAnsiTheme="majorHAnsi" w:cstheme="majorHAnsi"/>
                <w:sz w:val="20"/>
                <w:lang w:eastAsia="cs-CZ"/>
              </w:rPr>
            </w:pPr>
            <w:r w:rsidRPr="00EE6A26">
              <w:rPr>
                <w:rFonts w:asciiTheme="majorHAnsi" w:hAnsiTheme="majorHAnsi" w:cstheme="majorHAnsi"/>
                <w:sz w:val="20"/>
                <w:lang w:eastAsia="cs-CZ"/>
              </w:rPr>
              <w:t>40</w:t>
            </w:r>
          </w:p>
        </w:tc>
        <w:tc>
          <w:tcPr>
            <w:tcW w:w="957" w:type="dxa"/>
            <w:vAlign w:val="center"/>
          </w:tcPr>
          <w:p w:rsidR="00EE6A26" w:rsidRPr="00EE6A26" w:rsidRDefault="00EE6A26" w:rsidP="00A30F65">
            <w:pPr>
              <w:jc w:val="center"/>
              <w:rPr>
                <w:rFonts w:asciiTheme="majorHAnsi" w:hAnsiTheme="majorHAnsi" w:cstheme="majorHAnsi"/>
                <w:sz w:val="20"/>
                <w:lang w:eastAsia="cs-CZ"/>
              </w:rPr>
            </w:pPr>
          </w:p>
        </w:tc>
      </w:tr>
      <w:tr w:rsidR="00EE6A26" w:rsidRPr="00EE6A26" w:rsidTr="00A30F65">
        <w:trPr>
          <w:trHeight w:val="80"/>
        </w:trPr>
        <w:tc>
          <w:tcPr>
            <w:tcW w:w="2606" w:type="dxa"/>
            <w:vAlign w:val="center"/>
          </w:tcPr>
          <w:p w:rsidR="00EE6A26" w:rsidRPr="00EE6A26" w:rsidRDefault="00EE6A26" w:rsidP="00A30F65">
            <w:pPr>
              <w:rPr>
                <w:rFonts w:asciiTheme="majorHAnsi" w:hAnsiTheme="majorHAnsi" w:cstheme="majorHAnsi"/>
                <w:sz w:val="20"/>
                <w:lang w:eastAsia="cs-CZ"/>
              </w:rPr>
            </w:pPr>
            <w:r w:rsidRPr="00EE6A26">
              <w:rPr>
                <w:rFonts w:asciiTheme="majorHAnsi" w:hAnsiTheme="majorHAnsi" w:cstheme="majorHAnsi"/>
                <w:sz w:val="20"/>
                <w:lang w:eastAsia="cs-CZ"/>
              </w:rPr>
              <w:t>Antipanické osvetlenie</w:t>
            </w:r>
          </w:p>
        </w:tc>
        <w:tc>
          <w:tcPr>
            <w:tcW w:w="1751" w:type="dxa"/>
            <w:vAlign w:val="center"/>
          </w:tcPr>
          <w:p w:rsidR="00EE6A26" w:rsidRPr="00EE6A26" w:rsidRDefault="00EE6A26" w:rsidP="00A30F65">
            <w:pPr>
              <w:jc w:val="center"/>
              <w:rPr>
                <w:rFonts w:asciiTheme="majorHAnsi" w:hAnsiTheme="majorHAnsi" w:cstheme="majorHAnsi"/>
                <w:sz w:val="20"/>
                <w:lang w:eastAsia="cs-CZ"/>
              </w:rPr>
            </w:pPr>
            <w:r w:rsidRPr="00EE6A26">
              <w:rPr>
                <w:rFonts w:asciiTheme="majorHAnsi" w:hAnsiTheme="majorHAnsi" w:cstheme="majorHAnsi"/>
                <w:sz w:val="20"/>
                <w:lang w:eastAsia="cs-CZ"/>
              </w:rPr>
              <w:t>0,5</w:t>
            </w:r>
          </w:p>
        </w:tc>
        <w:tc>
          <w:tcPr>
            <w:tcW w:w="1752" w:type="dxa"/>
            <w:vAlign w:val="center"/>
          </w:tcPr>
          <w:p w:rsidR="00EE6A26" w:rsidRPr="00EE6A26" w:rsidRDefault="00EE6A26" w:rsidP="00A30F65">
            <w:pPr>
              <w:jc w:val="center"/>
              <w:rPr>
                <w:rFonts w:asciiTheme="majorHAnsi" w:hAnsiTheme="majorHAnsi" w:cstheme="majorHAnsi"/>
                <w:sz w:val="20"/>
                <w:lang w:eastAsia="cs-CZ"/>
              </w:rPr>
            </w:pPr>
            <w:r w:rsidRPr="00EE6A26">
              <w:rPr>
                <w:rFonts w:asciiTheme="majorHAnsi" w:hAnsiTheme="majorHAnsi" w:cstheme="majorHAnsi"/>
                <w:sz w:val="20"/>
                <w:lang w:eastAsia="cs-CZ"/>
              </w:rPr>
              <w:t>40</w:t>
            </w:r>
          </w:p>
        </w:tc>
        <w:tc>
          <w:tcPr>
            <w:tcW w:w="957" w:type="dxa"/>
            <w:vAlign w:val="center"/>
          </w:tcPr>
          <w:p w:rsidR="00EE6A26" w:rsidRPr="00EE6A26" w:rsidRDefault="00EE6A26" w:rsidP="00A30F65">
            <w:pPr>
              <w:jc w:val="center"/>
              <w:rPr>
                <w:rFonts w:asciiTheme="majorHAnsi" w:hAnsiTheme="majorHAnsi" w:cstheme="majorHAnsi"/>
                <w:sz w:val="20"/>
                <w:lang w:eastAsia="cs-CZ"/>
              </w:rPr>
            </w:pPr>
            <w:r w:rsidRPr="00EE6A26">
              <w:rPr>
                <w:rFonts w:asciiTheme="majorHAnsi" w:hAnsiTheme="majorHAnsi" w:cstheme="majorHAnsi"/>
                <w:sz w:val="20"/>
                <w:lang w:eastAsia="cs-CZ"/>
              </w:rPr>
              <w:t>-</w:t>
            </w:r>
          </w:p>
        </w:tc>
      </w:tr>
      <w:tr w:rsidR="00EE6A26" w:rsidRPr="00EE6A26" w:rsidTr="00A30F65">
        <w:trPr>
          <w:trHeight w:val="250"/>
        </w:trPr>
        <w:tc>
          <w:tcPr>
            <w:tcW w:w="2606" w:type="dxa"/>
            <w:vAlign w:val="center"/>
          </w:tcPr>
          <w:p w:rsidR="00EE6A26" w:rsidRPr="00EE6A26" w:rsidRDefault="00EE6A26" w:rsidP="00A30F65">
            <w:pPr>
              <w:rPr>
                <w:rFonts w:asciiTheme="majorHAnsi" w:hAnsiTheme="majorHAnsi" w:cstheme="majorHAnsi"/>
                <w:sz w:val="20"/>
                <w:lang w:eastAsia="cs-CZ"/>
              </w:rPr>
            </w:pPr>
            <w:r w:rsidRPr="00EE6A26">
              <w:rPr>
                <w:rFonts w:asciiTheme="majorHAnsi" w:hAnsiTheme="majorHAnsi" w:cstheme="majorHAnsi"/>
                <w:sz w:val="20"/>
                <w:lang w:eastAsia="cs-CZ"/>
              </w:rPr>
              <w:t>Núdzové osvetlenie priestorov s vysokým rizikom</w:t>
            </w:r>
          </w:p>
        </w:tc>
        <w:tc>
          <w:tcPr>
            <w:tcW w:w="1751" w:type="dxa"/>
            <w:vAlign w:val="center"/>
          </w:tcPr>
          <w:p w:rsidR="00EE6A26" w:rsidRPr="00EE6A26" w:rsidRDefault="00EE6A26" w:rsidP="00A30F65">
            <w:pPr>
              <w:jc w:val="center"/>
              <w:rPr>
                <w:rFonts w:asciiTheme="majorHAnsi" w:hAnsiTheme="majorHAnsi" w:cstheme="majorHAnsi"/>
                <w:sz w:val="20"/>
                <w:lang w:eastAsia="cs-CZ"/>
              </w:rPr>
            </w:pPr>
            <w:r w:rsidRPr="00EE6A26">
              <w:rPr>
                <w:rFonts w:asciiTheme="majorHAnsi" w:hAnsiTheme="majorHAnsi" w:cstheme="majorHAnsi"/>
                <w:sz w:val="20"/>
                <w:lang w:eastAsia="cs-CZ"/>
              </w:rPr>
              <w:t>10 % E</w:t>
            </w:r>
            <w:r w:rsidRPr="00EE6A26">
              <w:rPr>
                <w:rFonts w:asciiTheme="majorHAnsi" w:hAnsiTheme="majorHAnsi" w:cstheme="majorHAnsi"/>
                <w:sz w:val="20"/>
                <w:vertAlign w:val="subscript"/>
                <w:lang w:eastAsia="cs-CZ"/>
              </w:rPr>
              <w:t>m</w:t>
            </w:r>
            <w:r w:rsidRPr="00EE6A26">
              <w:rPr>
                <w:rFonts w:asciiTheme="majorHAnsi" w:hAnsiTheme="majorHAnsi" w:cstheme="majorHAnsi"/>
                <w:sz w:val="20"/>
                <w:lang w:eastAsia="cs-CZ"/>
              </w:rPr>
              <w:t>,</w:t>
            </w:r>
          </w:p>
          <w:p w:rsidR="00EE6A26" w:rsidRPr="00EE6A26" w:rsidRDefault="00EE6A26" w:rsidP="00A30F65">
            <w:pPr>
              <w:jc w:val="center"/>
              <w:rPr>
                <w:rFonts w:asciiTheme="majorHAnsi" w:hAnsiTheme="majorHAnsi" w:cstheme="majorHAnsi"/>
                <w:sz w:val="20"/>
                <w:lang w:eastAsia="cs-CZ"/>
              </w:rPr>
            </w:pPr>
            <w:r w:rsidRPr="00EE6A26">
              <w:rPr>
                <w:rFonts w:asciiTheme="majorHAnsi" w:hAnsiTheme="majorHAnsi" w:cstheme="majorHAnsi"/>
                <w:sz w:val="20"/>
                <w:lang w:eastAsia="cs-CZ"/>
              </w:rPr>
              <w:t>min. 15 lx</w:t>
            </w:r>
          </w:p>
        </w:tc>
        <w:tc>
          <w:tcPr>
            <w:tcW w:w="1752" w:type="dxa"/>
            <w:vAlign w:val="center"/>
          </w:tcPr>
          <w:p w:rsidR="00EE6A26" w:rsidRPr="00EE6A26" w:rsidRDefault="00EE6A26" w:rsidP="00A30F65">
            <w:pPr>
              <w:jc w:val="center"/>
              <w:rPr>
                <w:rFonts w:asciiTheme="majorHAnsi" w:hAnsiTheme="majorHAnsi" w:cstheme="majorHAnsi"/>
                <w:sz w:val="20"/>
                <w:lang w:eastAsia="cs-CZ"/>
              </w:rPr>
            </w:pPr>
            <w:r w:rsidRPr="00EE6A26">
              <w:rPr>
                <w:rFonts w:asciiTheme="majorHAnsi" w:hAnsiTheme="majorHAnsi" w:cstheme="majorHAnsi"/>
                <w:sz w:val="20"/>
                <w:lang w:eastAsia="cs-CZ"/>
              </w:rPr>
              <w:t>40</w:t>
            </w:r>
          </w:p>
        </w:tc>
        <w:tc>
          <w:tcPr>
            <w:tcW w:w="957" w:type="dxa"/>
            <w:vAlign w:val="center"/>
          </w:tcPr>
          <w:p w:rsidR="00EE6A26" w:rsidRPr="00EE6A26" w:rsidRDefault="00EE6A26" w:rsidP="00A30F65">
            <w:pPr>
              <w:jc w:val="center"/>
              <w:rPr>
                <w:rFonts w:asciiTheme="majorHAnsi" w:hAnsiTheme="majorHAnsi" w:cstheme="majorHAnsi"/>
                <w:sz w:val="20"/>
                <w:lang w:eastAsia="cs-CZ"/>
              </w:rPr>
            </w:pPr>
            <w:r w:rsidRPr="00EE6A26">
              <w:rPr>
                <w:rFonts w:asciiTheme="majorHAnsi" w:hAnsiTheme="majorHAnsi" w:cstheme="majorHAnsi"/>
                <w:sz w:val="20"/>
                <w:lang w:eastAsia="cs-CZ"/>
              </w:rPr>
              <w:t>-</w:t>
            </w:r>
          </w:p>
        </w:tc>
      </w:tr>
    </w:tbl>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Tabuľka intenzity núdzového osvetlenia na hodnotu 5 lx budú osvetlené hydranty, hasiace prístroje a lekárničky prvej pomoci. Miesta prvej pomoci budú definované ako priestory s vysokým rizikom.</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ZÁSUVKOVÉ OBVODY</w:t>
      </w:r>
    </w:p>
    <w:p w:rsidR="00EE6A26" w:rsidRPr="00EE6A26" w:rsidRDefault="00EE6A26" w:rsidP="00EE6A26">
      <w:pPr>
        <w:pStyle w:val="Nadpis2"/>
        <w:numPr>
          <w:ilvl w:val="0"/>
          <w:numId w:val="0"/>
        </w:numPr>
        <w:rPr>
          <w:rFonts w:asciiTheme="majorHAnsi" w:hAnsiTheme="majorHAnsi" w:cstheme="majorHAnsi"/>
          <w:szCs w:val="20"/>
        </w:rPr>
      </w:pPr>
      <w:r w:rsidRPr="00EE6A26">
        <w:rPr>
          <w:rFonts w:asciiTheme="majorHAnsi" w:eastAsiaTheme="minorHAnsi" w:hAnsiTheme="majorHAnsi" w:cstheme="majorHAnsi"/>
          <w:b w:val="0"/>
          <w:bCs w:val="0"/>
          <w:szCs w:val="20"/>
        </w:rPr>
        <w:tab/>
        <w:t>Zásuvky sú navrhnuté podľa platných STN noriem a požiadaviek na inštaláciu. Zásuvkové obvody budú napájané cez prúdové chrániče 30mA. Zásuvky budú typ Legrand Valena Life, vybrané zásuvky budú farebne rozlíšené podľa významu, ostatné biele. Pri rozmiestnení zásuviek, vrátane výšky osadenia, musia byť dodržané požiadavky noriem (umývací priestor, zóny). Zásuvky v špecifických priestoroch, budú od podlahy osadené vo výške určenej na výkrese. Pre napojenie iných spotrebičov budú vyvedené el. vývody s dimenziou podľa STN 33 2000-5-523:2012. Pri vedení slaboprúdových telekomunikačných rozvodov a silnoprúdových rozvodov zabezpečiť dostatočnú vzdialenosť križovania vedení podľa  STN 33 2000-5-52:2001 a to 30 mm do 5m a 100m nad 5m a 100mm pri križovaní ! Všetky zásuvkové   obvody sú pred nebezpečným dotykovým napätím chránené prúdovým chráničom s vybavovacím prúdom nepresahujúcim 30mA. Inštalácia pre zásuvky 230V/16A je navrhnutá káblami N2XH-J 3x2,5mm</w:t>
      </w:r>
      <w:r w:rsidRPr="00EE6A26">
        <w:rPr>
          <w:rFonts w:asciiTheme="majorHAnsi" w:eastAsiaTheme="minorHAnsi" w:hAnsiTheme="majorHAnsi" w:cstheme="majorHAnsi"/>
          <w:b w:val="0"/>
          <w:bCs w:val="0"/>
          <w:szCs w:val="20"/>
          <w:vertAlign w:val="superscript"/>
        </w:rPr>
        <w:t>2</w:t>
      </w:r>
      <w:r w:rsidRPr="00EE6A26">
        <w:rPr>
          <w:rFonts w:asciiTheme="majorHAnsi" w:eastAsiaTheme="minorHAnsi" w:hAnsiTheme="majorHAnsi" w:cstheme="majorHAnsi"/>
          <w:b w:val="0"/>
          <w:bCs w:val="0"/>
          <w:szCs w:val="20"/>
        </w:rPr>
        <w:t>. Inštalácia pre zásuvky 400V/16A je navrhnutá káblami N2XH-J 5x2,5mm</w:t>
      </w:r>
      <w:r w:rsidRPr="00EE6A26">
        <w:rPr>
          <w:rFonts w:asciiTheme="majorHAnsi" w:eastAsiaTheme="minorHAnsi" w:hAnsiTheme="majorHAnsi" w:cstheme="majorHAnsi"/>
          <w:b w:val="0"/>
          <w:bCs w:val="0"/>
          <w:szCs w:val="20"/>
          <w:vertAlign w:val="superscript"/>
        </w:rPr>
        <w:t>2</w:t>
      </w:r>
      <w:r w:rsidRPr="00EE6A26">
        <w:rPr>
          <w:rFonts w:asciiTheme="majorHAnsi" w:eastAsiaTheme="minorHAnsi" w:hAnsiTheme="majorHAnsi" w:cstheme="majorHAnsi"/>
          <w:b w:val="0"/>
          <w:bCs w:val="0"/>
          <w:szCs w:val="20"/>
        </w:rPr>
        <w:t>. Inštalácia pre zásuvky 400V/32A je navrhnutá káblami N2XH-J 5x4mm</w:t>
      </w:r>
      <w:r w:rsidRPr="00EE6A26">
        <w:rPr>
          <w:rFonts w:asciiTheme="majorHAnsi" w:eastAsiaTheme="minorHAnsi" w:hAnsiTheme="majorHAnsi" w:cstheme="majorHAnsi"/>
          <w:b w:val="0"/>
          <w:bCs w:val="0"/>
          <w:szCs w:val="20"/>
          <w:vertAlign w:val="superscript"/>
        </w:rPr>
        <w:t>2</w:t>
      </w:r>
      <w:r w:rsidRPr="00EE6A26">
        <w:rPr>
          <w:rFonts w:asciiTheme="majorHAnsi" w:eastAsiaTheme="minorHAnsi" w:hAnsiTheme="majorHAnsi" w:cstheme="majorHAnsi"/>
          <w:b w:val="0"/>
          <w:bCs w:val="0"/>
          <w:szCs w:val="20"/>
        </w:rPr>
        <w:t xml:space="preserve">. Výšky osadenia jednotlivých </w:t>
      </w:r>
      <w:r w:rsidRPr="00EE6A26">
        <w:rPr>
          <w:rFonts w:asciiTheme="majorHAnsi" w:eastAsiaTheme="minorHAnsi" w:hAnsiTheme="majorHAnsi" w:cstheme="majorHAnsi"/>
          <w:b w:val="0"/>
          <w:bCs w:val="0"/>
          <w:szCs w:val="20"/>
        </w:rPr>
        <w:lastRenderedPageBreak/>
        <w:t>zásuviek sú uvedené vo výkresovej časti. Inštalácia pre technologické zásuvky 24V/AC je navrhnutá káblami N2XH-J 3x2,5mm</w:t>
      </w:r>
      <w:r w:rsidRPr="00EE6A26">
        <w:rPr>
          <w:rFonts w:asciiTheme="majorHAnsi" w:eastAsiaTheme="minorHAnsi" w:hAnsiTheme="majorHAnsi" w:cstheme="majorHAnsi"/>
          <w:b w:val="0"/>
          <w:bCs w:val="0"/>
          <w:szCs w:val="20"/>
          <w:vertAlign w:val="superscript"/>
        </w:rPr>
        <w:t>2</w:t>
      </w:r>
      <w:r w:rsidRPr="00EE6A26">
        <w:rPr>
          <w:rFonts w:asciiTheme="majorHAnsi" w:eastAsiaTheme="minorHAnsi" w:hAnsiTheme="majorHAnsi" w:cstheme="majorHAnsi"/>
          <w:b w:val="0"/>
          <w:bCs w:val="0"/>
          <w:szCs w:val="20"/>
        </w:rPr>
        <w:t>. Výšky osadenia jednotlivých zásuviek sú uvedené vo výkresovej časti.</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požiadavky profesie VZT</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V projekte sa uvažuje s napojením zariadeniami VZT. Jednotlivé dispozície a vývody sú zakreslené v pôdorysoch a v rozvádzači RH. Pre jednotky VZT a klimatizačné jednotky budú pripravené vývody v zmysle dispozičného rozmiestnenia projektu VZT (dimenzia a istenie). Odsávanie zo sociálnych zariadení a požadovaných priestorov je zabezpečené vzduchotechnickými jednotkami s lokálnym senzorom pre jeho ovládanie – dodávka VZT. Odvetranie bude riešené dvojotáčkovým radiálnym ventilátorom ovládaním tlačidlom. Tlačidlom sa bude zopínať a vypínať ventilátor. Časový dobeh pre vysoké otáčky je súčasťou ventilátora. Dispozície jednotlivých tlačidlových ovládačov budú doplnené do pôdorysu podľa požiadaviek investora a konkrétnej špecifikácie el. prístroja.</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vyhrievanie strešných vpustí</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 xml:space="preserve">V projekte sa uvažuje s ohrevom odkvapových žľabov. Projekt zabezpečuje privedenie napájacích káblov do miesta strešných zvodov zo strechy pre pripojenie vyhrievacích káblov. Tepelné a vlhkostné čidlo je uvažované pri strešnom zvode na severnej fasáde. Presnú polohu špecifikovať operatívne počas realizácie. Presné polohy a zapojenia  jednotlivých zariadení je </w:t>
      </w:r>
      <w:r w:rsidRPr="00EE6A26">
        <w:rPr>
          <w:rFonts w:asciiTheme="majorHAnsi" w:hAnsiTheme="majorHAnsi" w:cstheme="majorHAnsi"/>
          <w:b/>
          <w:sz w:val="20"/>
        </w:rPr>
        <w:t>NUTNÉ</w:t>
      </w:r>
      <w:r w:rsidRPr="00EE6A26">
        <w:rPr>
          <w:rFonts w:asciiTheme="majorHAnsi" w:hAnsiTheme="majorHAnsi" w:cstheme="majorHAnsi"/>
          <w:sz w:val="20"/>
        </w:rPr>
        <w:t xml:space="preserve"> konzultovať s dodávateľom technológie. V projekte sa uvažuje s DEVIPIPEHEA 10W/m SAMOREGULAČNÝ TERMOKÁBEL.</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elektrické podlahové vykurovanie devi a ohrevné telesá</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Zdrojom tepla bude sústava vykurovacích rohoží vybavených  odporovými káblami DEVI s výkonom 100W/m2 - 150W/m2. Vykurovacie rohože budú ukladané na poter do lepidla pod dlažbu. Presné rozmiestnenie vykurovacích plôch je podmienené rozmiestnením nábytku podľa projektu interiéru.  Maximálny vykurovací Výkon rohoží je spolu 7063 W. Rohože budú ovládané priestorovými termostatmi Devireg touch s displayom resp. nadradenou reguláciou. Maximálny spínaný výkon termostatu je 3,5kW.</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 xml:space="preserve">Prepojenie odporového káblu s termostatom resp. spínacím prvkom bude studeným koncom. V miestnostiach prevádzky budú namontované elektrické radiátory s ovládacím panelom na telese.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Maximálny vykurovací Výkon elektrických radiátorov je spolu 8000 W. Ohrev teplej pitnej vody v SO01,2 bude zabezpečený zásobníkom teplej vody s objemom 100Litrov LX ACDC/M+K 100.</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 xml:space="preserve">fotovoltická elektráreň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Ďalším zdrojom elektrickej energie v objekte bude fotovoltická elektráreň s výkonom panelov 9,45 kWp s  využiteľnou kapacitou (DoD 100%) batérie min. 16 kWh pri 1C a s výkonom meničov 17,5 kW, ktorá bude umiestnená na hospodárskom objekte SO03. Táto elektráreň bude zabezpečovať potrebný nedisponibilný výkon z distribučnej sústavy, ktorý bude prioritne určený pre technologickú výrobu a prípadnú spotrebu elektrickej energie objektu. Z prípojkového elektromerového rozvádzača RE je prípojka vedená do rozvádzača RFVE. V RFVE sa bude sčítavať výkon z distribučnej sústavy a fotovoltických panelov potrebný na komplexný chod prevádzky objektu. V prípade fluktuácie výkonu z fotovoltických panelov bude energia dodávaná z batérií cez meniče. Batérie sa budú dobíjať z fotovoltických panelov a aj z distribučnej sústavy. Prioritne sa bude napájať technológia výroby vína a vybrané spotrebiče.  Detailne projektové riešenie elektrárne je obsahom PS01 Fotovoltická elektráreň..</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 xml:space="preserve">Núdzové odpojenie stavby od el. energie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 xml:space="preserve">Pomocou ovládacieho prvku CENTRAL STOP je možné vypnúť dodávku elektrickej energie pre všetky elektrické zariadenia v stavbe vrátane zariadení v prevádzke počas požiaru. V uvažovanej stavbe  je na základe požiarneho projektu (PBS) potreba použitia tlačidla CENTRAL STOP, nakoľko sa v predmetnom objekte nachádzajú požiarno-technické zariadenia, ktoré by mali byť funkčné počas požiaru. Elektrické zariadenia, ktoré v zmysle požiadaviek STN 33 2000-4-41 nemôže spôsobiť úraz elektrickým prúdom, nie je potrebné pri hasení požiaru vypínať. V budove je navrhnuté bezpečnostné resp. núdzové vypínanie v súlade s STN 92 0203, STN 33 2000-5-51, STN EN 60079, STN 60 204-1 a STN 33 2000-5-537. Na prívode rozvádzača sú zaradené vypínacie deiónové ističe s podpäťovou spúšťou, ktorá je ovládaná rozpínacím tlačidlom, umiestnené podľa požiadaviek projektu PBS. Ako rozpínacie núdzové tlačidlo bude použité  GW42201 vo vyhotovení NC, ktoré bude zapojené do série s podpäťovou spúšťou rozvádzačoch RH. Pre napojenie tlačidla bude použitý kábel NHXH-O 2x1,5mm2 E90.  Na všetkých strojoch musia byť bezpečnostné a informatívne nápisy v slovenskom jazyku. Všetky </w:t>
      </w:r>
      <w:r w:rsidRPr="00EE6A26">
        <w:rPr>
          <w:rFonts w:asciiTheme="majorHAnsi" w:hAnsiTheme="majorHAnsi" w:cstheme="majorHAnsi"/>
          <w:sz w:val="20"/>
        </w:rPr>
        <w:lastRenderedPageBreak/>
        <w:t>používané elektrické stroje sú opatrené označeným vypínačom elektrickej energie a havarijným STOP tlačidlom podľa STN EN ISO. V budove musia byť označené všetky havarijné vypínače v súlade s STN EN 61310-1. Všetky elektrické zariadenia sú označené príslušnými tabuľkami podľa STN EN 61310-1 aj s označením, pre ktoré zariadenia slúžia.</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KÁBLOVÉ ROZVODY</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Káblová inštalácia silnoprúdových a slaboprúdových rozvodov je navrhnutá v súlade s vyhl. 94/2004 Z. z., Prílohy č. 14 a podľa požiadaviek projektu požiarnej ochrany a ďalej podľa príslušných štandardov. Rozvody v jednotlivých priestoroch budú realizované celoplastovými káblami, Cu jadrami (N2XH), s požiarnotechnickými vlastnosťami B2ca-s1,d1,a1. Inštaláciu robiť bez halogénovými káblami N2XH, uloženými pod omietkou alebo v kovových žľaboch a elektroinštalačných ochranných rúrkach. Kábel ku svietidlu v použiť N2XH -J 3x1,5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a ku zásuvke N2XH -J 3x2,5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ak nie je uvedené inak.. Žľaby budú nadimenzované s 25% rezervou pre uloženie ďalších rozvodov. Hlavné rozvody budú vedené pod stropom. Prestupy cez jednotlivé požiarne úseky budú utesnené protipožiarnymi upchávkami. Pri vedení slaboprúdového kábla so silnoprúdovým- separačne ich oddeliť – do žlabu vložiť separátor. Ostatné dimenzie vodičov sú podľa veľkosti spotrebičov a sú dimenzované v zmysle STN 33 2000-5-523:2004. Uloženie vodičov a káblov je nutné previesť podľa normy STN 34 1050, 33 2312. Kabeláž bude vedená v podhľade a upevnená pomocou OBO GRIP každých 0,3m. Na miestach, kde nebude podhľad, bude kabeláž zasekaná pod omietku alebo upevnená pomocou OBO GRIP každých 0,3m alebo v pevných ochranných rúrkach DN20 – najmä v priestoroch tech. miestností. V stúpačkách bude silnoprúdová kabeláž upevnená pomocou OBO GRIP každých 0,3m. Z dôvodu mechanickej ochrany navrhujeme viesť F/FTP Cat.6a 4x2xAWG23/ v ochrannej rúrke FXP25. Spolu s touto slaboprúdovou kabelážou navrhujeme v trase z rozvodne NN do každej kancelárie priviesť aj 1x mikrotrubičku Standard 5/3,5mm (vonkajší priemer / vnútorný priemer) ako predprípravu pre optiku. Slaboprúdová kabeláž a mikrotrubičky budú upevnené pomocou OBO GRIP každých 0,3m. V jednotlivých izbách viesť kabeláž v ochranných rúrkach v podlahe alebo káble pod omietkou.</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PROTIPOŽIARNÉ OPATRENIA</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Prestupy rozvodov požiarno-deliacimi konštrukciami požiarnych úsekov objektu musia byť utesnené podľa požiadaviek STN 92 0201-2. Tieto tesniace hmoty musia byť stupňa horľavosti max. B (v zmysle STN 73 0862), napr. upchávky HILTI, INTUMEX, betónové zálievky atď. s požiarnou odolnosťou rovnou požiarnej odolnosti požiarno - deliacej konštrukcie, ktorou prestupujú (maximálne však EI90 minút). Požiadavky na funkčnú odolnosť trás elektrických káblov (PS) na trvalú dodávku elektrickej energie podľa prílohy A STN 92 0203 budú nasledovné:</w:t>
      </w:r>
    </w:p>
    <w:p w:rsidR="00EE6A26" w:rsidRPr="00EE6A26" w:rsidRDefault="00EE6A26" w:rsidP="00EE6A26">
      <w:pPr>
        <w:rPr>
          <w:rFonts w:asciiTheme="majorHAnsi" w:hAnsiTheme="majorHAnsi" w:cstheme="majorHAnsi"/>
          <w:sz w:val="20"/>
        </w:rPr>
      </w:pPr>
    </w:p>
    <w:p w:rsidR="00EE6A26" w:rsidRPr="00EE6A26" w:rsidRDefault="00EE6A26" w:rsidP="00EE6A26">
      <w:pPr>
        <w:pStyle w:val="Odsekzoznamu"/>
        <w:widowControl w:val="0"/>
        <w:numPr>
          <w:ilvl w:val="0"/>
          <w:numId w:val="22"/>
        </w:numPr>
        <w:tabs>
          <w:tab w:val="left" w:pos="567"/>
        </w:tabs>
        <w:overflowPunct w:val="0"/>
        <w:autoSpaceDE w:val="0"/>
        <w:autoSpaceDN w:val="0"/>
        <w:adjustRightInd w:val="0"/>
        <w:spacing w:line="276" w:lineRule="auto"/>
        <w:ind w:left="567"/>
        <w:jc w:val="both"/>
        <w:rPr>
          <w:rFonts w:asciiTheme="majorHAnsi" w:hAnsiTheme="majorHAnsi" w:cstheme="majorHAnsi"/>
          <w:sz w:val="20"/>
          <w:szCs w:val="20"/>
        </w:rPr>
      </w:pPr>
      <w:r w:rsidRPr="00EE6A26">
        <w:rPr>
          <w:rFonts w:asciiTheme="majorHAnsi" w:hAnsiTheme="majorHAnsi" w:cstheme="majorHAnsi"/>
          <w:sz w:val="20"/>
          <w:szCs w:val="20"/>
        </w:rPr>
        <w:t>pri požiari ovládané požiarne uzávery, pri požiari ovládané únikové dverné uzávery, pri požiari ovládané únikové turnikety a bránky, pri požiari ovládané garážové závory, pri požiari ovládané zhrnovacie rolety, pri požiari ovládané výsuvné a posuvné brány, vypínanie elektrickej energie a prevádzkovej VZT pri požiari, pri požiari ovládané prevádzkové výťahy so zjazdom do vstupných staníc, pri požiari ovládané vizuálne informačné zariadenie zákazu vjazdu vozidiel (napr. do hromadnej garáže), pri požiari ovládaný prístupový systém umožňujúci únik osôb zo stavby resp. vstup zasahujúcej hasičskej jednotky do stavby - funkčná odolnosť je stanovená najmenej na 30 minút;</w:t>
      </w:r>
    </w:p>
    <w:p w:rsidR="00EE6A26" w:rsidRPr="00EE6A26" w:rsidRDefault="00EE6A26" w:rsidP="00EE6A26">
      <w:pPr>
        <w:pStyle w:val="Odsekzoznamu"/>
        <w:widowControl w:val="0"/>
        <w:numPr>
          <w:ilvl w:val="0"/>
          <w:numId w:val="22"/>
        </w:numPr>
        <w:tabs>
          <w:tab w:val="left" w:pos="567"/>
        </w:tabs>
        <w:overflowPunct w:val="0"/>
        <w:autoSpaceDE w:val="0"/>
        <w:autoSpaceDN w:val="0"/>
        <w:adjustRightInd w:val="0"/>
        <w:spacing w:line="276" w:lineRule="auto"/>
        <w:ind w:left="567" w:hanging="207"/>
        <w:jc w:val="both"/>
        <w:rPr>
          <w:rFonts w:asciiTheme="majorHAnsi" w:hAnsiTheme="majorHAnsi" w:cstheme="majorHAnsi"/>
          <w:sz w:val="20"/>
          <w:szCs w:val="20"/>
        </w:rPr>
      </w:pPr>
      <w:r w:rsidRPr="00EE6A26">
        <w:rPr>
          <w:rFonts w:asciiTheme="majorHAnsi" w:hAnsiTheme="majorHAnsi" w:cstheme="majorHAnsi"/>
          <w:sz w:val="20"/>
          <w:szCs w:val="20"/>
        </w:rPr>
        <w:t>informačné zariadenie na evakuáciu - funkčná odolnosť je stanovená na dvojnásobok času evakuácie, najmenej však na 30 minút;</w:t>
      </w:r>
    </w:p>
    <w:p w:rsidR="00EE6A26" w:rsidRPr="00EE6A26" w:rsidRDefault="00EE6A26" w:rsidP="00EE6A26">
      <w:pPr>
        <w:pStyle w:val="Odsekzoznamu"/>
        <w:widowControl w:val="0"/>
        <w:numPr>
          <w:ilvl w:val="0"/>
          <w:numId w:val="22"/>
        </w:numPr>
        <w:tabs>
          <w:tab w:val="left" w:pos="567"/>
        </w:tabs>
        <w:overflowPunct w:val="0"/>
        <w:autoSpaceDE w:val="0"/>
        <w:autoSpaceDN w:val="0"/>
        <w:adjustRightInd w:val="0"/>
        <w:spacing w:line="276" w:lineRule="auto"/>
        <w:ind w:left="567" w:hanging="207"/>
        <w:jc w:val="both"/>
        <w:rPr>
          <w:rFonts w:asciiTheme="majorHAnsi" w:hAnsiTheme="majorHAnsi" w:cstheme="majorHAnsi"/>
          <w:sz w:val="20"/>
          <w:szCs w:val="20"/>
        </w:rPr>
      </w:pPr>
      <w:r w:rsidRPr="00EE6A26">
        <w:rPr>
          <w:rFonts w:asciiTheme="majorHAnsi" w:hAnsiTheme="majorHAnsi" w:cstheme="majorHAnsi"/>
          <w:sz w:val="20"/>
          <w:szCs w:val="20"/>
        </w:rPr>
        <w:t xml:space="preserve">evakuačný výťah (EV) - funkčná odolnosť podľa vyhl. MV SR č. 94/2004 Z.z. v znení neskorších predpisov a STN 92 0201-3 je stanovená najmenej na 90 minút pre CHÚC „Cu“;  </w:t>
      </w:r>
    </w:p>
    <w:p w:rsidR="00EE6A26" w:rsidRPr="00EE6A26" w:rsidRDefault="00EE6A26" w:rsidP="00EE6A26">
      <w:pPr>
        <w:pStyle w:val="Odsekzoznamu"/>
        <w:widowControl w:val="0"/>
        <w:numPr>
          <w:ilvl w:val="0"/>
          <w:numId w:val="22"/>
        </w:numPr>
        <w:tabs>
          <w:tab w:val="left" w:pos="567"/>
        </w:tabs>
        <w:overflowPunct w:val="0"/>
        <w:autoSpaceDE w:val="0"/>
        <w:autoSpaceDN w:val="0"/>
        <w:adjustRightInd w:val="0"/>
        <w:spacing w:line="276" w:lineRule="auto"/>
        <w:ind w:left="567" w:hanging="207"/>
        <w:jc w:val="both"/>
        <w:rPr>
          <w:rFonts w:asciiTheme="majorHAnsi" w:hAnsiTheme="majorHAnsi" w:cstheme="majorHAnsi"/>
          <w:sz w:val="20"/>
          <w:szCs w:val="20"/>
        </w:rPr>
      </w:pPr>
      <w:r w:rsidRPr="00EE6A26">
        <w:rPr>
          <w:rFonts w:asciiTheme="majorHAnsi" w:hAnsiTheme="majorHAnsi" w:cstheme="majorHAnsi"/>
          <w:sz w:val="20"/>
          <w:szCs w:val="20"/>
        </w:rPr>
        <w:t>núdzové osvetlenie, bezpečnostné a orientačné osvetlenie - funkčná odolnosť podľa STN EN 1838 je stanovená najmenej na 60 minút;</w:t>
      </w:r>
    </w:p>
    <w:p w:rsidR="00EE6A26" w:rsidRPr="00EE6A26" w:rsidRDefault="00EE6A26" w:rsidP="00EE6A26">
      <w:pPr>
        <w:pStyle w:val="Odsekzoznamu"/>
        <w:widowControl w:val="0"/>
        <w:numPr>
          <w:ilvl w:val="0"/>
          <w:numId w:val="22"/>
        </w:numPr>
        <w:tabs>
          <w:tab w:val="left" w:pos="567"/>
        </w:tabs>
        <w:overflowPunct w:val="0"/>
        <w:autoSpaceDE w:val="0"/>
        <w:autoSpaceDN w:val="0"/>
        <w:adjustRightInd w:val="0"/>
        <w:spacing w:line="276" w:lineRule="auto"/>
        <w:ind w:left="567" w:hanging="207"/>
        <w:jc w:val="both"/>
        <w:rPr>
          <w:rFonts w:asciiTheme="majorHAnsi" w:hAnsiTheme="majorHAnsi" w:cstheme="majorHAnsi"/>
          <w:sz w:val="20"/>
          <w:szCs w:val="20"/>
        </w:rPr>
      </w:pPr>
      <w:r w:rsidRPr="00EE6A26">
        <w:rPr>
          <w:rFonts w:asciiTheme="majorHAnsi" w:hAnsiTheme="majorHAnsi" w:cstheme="majorHAnsi"/>
          <w:sz w:val="20"/>
          <w:szCs w:val="20"/>
        </w:rPr>
        <w:t>zariadenie na vetranie chránených únikových ciest (CHÚC) alebo zásahových ciest - funkčná odolnosť podľa vyhl. MV SR č. 94/2004 Z.z. v znení neskorších predpisov a STN 92 0201-3 je stanovená najmenej na 90 minút pre CHÚC „Cu“;</w:t>
      </w:r>
    </w:p>
    <w:p w:rsidR="00EE6A26" w:rsidRPr="00EE6A26" w:rsidRDefault="00EE6A26" w:rsidP="00EE6A26">
      <w:pPr>
        <w:pStyle w:val="Odsekzoznamu"/>
        <w:widowControl w:val="0"/>
        <w:numPr>
          <w:ilvl w:val="0"/>
          <w:numId w:val="22"/>
        </w:numPr>
        <w:tabs>
          <w:tab w:val="left" w:pos="567"/>
        </w:tabs>
        <w:overflowPunct w:val="0"/>
        <w:autoSpaceDE w:val="0"/>
        <w:autoSpaceDN w:val="0"/>
        <w:adjustRightInd w:val="0"/>
        <w:spacing w:after="240" w:line="276" w:lineRule="auto"/>
        <w:ind w:left="567" w:hanging="207"/>
        <w:jc w:val="both"/>
        <w:rPr>
          <w:rFonts w:asciiTheme="majorHAnsi" w:hAnsiTheme="majorHAnsi" w:cstheme="majorHAnsi"/>
          <w:sz w:val="20"/>
          <w:szCs w:val="20"/>
        </w:rPr>
      </w:pPr>
      <w:r w:rsidRPr="00EE6A26">
        <w:rPr>
          <w:rFonts w:asciiTheme="majorHAnsi" w:hAnsiTheme="majorHAnsi" w:cstheme="majorHAnsi"/>
          <w:sz w:val="20"/>
          <w:szCs w:val="20"/>
        </w:rPr>
        <w:t xml:space="preserve">automatické požiarnotechnické zariadenie, ktoré nahrádza požiarnu stenu alebo požiarny uzáver, alebo zvyšuje ich požiarnu odolnosť - je stanovená podľa vyhl. MV SR č. 94/2004 Z.z. v znení neskorších predpisov  najmenej na dobu požadovanej požiarnej odolnosti požiarnej deliacej konštrukcie, ktorú automatické </w:t>
      </w:r>
      <w:r w:rsidRPr="00EE6A26">
        <w:rPr>
          <w:rFonts w:asciiTheme="majorHAnsi" w:hAnsiTheme="majorHAnsi" w:cstheme="majorHAnsi"/>
          <w:sz w:val="20"/>
          <w:szCs w:val="20"/>
        </w:rPr>
        <w:lastRenderedPageBreak/>
        <w:t>požiarnotechnické zariadenie nahrádza;</w:t>
      </w:r>
    </w:p>
    <w:p w:rsidR="00EE6A26" w:rsidRPr="00EE6A26" w:rsidRDefault="00EE6A26" w:rsidP="00EE6A26">
      <w:pPr>
        <w:rPr>
          <w:rFonts w:asciiTheme="majorHAnsi" w:hAnsiTheme="majorHAnsi" w:cstheme="majorHAnsi"/>
          <w:b/>
          <w:sz w:val="20"/>
        </w:rPr>
      </w:pPr>
      <w:r w:rsidRPr="00EE6A26">
        <w:rPr>
          <w:rFonts w:asciiTheme="majorHAnsi" w:hAnsiTheme="majorHAnsi" w:cstheme="majorHAnsi"/>
          <w:b/>
          <w:sz w:val="20"/>
        </w:rPr>
        <w:t>Požiadavky na elektrické káble v nadväznosti na STN 92 0203:</w:t>
      </w:r>
    </w:p>
    <w:p w:rsidR="00EE6A26" w:rsidRPr="00EE6A26" w:rsidRDefault="00EE6A26" w:rsidP="00EE6A26">
      <w:pPr>
        <w:rPr>
          <w:rFonts w:asciiTheme="majorHAnsi" w:hAnsiTheme="majorHAnsi" w:cstheme="majorHAnsi"/>
          <w:i/>
          <w:sz w:val="20"/>
        </w:rPr>
      </w:pPr>
      <w:r w:rsidRPr="00EE6A26">
        <w:rPr>
          <w:rFonts w:asciiTheme="majorHAnsi" w:hAnsiTheme="majorHAnsi" w:cstheme="majorHAnsi"/>
          <w:i/>
          <w:sz w:val="20"/>
        </w:rPr>
        <w:t>Zariadenia, ktoré sú počas požiaru v prevádzke</w:t>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t xml:space="preserve">Druh kábla podľa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 domáci (evakuačný) rozhlas</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B2ca</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b) núdzové osvetlenie, bezpečnostné a orientačné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   osvetlenie</w:t>
      </w:r>
      <w:r w:rsidRPr="00EE6A26">
        <w:rPr>
          <w:rFonts w:asciiTheme="majorHAnsi" w:hAnsiTheme="majorHAnsi" w:cstheme="majorHAnsi"/>
          <w:sz w:val="20"/>
        </w:rPr>
        <w:tab/>
        <w:t xml:space="preserve">  </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B2ca, s1, a1</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c) osvetlenie chránených únikových ciest</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   a zásahových ciest (CHÚC a ČCHÚC)           </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B2ca, s1, a1</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d) evakuačno-požiarne (EV a PV)</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B2ca</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e) vetranie únikových ciest (CHÚC)                  </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B2ca, s1, a1</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f) stabilné hasiace zariadenia (SHZ)</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B2ca</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g) elektrická požiarna signalizácia (EPS)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                                                   – ovládané zariadenia    </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B2ca</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                                                   – požiarne hlásiče</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B2ca</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Pokiaľ sú elektrické káble hore uvádzaných zariadení umiestnené v požiarnych úsekoch s priestormi musia takéto elektrické káble naviac spĺňať aj doplnkovú klasifikáciu triedy reakcie na oheň podľa konkrétnych priestorov, cez ktoré sú vedené ich trasy.</w:t>
      </w: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i/>
          <w:sz w:val="20"/>
        </w:rPr>
      </w:pPr>
      <w:r w:rsidRPr="00EE6A26">
        <w:rPr>
          <w:rFonts w:asciiTheme="majorHAnsi" w:hAnsiTheme="majorHAnsi" w:cstheme="majorHAnsi"/>
          <w:i/>
          <w:sz w:val="20"/>
        </w:rPr>
        <w:t xml:space="preserve">Požiarne úseky s priestorom                          </w:t>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r>
      <w:r w:rsidRPr="00EE6A26">
        <w:rPr>
          <w:rFonts w:asciiTheme="majorHAnsi" w:hAnsiTheme="majorHAnsi" w:cstheme="majorHAnsi"/>
          <w:i/>
          <w:sz w:val="20"/>
        </w:rPr>
        <w:tab/>
        <w:t xml:space="preserve">Druh kábla podľa </w:t>
      </w: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 chránené únikové cesty</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 xml:space="preserve">B2ca, s1, d1, a1 </w:t>
      </w:r>
    </w:p>
    <w:p w:rsidR="00EE6A26" w:rsidRPr="00EE6A26" w:rsidRDefault="00EE6A26" w:rsidP="00EE6A26">
      <w:pPr>
        <w:rPr>
          <w:rFonts w:asciiTheme="majorHAnsi" w:hAnsiTheme="majorHAnsi" w:cstheme="majorHAnsi"/>
          <w:sz w:val="20"/>
        </w:rPr>
      </w:pPr>
    </w:p>
    <w:p w:rsidR="00EE6A26" w:rsidRPr="00EE6A26" w:rsidRDefault="00EE6A26" w:rsidP="00EE6A26">
      <w:pPr>
        <w:rPr>
          <w:rFonts w:asciiTheme="majorHAnsi" w:hAnsiTheme="majorHAnsi" w:cstheme="majorHAnsi"/>
          <w:i/>
          <w:sz w:val="20"/>
        </w:rPr>
      </w:pPr>
      <w:r w:rsidRPr="00EE6A26">
        <w:rPr>
          <w:rFonts w:asciiTheme="majorHAnsi" w:hAnsiTheme="majorHAnsi" w:cstheme="majorHAnsi"/>
          <w:i/>
          <w:sz w:val="20"/>
        </w:rPr>
        <w:t>Vysvetlivky:</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B2ca – trieda reakcie na oheň (pôvodne odolnosť proti šíreniu plameňa – ZO), množstvo uvolneného tepla pri skúške horenia káblov vo zväzku.</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s1, d1, a1 – doplnková klasifikácia triedy reakcie na oheň (pôvodne bezhalogénový s nízkou hustotou dymu pri horení – BH), s1 – celkové množstvo vývinu dymu a okamžité množstvo uvoľneného dymu, d1 – žiadne horiace kvapky, a1 – vodivosť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PS – trieda funkčnej odolnosti elektrického káblového systému v požiari z prílohy A STN 92 0203 – (pôvodne počas horenia funkčný v požadovanom čase – PH).</w:t>
      </w:r>
    </w:p>
    <w:p w:rsidR="00EE6A26" w:rsidRPr="00EE6A26" w:rsidRDefault="00EE6A26" w:rsidP="00EE6A26">
      <w:pPr>
        <w:rPr>
          <w:rFonts w:asciiTheme="majorHAnsi" w:hAnsiTheme="majorHAnsi" w:cstheme="majorHAnsi"/>
          <w:b/>
          <w:sz w:val="20"/>
        </w:rPr>
      </w:pPr>
    </w:p>
    <w:p w:rsidR="00EE6A26" w:rsidRPr="00EE6A26" w:rsidRDefault="00EE6A26" w:rsidP="00EE6A26">
      <w:pPr>
        <w:rPr>
          <w:rFonts w:asciiTheme="majorHAnsi" w:hAnsiTheme="majorHAnsi" w:cstheme="majorHAnsi"/>
          <w:b/>
          <w:sz w:val="20"/>
        </w:rPr>
      </w:pPr>
      <w:r w:rsidRPr="00EE6A26">
        <w:rPr>
          <w:rFonts w:asciiTheme="majorHAnsi" w:hAnsiTheme="majorHAnsi" w:cstheme="majorHAnsi"/>
          <w:b/>
          <w:sz w:val="20"/>
        </w:rPr>
        <w:t>PRESNÉ UMIESTNENIE PRÍSTROJOV</w:t>
      </w:r>
    </w:p>
    <w:p w:rsidR="00EE6A26" w:rsidRPr="00EE6A26" w:rsidRDefault="00EE6A26" w:rsidP="00EE6A26">
      <w:pPr>
        <w:keepNext/>
        <w:spacing w:before="120" w:after="240"/>
        <w:ind w:firstLine="567"/>
        <w:rPr>
          <w:rFonts w:asciiTheme="majorHAnsi" w:hAnsiTheme="majorHAnsi" w:cstheme="majorHAnsi"/>
          <w:sz w:val="20"/>
        </w:rPr>
      </w:pPr>
      <w:r w:rsidRPr="00EE6A26">
        <w:rPr>
          <w:rFonts w:asciiTheme="majorHAnsi" w:hAnsiTheme="majorHAnsi" w:cstheme="majorHAnsi"/>
          <w:sz w:val="20"/>
        </w:rPr>
        <w:t>Výška osadenia el. prístrojov je nasledovná (ak nie je uvedená na výkrese):</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 xml:space="preserve"> 1,2 m</w:t>
      </w:r>
      <w:r w:rsidRPr="00EE6A26">
        <w:rPr>
          <w:rFonts w:asciiTheme="majorHAnsi" w:hAnsiTheme="majorHAnsi" w:cstheme="majorHAnsi"/>
          <w:sz w:val="20"/>
        </w:rPr>
        <w:tab/>
        <w:t>os vypínačov</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 xml:space="preserve"> 0,3-1,2 m  </w:t>
      </w:r>
      <w:r w:rsidRPr="00EE6A26">
        <w:rPr>
          <w:rFonts w:asciiTheme="majorHAnsi" w:hAnsiTheme="majorHAnsi" w:cstheme="majorHAnsi"/>
          <w:sz w:val="20"/>
        </w:rPr>
        <w:tab/>
        <w:t>os zásuviek 230V</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 xml:space="preserve"> 1,5  m  </w:t>
      </w:r>
      <w:r w:rsidRPr="00EE6A26">
        <w:rPr>
          <w:rFonts w:asciiTheme="majorHAnsi" w:hAnsiTheme="majorHAnsi" w:cstheme="majorHAnsi"/>
          <w:sz w:val="20"/>
        </w:rPr>
        <w:tab/>
        <w:t>os zásuviek 400V</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 xml:space="preserve"> 1,2 m  </w:t>
      </w:r>
      <w:r w:rsidRPr="00EE6A26">
        <w:rPr>
          <w:rFonts w:asciiTheme="majorHAnsi" w:hAnsiTheme="majorHAnsi" w:cstheme="majorHAnsi"/>
          <w:sz w:val="20"/>
        </w:rPr>
        <w:tab/>
        <w:t>os zásuviek 230V v kúpeľňových zónach</w:t>
      </w:r>
    </w:p>
    <w:p w:rsidR="00EE6A26" w:rsidRPr="00EE6A26" w:rsidRDefault="00EE6A26" w:rsidP="00EE6A26">
      <w:pPr>
        <w:pStyle w:val="Nadpis3"/>
        <w:keepLines/>
        <w:widowControl w:val="0"/>
        <w:numPr>
          <w:ilvl w:val="2"/>
          <w:numId w:val="15"/>
        </w:numPr>
        <w:tabs>
          <w:tab w:val="left" w:pos="567"/>
          <w:tab w:val="left" w:pos="851"/>
        </w:tabs>
        <w:spacing w:before="200" w:after="120" w:line="276" w:lineRule="auto"/>
        <w:jc w:val="both"/>
        <w:textAlignment w:val="auto"/>
        <w:rPr>
          <w:rFonts w:asciiTheme="majorHAnsi" w:hAnsiTheme="majorHAnsi" w:cstheme="majorHAnsi"/>
        </w:rPr>
      </w:pPr>
      <w:r w:rsidRPr="00EE6A26">
        <w:rPr>
          <w:rFonts w:asciiTheme="majorHAnsi" w:hAnsiTheme="majorHAnsi" w:cstheme="majorHAnsi"/>
        </w:rPr>
        <w:t xml:space="preserve">INŠTALÁCIA V UMÝVACÍCH PRIESTOROCH </w:t>
      </w:r>
    </w:p>
    <w:p w:rsidR="00EE6A26" w:rsidRPr="00EE6A26" w:rsidRDefault="00EE6A26" w:rsidP="00EE6A26">
      <w:pPr>
        <w:keepNext/>
        <w:spacing w:before="120"/>
        <w:ind w:firstLine="567"/>
        <w:rPr>
          <w:rFonts w:asciiTheme="majorHAnsi" w:hAnsiTheme="majorHAnsi" w:cstheme="majorHAnsi"/>
          <w:sz w:val="20"/>
        </w:rPr>
      </w:pPr>
      <w:r w:rsidRPr="00EE6A26">
        <w:rPr>
          <w:rFonts w:asciiTheme="majorHAnsi" w:hAnsiTheme="majorHAnsi" w:cstheme="majorHAnsi"/>
          <w:sz w:val="20"/>
        </w:rPr>
        <w:t xml:space="preserve">Pre elektrickú inštaláciu v priestoroch s vaňou alebo sprchou (tzn. kúpeľne a pod.) platia požiadavky STN 33 2000-7-701:10/2007. V zmysle predmetnej normy (článku 701.512.2, vonkajšie vplyvy) inštalované elektrické zariadenia musia mať aspoň tieto stupne ochrany : </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 zóne 0 : IPX7;</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 zóne 1 : IPX4;</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 zóne 2 : IPX4.</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V zmysle predmetnej normy STN 33 2000-7-701:10/2007 sa zásuvky a spínače môžu umiestniť iba mimo umývacieho priestoru. Ak sú vo výške aspoň 1,2m nad podlahou, môžu sa umiestniť tesne pri hranici umývacieho priestoru. Ak sú umiestnené nižšie, musia byť vzdialené svojím najbližším okrajom aspoň 0,2m od hranice umývacieho priestoru. Pritom sa musia brať do úvahy aj požiadavky, ktoré sú dôsledkom vonkajších vplyvov priestoru, v ktorom je umývací priestor umiestnený.</w:t>
      </w:r>
    </w:p>
    <w:p w:rsidR="00EE6A26" w:rsidRPr="00EE6A26" w:rsidRDefault="00EE6A26" w:rsidP="00EE6A26">
      <w:pPr>
        <w:keepNext/>
        <w:spacing w:before="120" w:after="240"/>
        <w:ind w:firstLine="567"/>
        <w:rPr>
          <w:rFonts w:asciiTheme="majorHAnsi" w:hAnsiTheme="majorHAnsi" w:cstheme="majorHAnsi"/>
          <w:sz w:val="20"/>
        </w:rPr>
      </w:pPr>
      <w:r w:rsidRPr="00EE6A26">
        <w:rPr>
          <w:rFonts w:asciiTheme="majorHAnsi" w:hAnsiTheme="majorHAnsi" w:cstheme="majorHAnsi"/>
          <w:sz w:val="20"/>
        </w:rPr>
        <w:lastRenderedPageBreak/>
        <w:t xml:space="preserve">Umývací priestor je v zmysle článku N 701.30.5 ohraničený :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a) zvislou plochou (plochami) prechádzajúcou obrysmi umývadla, umývacieho drezu a zahŕňa priestor pod aj nad umývadlom, umývacím drezom,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b) podlahou a stropom. </w:t>
      </w:r>
    </w:p>
    <w:p w:rsidR="00EE6A26" w:rsidRPr="00EE6A26" w:rsidRDefault="00EE6A26" w:rsidP="00EE6A26">
      <w:pPr>
        <w:keepNext/>
        <w:spacing w:before="120" w:after="240"/>
        <w:ind w:firstLine="567"/>
        <w:rPr>
          <w:rFonts w:asciiTheme="majorHAnsi" w:hAnsiTheme="majorHAnsi" w:cstheme="majorHAnsi"/>
          <w:sz w:val="20"/>
        </w:rPr>
      </w:pPr>
      <w:r w:rsidRPr="00EE6A26">
        <w:rPr>
          <w:rFonts w:asciiTheme="majorHAnsi" w:hAnsiTheme="majorHAnsi" w:cstheme="majorHAnsi"/>
          <w:sz w:val="20"/>
        </w:rPr>
        <w:t xml:space="preserve">Článok 701.415.1 STN 33 2000-7-701:10/2007 – doplnková ochrana : prúdové chrániče (RCD): </w:t>
      </w:r>
    </w:p>
    <w:p w:rsidR="00EE6A26" w:rsidRPr="00EE6A26" w:rsidRDefault="00EE6A26" w:rsidP="00EE6A26">
      <w:pPr>
        <w:keepNext/>
        <w:spacing w:before="120"/>
        <w:ind w:firstLine="567"/>
        <w:rPr>
          <w:rFonts w:asciiTheme="majorHAnsi" w:hAnsiTheme="majorHAnsi" w:cstheme="majorHAnsi"/>
          <w:sz w:val="20"/>
        </w:rPr>
      </w:pPr>
      <w:r w:rsidRPr="00EE6A26">
        <w:rPr>
          <w:rFonts w:asciiTheme="majorHAnsi" w:hAnsiTheme="majorHAnsi" w:cstheme="majorHAnsi"/>
          <w:sz w:val="20"/>
        </w:rPr>
        <w:t xml:space="preserve">V miestnostiach s vaňou alebo sprchou musí jeden (alebo niekoľko) prúdových chráničov (RCD) s menovitým rozdielovým vypínacím prúdom neprevyšujúcim 30mA chrániť všetky obvody. Použitie takýchto prúdových chráničov RCD sa nevyžaduje pri obvodoch : </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s ochranným opatrením „elektrické oddelenie“, ak každý obvod napája iba jeden spotrebič,</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s ochranným opatrením „malé napätie SELV a PELV“. (zdroj SELV sa musí inštalovať mimo zón 0, 1 a 2).</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V umývacom priestore sa môžu inštalovať ďalšie spotrebiče za predpokladu, že sú ich výrobcom určené na použitie v umývacom priestore, a ich vlastnosti umožňujú použitie v umývacom priestore (typovo overené).</w:t>
      </w:r>
    </w:p>
    <w:p w:rsidR="00EE6A26" w:rsidRPr="00EE6A26" w:rsidRDefault="00EE6A26" w:rsidP="00EE6A26">
      <w:pPr>
        <w:pStyle w:val="Nadpis3"/>
        <w:keepLines/>
        <w:widowControl w:val="0"/>
        <w:numPr>
          <w:ilvl w:val="2"/>
          <w:numId w:val="15"/>
        </w:numPr>
        <w:tabs>
          <w:tab w:val="left" w:pos="567"/>
          <w:tab w:val="left" w:pos="851"/>
        </w:tabs>
        <w:spacing w:before="200" w:after="120" w:line="276" w:lineRule="auto"/>
        <w:jc w:val="both"/>
        <w:textAlignment w:val="auto"/>
        <w:rPr>
          <w:rFonts w:asciiTheme="majorHAnsi" w:hAnsiTheme="majorHAnsi" w:cstheme="majorHAnsi"/>
        </w:rPr>
      </w:pPr>
      <w:r w:rsidRPr="00EE6A26">
        <w:rPr>
          <w:rFonts w:asciiTheme="majorHAnsi" w:hAnsiTheme="majorHAnsi" w:cstheme="majorHAnsi"/>
        </w:rPr>
        <w:t xml:space="preserve">INŠTALÁCIA VO VONKAJŠÍCH PRIESTOROCH </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V priestoroch s prostredím vlhkým a prostredím pod prístreškom je možné inštalovať elektrické stroje, prístroje a svietidlá s min. krytím aspoň IP44. V priestoroch s prostredím vonkajším podľa STN EN 33 2000-7-714 čl.714.5 je možné inštalovať elektrické stroje, prístroje a svietidlá s min. krytím aspoň IPx4 rsp.IP44. Pokiaľ sa vo vonkajškom priestore použije svetelné zariadenie triedy ochrany II alebo rovnocennou izoláciou , potom sa nesmie sa zriadiť nijaký ochranný vodič a vodivé časti stĺpov osvetlenia nesmú byť zámerne spojené s uzemňovacou sústavou.</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 xml:space="preserve">HLAVNÉ OCHRANNE POSPÁJANIE </w:t>
      </w:r>
    </w:p>
    <w:p w:rsidR="00EE6A26" w:rsidRPr="00EE6A26" w:rsidRDefault="00EE6A26" w:rsidP="00EE6A26">
      <w:pPr>
        <w:keepNext/>
        <w:spacing w:before="120" w:after="240"/>
        <w:ind w:firstLine="567"/>
        <w:rPr>
          <w:rFonts w:asciiTheme="majorHAnsi" w:hAnsiTheme="majorHAnsi" w:cstheme="majorHAnsi"/>
          <w:sz w:val="20"/>
        </w:rPr>
      </w:pPr>
      <w:r w:rsidRPr="00EE6A26">
        <w:rPr>
          <w:rFonts w:asciiTheme="majorHAnsi" w:hAnsiTheme="majorHAnsi" w:cstheme="majorHAnsi"/>
          <w:sz w:val="20"/>
        </w:rPr>
        <w:t>Pre objekt bude riešená hlavná uzemňovacia prípojnica označená ako MET, umiestnená pri rozvádzači RH. Každý podružný rozvádzač bude mať vlastnú ekvipotenciálnu svorkovnicu SEBT. Každý vodič pripojený na hlavnú uzemňovaciu prípojnicu sa musí dať samostatne odpojiť. Tento spoj musí byť spoľahlivý a rozpojiteľný iba pomocou nástroja. Hlavný ochranný vodič musí byť dimenzovaný tak, aby minimálne zodpovedal prierezu najväčšieho krajného vodiča použitého v inštalácií. Prierez každého ochranného vodiča, ktorý nie je časťou kábla alebo ktorý nie je v spoločnom  kryte s krajným vodičom, nesmie byť menší ako :</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2,5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Cu alebo 16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Al, ak je chránený pred mechanickým poškodením, </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4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Cu alebo 16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Al, ak nie je chránený pred mechanickým poškodením.</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Ochranné vodiče sa musia vhodným spôsobom chrániť pred mechanickým, chemickým alebo elektrochemickým poškodením, pred účinkami elektrodynamických a termodynamických síl. Každý spoj (napríklad skrutkové spoje, upínacie konektory) medzi ochrannými vodičmi alebo medzi ochranným vodičom a iným zariadením musia zabezpečovať trvanlivé a neprerušované elektrické spojenie a primeranú mechanickú pevnosť a ochranu.</w:t>
      </w:r>
    </w:p>
    <w:p w:rsidR="00EE6A26" w:rsidRPr="00EE6A26" w:rsidRDefault="00EE6A26" w:rsidP="00EE6A26">
      <w:pPr>
        <w:keepNext/>
        <w:spacing w:before="120" w:after="240"/>
        <w:ind w:firstLine="567"/>
        <w:rPr>
          <w:rFonts w:asciiTheme="majorHAnsi" w:hAnsiTheme="majorHAnsi" w:cstheme="majorHAnsi"/>
          <w:sz w:val="20"/>
        </w:rPr>
      </w:pPr>
      <w:r w:rsidRPr="00EE6A26">
        <w:rPr>
          <w:rFonts w:asciiTheme="majorHAnsi" w:hAnsiTheme="majorHAnsi" w:cstheme="majorHAnsi"/>
          <w:sz w:val="20"/>
        </w:rPr>
        <w:t>Na ekvipotenciálnu prípojnicu MET sa vodičmi označenými ako PA s prierezom v zmysle STN 33 2000-5-54 a typizovanými svorkami vodivo pripoja:</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neživé vodivé časti rozvádzača napr. konštrukcia a dvere</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vodivé kovové konštrukcie káblových rozvodov</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vodivé kovové konštrukcie nosnej časti budovy</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hlavné potrubia (VZT, voda, plyn)</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neživé časti kotolne a ostatných technických miestností</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všetky rozvádzače</w:t>
      </w:r>
    </w:p>
    <w:p w:rsidR="00EE6A26" w:rsidRPr="00EE6A26" w:rsidRDefault="00EE6A26" w:rsidP="00EE6A26">
      <w:pPr>
        <w:keepNext/>
        <w:spacing w:before="120"/>
        <w:ind w:firstLine="567"/>
        <w:rPr>
          <w:rFonts w:asciiTheme="majorHAnsi" w:hAnsiTheme="majorHAnsi" w:cstheme="majorHAnsi"/>
          <w:sz w:val="20"/>
        </w:rPr>
      </w:pPr>
      <w:r w:rsidRPr="00EE6A26">
        <w:rPr>
          <w:rFonts w:asciiTheme="majorHAnsi" w:hAnsiTheme="majorHAnsi" w:cstheme="majorHAnsi"/>
          <w:b/>
          <w:sz w:val="20"/>
        </w:rPr>
        <w:t>Hlavná uzemňovacia prípojnica sa cez skúšobnú svorku pripojí na vonkajšie uzemnenie objektu drôtom FeZn Φ 10 – izolovaný  pomocou svoriek 2xSR03.</w:t>
      </w:r>
      <w:r w:rsidRPr="00EE6A26">
        <w:rPr>
          <w:rFonts w:asciiTheme="majorHAnsi" w:hAnsiTheme="majorHAnsi" w:cstheme="majorHAnsi"/>
          <w:sz w:val="20"/>
        </w:rPr>
        <w:t xml:space="preserve"> V zmysle STN 33 2000-5-54: 2012 článku 544.1, vodiče na ochranné pospájanie (v zmysle článku 411.3.1.2 z STN 33 2000-4-41:2007) určené na pripojenie na hlavnú uzemňovaciu prípojnicu nesmú mať menší prierez ako :</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6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meď, </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lastRenderedPageBreak/>
        <w:t>16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hliník, </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50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oceľ.</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Odpor uzemnenia ochranného vodiča má mať odpor najviac 5Ω. Uzemňovací vodič ochranného pospájania bude v zemi pripojený na uzemňovaciu sústavu bleskozvodu objektu, čím bude zabezpečený ich rovnaký potenciál. Prierezy uzemňovacích vodičov nesmú byť menšie ako 6 mm2 pre meď alebo 50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(Φ8)  pre oceľ. Ak je na uzemňovač pripojený systém ochrany pred bleskom, prierez uzemňovacieho vodiča musí byť aspoň 16 mm² pre meď (Cu) alebo 50 mm² (Φ 8) pre oceľ.</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BEZPEČNOSTNÉ KRITÉRIA</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Na rozvodných zariadeniach sú umiestnené bezpečnostné a výstražné štítky v zmysle príslušných STN. Montáž elektroinštalácie môžu robiť len osoby, ktoré spĺňajú požiadavky o odbornej spôsobilosti – podľa vyhl. 508/2009 Zz. Opravy a údržbu el. zariadení môžu vykonávať len osoby odborne spôsobilé – min. § 21 vyhl. 508/2009 Zz. Farebné značenie žíl káblov  musí  byť  dodržané v súlade s (STN-EN 60446), STN 34 7411. Ochrana  káblov  pred  preťažením  a  skratom  je navrhnutá  poistkami a ističmi podľa STN 33 2000-4-43; STN 33 2000 4-473;  -5-523. Ochrana káblov pred mechanickým poškodením bude polohou a  podľa potreby ich uložením do chráničky. Rozvádzač musí byť vybavený výstražnými tabuľkami podľa STN-EN 61310-1; -2; -3. Centrálne odpojenie el. spotrebičov bude možné hlavným vypínačom el. rozvádzača RMS1. Odpojenie objektu od el. siete bude možné hlavným ističom elektromerového rozvádzača RE. Každá zmena v elektroinštalácií, ku ktorej dôjde počas montáže musí byť určeným pracovníkom zaznačená do projektovej dokumentácie slúžiacej ku montáži, s podpisom a pečiatkou oprávnenej osoby,  ktorá vykonala zmenu. Montážna firma odovzdá investorovi uvedenú dokumentáciu skutočného prevedenia stavby ako celku spolu s prehlásením o kompletnosti zaznačených  zmien. Uvedená dokumentácia bude podkladom pre vypracovanie dokumentácie skutočného prevedenia stavby. V prípade, že počas montáže dôjde k závažnejším zmenám  zmena dimenzovania, istenia, …) musí montážna organizácia tieto zmeny konzultovať so spracovateľom projektovej dokumentácie.</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 xml:space="preserve">uzemnenie a HLAVNÉ OCHRANNE POSPÁJANIE </w:t>
      </w:r>
    </w:p>
    <w:p w:rsidR="00EE6A26" w:rsidRPr="00EE6A26" w:rsidRDefault="00EE6A26" w:rsidP="00EE6A26">
      <w:pPr>
        <w:keepNext/>
        <w:spacing w:before="120"/>
        <w:ind w:firstLine="567"/>
        <w:rPr>
          <w:rFonts w:asciiTheme="majorHAnsi" w:hAnsiTheme="majorHAnsi" w:cstheme="majorHAnsi"/>
          <w:sz w:val="20"/>
        </w:rPr>
      </w:pPr>
      <w:r w:rsidRPr="00EE6A26">
        <w:rPr>
          <w:rFonts w:asciiTheme="majorHAnsi" w:hAnsiTheme="majorHAnsi" w:cstheme="majorHAnsi"/>
          <w:sz w:val="20"/>
        </w:rPr>
        <w:t>Hlavné uzemnenie budovy je riešené uzemňovacou sústavou typu B tvorenou pásovinou FeZn 30x4mm uloženou v základovom betóne. Pásik bude uložený na podkladový betón tak že bude obklopený cca 5cm vrstvou betónu z každej strany.  Pásovinu spojiť aj s náhodným zemničom ak je to možné (využiť pilóty stavby). Pásovina v podkladovom betóne bude spájaná certifikovanými svorkami resp. zvarmi. Spoje je potrebné natrieť asfaltovým náterom.</w:t>
      </w:r>
    </w:p>
    <w:p w:rsidR="00EE6A26" w:rsidRPr="00EE6A26" w:rsidRDefault="00EE6A26" w:rsidP="00EE6A26">
      <w:pPr>
        <w:keepNext/>
        <w:spacing w:before="120" w:after="240"/>
        <w:rPr>
          <w:rFonts w:asciiTheme="majorHAnsi" w:hAnsiTheme="majorHAnsi" w:cstheme="majorHAnsi"/>
          <w:sz w:val="20"/>
        </w:rPr>
      </w:pPr>
      <w:r w:rsidRPr="00EE6A26">
        <w:rPr>
          <w:rFonts w:asciiTheme="majorHAnsi" w:hAnsiTheme="majorHAnsi" w:cstheme="majorHAnsi"/>
          <w:sz w:val="20"/>
        </w:rPr>
        <w:t>Na spoločnú uzemňovaciu sieť sa pripoja:</w:t>
      </w:r>
    </w:p>
    <w:p w:rsidR="00EE6A26" w:rsidRPr="00EE6A26" w:rsidRDefault="00EE6A26" w:rsidP="00EE6A26">
      <w:pPr>
        <w:pStyle w:val="Odsekzoznamu"/>
        <w:keepNext/>
        <w:widowControl w:val="0"/>
        <w:numPr>
          <w:ilvl w:val="0"/>
          <w:numId w:val="23"/>
        </w:numPr>
        <w:tabs>
          <w:tab w:val="left" w:pos="567"/>
        </w:tabs>
        <w:overflowPunct w:val="0"/>
        <w:autoSpaceDE w:val="0"/>
        <w:autoSpaceDN w:val="0"/>
        <w:adjustRightInd w:val="0"/>
        <w:spacing w:before="120" w:after="240"/>
        <w:jc w:val="both"/>
        <w:rPr>
          <w:rFonts w:asciiTheme="majorHAnsi" w:hAnsiTheme="majorHAnsi" w:cstheme="majorHAnsi"/>
          <w:sz w:val="20"/>
          <w:szCs w:val="20"/>
        </w:rPr>
      </w:pPr>
      <w:r w:rsidRPr="00EE6A26">
        <w:rPr>
          <w:rFonts w:asciiTheme="majorHAnsi" w:hAnsiTheme="majorHAnsi" w:cstheme="majorHAnsi"/>
          <w:sz w:val="20"/>
          <w:szCs w:val="20"/>
        </w:rPr>
        <w:t>Zvody bleskozvodu pomocou vodiča FeZn ø8,</w:t>
      </w:r>
    </w:p>
    <w:p w:rsidR="00EE6A26" w:rsidRPr="00EE6A26" w:rsidRDefault="00EE6A26" w:rsidP="00EE6A26">
      <w:pPr>
        <w:pStyle w:val="Odsekzoznamu"/>
        <w:keepNext/>
        <w:widowControl w:val="0"/>
        <w:numPr>
          <w:ilvl w:val="0"/>
          <w:numId w:val="23"/>
        </w:numPr>
        <w:tabs>
          <w:tab w:val="left" w:pos="567"/>
        </w:tabs>
        <w:overflowPunct w:val="0"/>
        <w:autoSpaceDE w:val="0"/>
        <w:autoSpaceDN w:val="0"/>
        <w:adjustRightInd w:val="0"/>
        <w:spacing w:before="120" w:after="240"/>
        <w:jc w:val="both"/>
        <w:rPr>
          <w:rFonts w:asciiTheme="majorHAnsi" w:hAnsiTheme="majorHAnsi" w:cstheme="majorHAnsi"/>
          <w:sz w:val="20"/>
          <w:szCs w:val="20"/>
        </w:rPr>
      </w:pPr>
      <w:r w:rsidRPr="00EE6A26">
        <w:rPr>
          <w:rFonts w:asciiTheme="majorHAnsi" w:hAnsiTheme="majorHAnsi" w:cstheme="majorHAnsi"/>
          <w:sz w:val="20"/>
          <w:szCs w:val="20"/>
        </w:rPr>
        <w:t>Uzemňovacie body pre NN rozvodňu, kotolňu, pomocou pásika FeZn ø10,</w:t>
      </w:r>
    </w:p>
    <w:p w:rsidR="00EE6A26" w:rsidRPr="00EE6A26" w:rsidRDefault="00EE6A26" w:rsidP="00EE6A26">
      <w:pPr>
        <w:pStyle w:val="Odsekzoznamu"/>
        <w:keepNext/>
        <w:widowControl w:val="0"/>
        <w:numPr>
          <w:ilvl w:val="0"/>
          <w:numId w:val="23"/>
        </w:numPr>
        <w:tabs>
          <w:tab w:val="left" w:pos="567"/>
        </w:tabs>
        <w:overflowPunct w:val="0"/>
        <w:autoSpaceDE w:val="0"/>
        <w:autoSpaceDN w:val="0"/>
        <w:adjustRightInd w:val="0"/>
        <w:spacing w:before="120" w:after="240"/>
        <w:jc w:val="both"/>
        <w:rPr>
          <w:rFonts w:asciiTheme="majorHAnsi" w:hAnsiTheme="majorHAnsi" w:cstheme="majorHAnsi"/>
          <w:sz w:val="20"/>
          <w:szCs w:val="20"/>
        </w:rPr>
      </w:pPr>
      <w:r w:rsidRPr="00EE6A26">
        <w:rPr>
          <w:rFonts w:asciiTheme="majorHAnsi" w:hAnsiTheme="majorHAnsi" w:cstheme="majorHAnsi"/>
          <w:sz w:val="20"/>
          <w:szCs w:val="20"/>
        </w:rPr>
        <w:t>Uzemňovacie body technických miestností pomocou vodiča FeZn ø10.</w:t>
      </w:r>
    </w:p>
    <w:p w:rsidR="00EE6A26" w:rsidRPr="00EE6A26" w:rsidRDefault="00EE6A26" w:rsidP="00EE6A26">
      <w:pPr>
        <w:keepNext/>
        <w:spacing w:before="120" w:after="240"/>
        <w:ind w:firstLine="567"/>
        <w:rPr>
          <w:rFonts w:asciiTheme="majorHAnsi" w:hAnsiTheme="majorHAnsi" w:cstheme="majorHAnsi"/>
          <w:sz w:val="20"/>
        </w:rPr>
      </w:pPr>
      <w:r w:rsidRPr="00EE6A26">
        <w:rPr>
          <w:rFonts w:asciiTheme="majorHAnsi" w:hAnsiTheme="majorHAnsi" w:cstheme="majorHAnsi"/>
          <w:sz w:val="20"/>
        </w:rPr>
        <w:t xml:space="preserve">Vo všetkých technických miestnostiach a na vyznačených miestach podľa jednotlivých pôdorysov bude osadená prípojnica ekvipoteciálneho pospojovania podľa predpísanej výšky. Táto prípojnica bude pripojená na uzemnenie pomocou pevného uzemňovacieho bodu. S uzemnením bude pevný uzemňovací bod prepojený vodičom FeZn ø8. Pevný uzemňovací bod a uzemnenie sa na vodič FeZn ø8 pripojí pomocou certifikovaných svoriek resp. zvarov podľa príslušnej STN. Prepojovací vodič FeZn ø8  bude s armatúrou žb stien resp. stĺpov prepojený zvaraním, svorkovaním alebo zviazaním každých cca 1m.  Pre výťahy sa zrealizuje tzv. sieť pre vyrovnanie potenciálu. V mieste výťahových priehlbní sa taktiež vyvedie pripojovací bod do výšky cca 600mm nad podlahou priehlbne. Potom cez svorku sa vodič FeZn ø8 vytiahne  do priehlbne kde sa ukončí na konštrukcii výťahu. Pri križovaní sa pásoviny spoja certifikovanými svorkami podľa skratovej odolnosti. Použité svorky musia byť na to určené a certifikované. Vhodné svorky sú od výrobcu ZIN typ SR02. Všetky spoje zberného a uzemňovacieho rozvodu musia byť opatrené antikoróznym náterom. Pri kontakte pozinkovaného materiálu s medeným, treba použiť olovenú vložku, alebo použiť nerezovú svorku. Hodnota odporu uzemňovacej sústavy pre bleskozvod nesmie presiahnuť 10Ω. Čo je zabezpečené dĺžkou samostatného uzemňovacieho pásika. Hodnotu uzemňovacej sústavy je nutné po realizácií preveriť meraním (tzn. po zrealizovaní základového betónu), ak nespĺňajú požadovanú hodnotu zemného odporu, je potrebné uskutočniť potrebné úpravy na dosiahnutie požadovaného stavu pridaným zemných tyčí. Celé uzemňovacie zariadenie musí byť v súlade s 33 2000-5-54. Pevný uzemňovací bod sa montuje na debnenie z vnútornej strany debnenia. Potom sa pevný </w:t>
      </w:r>
      <w:r w:rsidRPr="00EE6A26">
        <w:rPr>
          <w:rFonts w:asciiTheme="majorHAnsi" w:hAnsiTheme="majorHAnsi" w:cstheme="majorHAnsi"/>
          <w:sz w:val="20"/>
        </w:rPr>
        <w:lastRenderedPageBreak/>
        <w:t>uzemňovací bod pripojí na vodič alebo pásovinu na uzemnenie. Potom sa stena alebo stĺp zaleje betónom po odstránení debnenia na stene zostane pevný uzemňovací bod na ktorý je možné pripojiť svorkovnicu alebo iné kovové zariadenie ktoré je potrebné uzemniť. Namiesto spojovacích svoriek odporúčame zvarovanie. (kvalitnejší spoj). Zvary odporúčame natrieť protikoróznym náterom. Všetky uzemňovacie vodiče a pásoviny FeZn 30x4mm musia byť medzi sebou pevne spojené svorkami alebo zvarom.  Pri pripojení guľatiny FeZn ø8 k pásovine FeZn 30x4 sa odporúča zdvojiť spojenie t.j. použiť dve svorky (napr. SR03). Pri realizácii je potrebné pred zaliatím betónu zrealizovať fotodokumentáciu pre investora. Na podlaží je riešená hlavná uzemňovacia prípojnica označená ako MET, umiestnená v elektrorozvodni (v uzemňovacej krabičke nad omietkou 1801 OBO. Každý rozvádzač bude mať vlastnú ekvipotenciálnu svorkovnicu SEBT, ktorá bude prepojená s hlavnou ekvipotenciálnou prípojnicou objektu pomocou vodičov H07Z-K z.ž. 16m</w:t>
      </w:r>
      <w:r w:rsidRPr="00EE6A26">
        <w:rPr>
          <w:rFonts w:asciiTheme="majorHAnsi" w:hAnsiTheme="majorHAnsi" w:cstheme="majorHAnsi"/>
          <w:sz w:val="20"/>
          <w:vertAlign w:val="superscript"/>
        </w:rPr>
        <w:t>2</w:t>
      </w:r>
      <w:r w:rsidRPr="00EE6A26">
        <w:rPr>
          <w:rFonts w:asciiTheme="majorHAnsi" w:hAnsiTheme="majorHAnsi" w:cstheme="majorHAnsi"/>
          <w:sz w:val="20"/>
        </w:rPr>
        <w:t>. V spoločných priestoroch a CHUC použiť bezhalogénový vodič H07Z-K z.ž. V jednotlivých bytoch použiť vodič H07V-K z.ž.. Každý vodič pripojený na hlavnú uzemňovaciu prípojnicu sa musí dať samostatne odpojiť. Tento spoj musí byť spoľahlivý a rozpojiteľný iba pomocou nástroja. Hlavný ochranný vodič musí byť dimenzovaný tak, aby minimálne zodpovedal prierezu najväčšieho krajného vodiča použitého v inštalácií. Prierez každého ochranného vodiča, ktorý nie je časťou kábla alebo ktorý nie je v spoločnom  kryte s krajným vodičom, nesmie byť menší ako :</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2,5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Cu alebo 16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Al, ak je chránený pred mechanickým poškodením, </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4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Cu alebo 16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Al, ak nie je chránený pred mechanickým poškodením.</w:t>
      </w:r>
    </w:p>
    <w:p w:rsidR="00EE6A26" w:rsidRPr="00EE6A26" w:rsidRDefault="00EE6A26" w:rsidP="00EE6A26">
      <w:pPr>
        <w:spacing w:before="120"/>
        <w:ind w:firstLine="567"/>
        <w:rPr>
          <w:rFonts w:asciiTheme="majorHAnsi" w:hAnsiTheme="majorHAnsi" w:cstheme="majorHAnsi"/>
          <w:sz w:val="20"/>
        </w:rPr>
      </w:pPr>
      <w:r w:rsidRPr="00EE6A26">
        <w:rPr>
          <w:rFonts w:asciiTheme="majorHAnsi" w:hAnsiTheme="majorHAnsi" w:cstheme="majorHAnsi"/>
          <w:sz w:val="20"/>
        </w:rPr>
        <w:t>Ochranné vodiče sa musia vhodným spôsobom chrániť pred mechanickým, chemickým alebo elektrochemickým poškodením, pred účinkami elektrodynamických a termodynamických síl. Každý spoj (napríklad skrutkové spoje, upínacie konektory) medzi ochrannými vodičmi alebo medzi ochranným vodičom a iným zariadením musia zabezpečovať trvanlivé a neprerušované elektrické spojenie a primeranú mechanickú pevnosť a ochranu.</w:t>
      </w:r>
    </w:p>
    <w:p w:rsidR="00EE6A26" w:rsidRPr="00EE6A26" w:rsidRDefault="00EE6A26" w:rsidP="00EE6A26">
      <w:pPr>
        <w:keepNext/>
        <w:spacing w:before="120"/>
        <w:ind w:firstLine="567"/>
        <w:rPr>
          <w:rFonts w:asciiTheme="majorHAnsi" w:hAnsiTheme="majorHAnsi" w:cstheme="majorHAnsi"/>
          <w:sz w:val="20"/>
        </w:rPr>
      </w:pPr>
      <w:r w:rsidRPr="00EE6A26">
        <w:rPr>
          <w:rFonts w:asciiTheme="majorHAnsi" w:hAnsiTheme="majorHAnsi" w:cstheme="majorHAnsi"/>
          <w:sz w:val="20"/>
        </w:rPr>
        <w:t>Na ekvipotenciálnu prípojnicu MET sa vodičmi označenými ako PA s prierezom v zmysle STN 33 2000-5-54 a typizovanými svorkami vodivo pripoja:</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neživé vodivé časti rozvádzača napr. konštrukcia a dvere</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vodivé kovové konštrukcie káblových rozvodov</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vodivé kovové konštrukcie nosnej časti budovy</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hlavné potrubia (VZT, voda, plyn)</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neživé časti kotolne a ostatných technických miestností</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všetky rozvádzače</w:t>
      </w:r>
    </w:p>
    <w:p w:rsidR="00EE6A26" w:rsidRPr="00EE6A26" w:rsidRDefault="00EE6A26" w:rsidP="00EE6A26">
      <w:pPr>
        <w:ind w:firstLine="567"/>
        <w:rPr>
          <w:rFonts w:asciiTheme="majorHAnsi" w:hAnsiTheme="majorHAnsi" w:cstheme="majorHAnsi"/>
          <w:sz w:val="20"/>
        </w:rPr>
      </w:pPr>
      <w:r w:rsidRPr="00EE6A26">
        <w:rPr>
          <w:rFonts w:asciiTheme="majorHAnsi" w:hAnsiTheme="majorHAnsi" w:cstheme="majorHAnsi"/>
          <w:sz w:val="20"/>
        </w:rPr>
        <w:t>Prierezy uzemňovacích vodičov nesmú byť menšie ako 6 mm2 pre meď alebo 50 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(Φ8)  pre oceľ. Ak je na uzemňovač pripojený systém ochrany pred bleskom, prierez uzemňovacieho vodiča musí byť aspoň 16 mm² pre meď (Cu) alebo 50 mm² (Φ 8) pre oceľ.</w:t>
      </w:r>
    </w:p>
    <w:p w:rsidR="00EE6A26" w:rsidRPr="00EE6A26" w:rsidRDefault="00EE6A26" w:rsidP="00EE6A26">
      <w:pPr>
        <w:pStyle w:val="Nadpis3"/>
        <w:keepLines/>
        <w:widowControl w:val="0"/>
        <w:numPr>
          <w:ilvl w:val="2"/>
          <w:numId w:val="15"/>
        </w:numPr>
        <w:tabs>
          <w:tab w:val="left" w:pos="567"/>
          <w:tab w:val="left" w:pos="851"/>
        </w:tabs>
        <w:spacing w:before="200" w:after="120" w:line="276" w:lineRule="auto"/>
        <w:jc w:val="both"/>
        <w:textAlignment w:val="auto"/>
        <w:rPr>
          <w:rFonts w:asciiTheme="majorHAnsi" w:hAnsiTheme="majorHAnsi" w:cstheme="majorHAnsi"/>
        </w:rPr>
      </w:pPr>
      <w:r w:rsidRPr="00EE6A26">
        <w:rPr>
          <w:rFonts w:asciiTheme="majorHAnsi" w:hAnsiTheme="majorHAnsi" w:cstheme="majorHAnsi"/>
        </w:rPr>
        <w:t>DOPLNKOVÉ POSPÁJANIE</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Pre priestory s triedami vonkajších vplyvov AD2, AD3, AD4, AF4 sa použije sa doplnková ochrana doplnkovým pospájaním podľa STN 33 2000-4-41 čl.415.2. Doplnkové pospájanie je navrhnuté v priestore kúpeľne, kuchyne, technickej miestnosti vodičom H07V-K 6 z.ž – nechránený pred mechanickým poškodením (vedený voľne v priestore alebo pod omietkou) podľa STN 33 2000-5-54 čl.543.1.3. Doplnkové pospájanie v spoločných priestoroch a v CHUC je navrhnuté bezhalogénovým vodičom H07Z-K z.ž. Ochranným vodičom pripojiť všetky prístupné nechránené cudzie vodivé časti a všetky neživé vodivé časti upevnených zariadení v miestnosti obsahujúcej kúpaciu a/alebo sprchovaciu vaňu, drez a pod.. Toto miestne doplnkové pospájanie môže byť buď priamo v miestnosti s vaňou alebo sprchou alebo i mimo nej, prednostne v blízkosti bodu vstupu cudzích vodivých častí do takejto miestnosti. Vodiče na takéto miestne ochranné pospájanie musia byť farby zeleno-žltej. Kovové vaňové a umývadlové batérie na teplú a studenú vodu i pokiaľ sú pripojené na plastové potrubie (PPR) alebo plast-hliníkove potrubie (AL-PE) je treba pripojiť na doplnkové ochranné pospájanie, najlepšie prostredníctvom typizovanej svorky ZS4. Vodič ochranného doplnkového pospojovania sa pripojí na ochranný kontakt (PE) zásuvky vodičom Cu s prierezom 2,5mm</w:t>
      </w:r>
      <w:r w:rsidRPr="00EE6A26">
        <w:rPr>
          <w:rFonts w:asciiTheme="majorHAnsi" w:hAnsiTheme="majorHAnsi" w:cstheme="majorHAnsi"/>
          <w:sz w:val="20"/>
          <w:vertAlign w:val="superscript"/>
        </w:rPr>
        <w:t>2</w:t>
      </w:r>
      <w:r w:rsidRPr="00EE6A26">
        <w:rPr>
          <w:rFonts w:asciiTheme="majorHAnsi" w:hAnsiTheme="majorHAnsi" w:cstheme="majorHAnsi"/>
          <w:sz w:val="20"/>
        </w:rPr>
        <w:t>, prípadne vodičom Cu s prierezom 6mm</w:t>
      </w:r>
      <w:r w:rsidRPr="00EE6A26">
        <w:rPr>
          <w:rFonts w:asciiTheme="majorHAnsi" w:hAnsiTheme="majorHAnsi" w:cstheme="majorHAnsi"/>
          <w:sz w:val="20"/>
          <w:vertAlign w:val="superscript"/>
        </w:rPr>
        <w:t>2</w:t>
      </w:r>
      <w:r w:rsidRPr="00EE6A26">
        <w:rPr>
          <w:rFonts w:asciiTheme="majorHAnsi" w:hAnsiTheme="majorHAnsi" w:cstheme="majorHAnsi"/>
          <w:sz w:val="20"/>
        </w:rPr>
        <w:t xml:space="preserve"> na prípojnicu MET.</w:t>
      </w:r>
    </w:p>
    <w:p w:rsidR="00EE6A26" w:rsidRPr="00EE6A26" w:rsidRDefault="00EE6A26" w:rsidP="00165ED7">
      <w:pPr>
        <w:pStyle w:val="Nadpis1"/>
        <w:numPr>
          <w:ilvl w:val="0"/>
          <w:numId w:val="14"/>
        </w:numPr>
      </w:pPr>
      <w:r w:rsidRPr="00EE6A26">
        <w:lastRenderedPageBreak/>
        <w:t>BLESKOZVOD a ekvipotenciálne pospojovanie</w:t>
      </w:r>
    </w:p>
    <w:p w:rsidR="00EE6A26" w:rsidRPr="00EE6A26" w:rsidRDefault="00EE6A26" w:rsidP="00EE6A26">
      <w:pPr>
        <w:pStyle w:val="Odsekzoznamu"/>
        <w:keepNext/>
        <w:keepLines/>
        <w:widowControl w:val="0"/>
        <w:numPr>
          <w:ilvl w:val="0"/>
          <w:numId w:val="15"/>
        </w:numPr>
        <w:tabs>
          <w:tab w:val="left" w:pos="567"/>
        </w:tabs>
        <w:overflowPunct w:val="0"/>
        <w:autoSpaceDE w:val="0"/>
        <w:autoSpaceDN w:val="0"/>
        <w:adjustRightInd w:val="0"/>
        <w:spacing w:before="200" w:after="120" w:line="276" w:lineRule="auto"/>
        <w:contextualSpacing w:val="0"/>
        <w:jc w:val="both"/>
        <w:outlineLvl w:val="1"/>
        <w:rPr>
          <w:rFonts w:asciiTheme="majorHAnsi" w:eastAsiaTheme="majorEastAsia" w:hAnsiTheme="majorHAnsi" w:cstheme="majorHAnsi"/>
          <w:b/>
          <w:bCs/>
          <w:caps/>
          <w:vanish/>
          <w:color w:val="000000" w:themeColor="text1"/>
          <w:sz w:val="20"/>
          <w:szCs w:val="20"/>
          <w:lang w:eastAsia="en-US"/>
        </w:rPr>
      </w:pP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OCHRANA PRED BLESKOM - VONKAJŠIA</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 xml:space="preserve">Predmetom projektu je vybudovať novú ochranu pred bleskom v zmysle súboru noriem ochrany pred bleskom STN 623 05. Objekt bol na základe normy STN EN 62305-2 a v nej uvedených pravidiel na posudzovanie rizík zaradený do úrovne ochrany pred bleskom(LPL) triedy III. Zvolený  LPL stanovuje systém ochrany pred bleskom (LPS) stupňa III, ktorý je bližšie špecifikovaný v tab. 2 STN EN 623 05-3. </w:t>
      </w:r>
    </w:p>
    <w:p w:rsidR="00EE6A26" w:rsidRPr="00EE6A26" w:rsidRDefault="00EE6A26" w:rsidP="00EE6A26">
      <w:pPr>
        <w:spacing w:before="120" w:after="240"/>
        <w:ind w:firstLine="567"/>
        <w:rPr>
          <w:rFonts w:asciiTheme="majorHAnsi" w:hAnsiTheme="majorHAnsi" w:cstheme="majorHAnsi"/>
          <w:b/>
          <w:sz w:val="20"/>
        </w:rPr>
      </w:pPr>
      <w:r w:rsidRPr="00EE6A26">
        <w:rPr>
          <w:rFonts w:asciiTheme="majorHAnsi" w:hAnsiTheme="majorHAnsi" w:cstheme="majorHAnsi"/>
          <w:b/>
          <w:sz w:val="20"/>
        </w:rPr>
        <w:t>Zhotovenie vonkajšej ochrany pred bleskom sa musí riadiť v zmysle platnej normy STN EN 623 05-3 Ochrana stavieb a ohrozenie života.</w:t>
      </w:r>
    </w:p>
    <w:p w:rsidR="00EE6A26" w:rsidRPr="00EE6A26" w:rsidRDefault="00EE6A26" w:rsidP="00EE6A26">
      <w:pPr>
        <w:keepNext/>
        <w:tabs>
          <w:tab w:val="left" w:pos="5670"/>
        </w:tabs>
        <w:spacing w:before="120" w:after="240"/>
        <w:rPr>
          <w:rFonts w:asciiTheme="majorHAnsi" w:hAnsiTheme="majorHAnsi" w:cstheme="majorHAnsi"/>
          <w:bCs/>
          <w:i/>
          <w:sz w:val="20"/>
        </w:rPr>
      </w:pPr>
      <w:r w:rsidRPr="00EE6A26">
        <w:rPr>
          <w:rFonts w:asciiTheme="majorHAnsi" w:hAnsiTheme="majorHAnsi" w:cstheme="majorHAnsi"/>
          <w:sz w:val="20"/>
        </w:rPr>
        <w:t>Určenie počtu zvodov pre navrhovaný objekt:</w:t>
      </w:r>
      <w:r w:rsidRPr="00EE6A26">
        <w:rPr>
          <w:rFonts w:asciiTheme="majorHAnsi" w:hAnsiTheme="majorHAnsi" w:cstheme="majorHAnsi"/>
          <w:sz w:val="20"/>
        </w:rPr>
        <w:tab/>
      </w:r>
      <m:oMath>
        <m:sSub>
          <m:sSubPr>
            <m:ctrlPr>
              <w:rPr>
                <w:rFonts w:ascii="Cambria Math" w:hAnsi="Cambria Math" w:cstheme="majorHAnsi"/>
                <w:bCs/>
                <w:i/>
                <w:sz w:val="20"/>
              </w:rPr>
            </m:ctrlPr>
          </m:sSubPr>
          <m:e>
            <m:r>
              <m:rPr>
                <m:nor/>
              </m:rPr>
              <w:rPr>
                <w:rFonts w:asciiTheme="majorHAnsi" w:hAnsiTheme="majorHAnsi" w:cstheme="majorHAnsi"/>
                <w:i/>
                <w:sz w:val="20"/>
              </w:rPr>
              <m:t>n</m:t>
            </m:r>
          </m:e>
          <m:sub>
            <m:r>
              <m:rPr>
                <m:nor/>
              </m:rPr>
              <w:rPr>
                <w:rFonts w:asciiTheme="majorHAnsi" w:hAnsiTheme="majorHAnsi" w:cstheme="majorHAnsi"/>
                <w:sz w:val="20"/>
              </w:rPr>
              <m:t>z</m:t>
            </m:r>
          </m:sub>
        </m:sSub>
        <m:r>
          <m:rPr>
            <m:nor/>
          </m:rPr>
          <w:rPr>
            <w:rFonts w:asciiTheme="majorHAnsi" w:hAnsiTheme="majorHAnsi" w:cstheme="majorHAnsi"/>
            <w:sz w:val="20"/>
          </w:rPr>
          <m:t>=</m:t>
        </m:r>
        <m:f>
          <m:fPr>
            <m:ctrlPr>
              <w:rPr>
                <w:rFonts w:ascii="Cambria Math" w:hAnsi="Cambria Math" w:cstheme="majorHAnsi"/>
                <w:bCs/>
                <w:i/>
                <w:sz w:val="20"/>
              </w:rPr>
            </m:ctrlPr>
          </m:fPr>
          <m:num>
            <m:sSub>
              <m:sSubPr>
                <m:ctrlPr>
                  <w:rPr>
                    <w:rFonts w:ascii="Cambria Math" w:hAnsi="Cambria Math" w:cstheme="majorHAnsi"/>
                    <w:bCs/>
                    <w:i/>
                    <w:sz w:val="20"/>
                  </w:rPr>
                </m:ctrlPr>
              </m:sSubPr>
              <m:e>
                <m:r>
                  <m:rPr>
                    <m:nor/>
                  </m:rPr>
                  <w:rPr>
                    <w:rFonts w:asciiTheme="majorHAnsi" w:hAnsiTheme="majorHAnsi" w:cstheme="majorHAnsi"/>
                    <w:i/>
                    <w:sz w:val="20"/>
                  </w:rPr>
                  <m:t>O</m:t>
                </m:r>
              </m:e>
              <m:sub>
                <m:r>
                  <m:rPr>
                    <m:nor/>
                  </m:rPr>
                  <w:rPr>
                    <w:rFonts w:asciiTheme="majorHAnsi" w:hAnsiTheme="majorHAnsi" w:cstheme="majorHAnsi"/>
                    <w:sz w:val="20"/>
                  </w:rPr>
                  <m:t>S</m:t>
                </m:r>
              </m:sub>
            </m:sSub>
          </m:num>
          <m:den>
            <m:sSub>
              <m:sSubPr>
                <m:ctrlPr>
                  <w:rPr>
                    <w:rFonts w:ascii="Cambria Math" w:hAnsi="Cambria Math" w:cstheme="majorHAnsi"/>
                    <w:bCs/>
                    <w:i/>
                    <w:sz w:val="20"/>
                  </w:rPr>
                </m:ctrlPr>
              </m:sSubPr>
              <m:e>
                <m:r>
                  <m:rPr>
                    <m:nor/>
                  </m:rPr>
                  <w:rPr>
                    <w:rFonts w:asciiTheme="majorHAnsi" w:hAnsiTheme="majorHAnsi" w:cstheme="majorHAnsi"/>
                    <w:i/>
                    <w:sz w:val="20"/>
                  </w:rPr>
                  <m:t>l</m:t>
                </m:r>
              </m:e>
              <m:sub>
                <m:r>
                  <m:rPr>
                    <m:nor/>
                  </m:rPr>
                  <w:rPr>
                    <w:rFonts w:asciiTheme="majorHAnsi" w:hAnsiTheme="majorHAnsi" w:cstheme="majorHAnsi"/>
                    <w:sz w:val="20"/>
                  </w:rPr>
                  <m:t>z</m:t>
                </m:r>
              </m:sub>
            </m:sSub>
          </m:den>
        </m:f>
      </m:oMath>
    </w:p>
    <w:p w:rsidR="00EE6A26" w:rsidRPr="00EE6A26" w:rsidRDefault="00EE6A26" w:rsidP="00EE6A26">
      <w:pPr>
        <w:rPr>
          <w:rFonts w:asciiTheme="majorHAnsi" w:hAnsiTheme="majorHAnsi" w:cstheme="majorHAnsi"/>
          <w:bCs/>
          <w:i/>
          <w:sz w:val="20"/>
        </w:rPr>
      </w:pPr>
      <w:r w:rsidRPr="00EE6A26">
        <w:rPr>
          <w:rFonts w:asciiTheme="majorHAnsi" w:hAnsiTheme="majorHAnsi" w:cstheme="majorHAnsi"/>
          <w:sz w:val="20"/>
        </w:rPr>
        <w:t>kde:</w:t>
      </w:r>
      <w:r w:rsidRPr="00EE6A26">
        <w:rPr>
          <w:rFonts w:asciiTheme="majorHAnsi" w:hAnsiTheme="majorHAnsi" w:cstheme="majorHAnsi"/>
          <w:sz w:val="20"/>
        </w:rPr>
        <w:tab/>
      </w:r>
      <w:r w:rsidRPr="00EE6A26">
        <w:rPr>
          <w:rFonts w:asciiTheme="majorHAnsi" w:hAnsiTheme="majorHAnsi" w:cstheme="majorHAnsi"/>
          <w:i/>
          <w:sz w:val="20"/>
        </w:rPr>
        <w:t>n</w:t>
      </w:r>
      <w:r w:rsidRPr="00EE6A26">
        <w:rPr>
          <w:rFonts w:asciiTheme="majorHAnsi" w:hAnsiTheme="majorHAnsi" w:cstheme="majorHAnsi"/>
          <w:sz w:val="20"/>
          <w:vertAlign w:val="subscript"/>
        </w:rPr>
        <w:t>z</w:t>
      </w:r>
      <w:r w:rsidRPr="00EE6A26">
        <w:rPr>
          <w:rFonts w:asciiTheme="majorHAnsi" w:hAnsiTheme="majorHAnsi" w:cstheme="majorHAnsi"/>
          <w:sz w:val="20"/>
        </w:rPr>
        <w:t xml:space="preserve"> - počet zvodov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r>
      <w:r w:rsidRPr="00EE6A26">
        <w:rPr>
          <w:rFonts w:asciiTheme="majorHAnsi" w:hAnsiTheme="majorHAnsi" w:cstheme="majorHAnsi"/>
          <w:i/>
          <w:sz w:val="20"/>
        </w:rPr>
        <w:t>O</w:t>
      </w:r>
      <w:r w:rsidRPr="00EE6A26">
        <w:rPr>
          <w:rFonts w:asciiTheme="majorHAnsi" w:hAnsiTheme="majorHAnsi" w:cstheme="majorHAnsi"/>
          <w:sz w:val="20"/>
        </w:rPr>
        <w:t>s - obvod strechy chráneného objektu (m)</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r>
      <w:r w:rsidRPr="00EE6A26">
        <w:rPr>
          <w:rFonts w:asciiTheme="majorHAnsi" w:hAnsiTheme="majorHAnsi" w:cstheme="majorHAnsi"/>
          <w:i/>
          <w:sz w:val="20"/>
        </w:rPr>
        <w:t>l</w:t>
      </w:r>
      <w:r w:rsidRPr="00EE6A26">
        <w:rPr>
          <w:rFonts w:asciiTheme="majorHAnsi" w:hAnsiTheme="majorHAnsi" w:cstheme="majorHAnsi"/>
          <w:sz w:val="20"/>
          <w:vertAlign w:val="subscript"/>
        </w:rPr>
        <w:t>z</w:t>
      </w:r>
      <w:r w:rsidRPr="00EE6A26">
        <w:rPr>
          <w:rFonts w:asciiTheme="majorHAnsi" w:hAnsiTheme="majorHAnsi" w:cstheme="majorHAnsi"/>
          <w:sz w:val="20"/>
        </w:rPr>
        <w:t xml:space="preserve"> - vzdialenosť zvodov podľa vybranej triedy LPS (m).</w:t>
      </w:r>
    </w:p>
    <w:p w:rsidR="00EE6A26" w:rsidRPr="00EE6A26" w:rsidRDefault="00EE6A26" w:rsidP="00EE6A26">
      <w:pPr>
        <w:spacing w:before="240"/>
        <w:rPr>
          <w:rFonts w:asciiTheme="majorHAnsi" w:hAnsiTheme="majorHAnsi" w:cstheme="majorHAnsi"/>
          <w:sz w:val="20"/>
        </w:rPr>
      </w:pPr>
      <w:r w:rsidRPr="00EE6A26">
        <w:rPr>
          <w:rFonts w:asciiTheme="majorHAnsi" w:hAnsiTheme="majorHAnsi" w:cstheme="majorHAnsi"/>
          <w:sz w:val="20"/>
        </w:rPr>
        <w:tab/>
        <w:t>Zvody budú umiestnené po obvode budovy podľa priloženej výkresovej dokumentácie (Systém ochrany pred bleskom a uzemnenie). Navrhnutý je pasívny bleskozvod je tvorený mrežovou sústavou a doplnený zachytávacími tyčami.  Bezpečná vzdialenosť pri zachytávači je vypočítaná pomocou  STN EN 62305 3 odst. 6.3.  Zvody musia byť vedené čo najbližšie k okraju strechy. Zvody sa majú umiestňovať v max. vzdialenosti 15m od seba resp. ak je to možné na každý okraj stavby.</w:t>
      </w:r>
    </w:p>
    <w:p w:rsidR="00EE6A26" w:rsidRPr="00EE6A26" w:rsidRDefault="00EE6A26" w:rsidP="00EE6A26">
      <w:pPr>
        <w:spacing w:before="120" w:after="240"/>
        <w:ind w:firstLine="567"/>
        <w:rPr>
          <w:rFonts w:asciiTheme="majorHAnsi" w:hAnsiTheme="majorHAnsi" w:cstheme="majorHAnsi"/>
          <w:b/>
          <w:sz w:val="20"/>
        </w:rPr>
      </w:pPr>
      <w:r w:rsidRPr="00EE6A26">
        <w:rPr>
          <w:rFonts w:asciiTheme="majorHAnsi" w:hAnsiTheme="majorHAnsi" w:cstheme="majorHAnsi"/>
          <w:sz w:val="20"/>
        </w:rPr>
        <w:t xml:space="preserve">Zachytávače tvoria strojené zachytávače z FeZn drôtu s min. prierezom 50mm² a min. Φ8mm, zo záchytných tyčí JP s uvedenou výškou vo výkresovej dokumentácií a náhodných zachytávačov uvedených vo výkresovej dokumentácií a spĺňajúcich parametre STN EN 62305-3. Zvody budú po streche vedené na podperách PV21. Vodiče sa pripoja na zvody ktoré sú ukončené v krabiciach v atike na najvyššej časti strechy pomocou svorky SS . Pri realizácii je potrebné pred zaliatím betónu zrealizovať fotodokumentáciu pre investora. Pri prechode zachytávacej sústavy LPS v blízkosti alebo po povrchu horľavých krytín je nutné dodržať izolačnú vzdialenosť 100mm. Ľahko horľavé súčasti chránenej stavby nesmú byť v priamom kontakte so súčasťami bleskozvodu a nesmú sa nachádzať priamo pod akoukoľvek kovovou krytinou, ktorá sa môže pri údere bleskom prepáliť. Tieto podmienky platia aj pre menej horľavé materiály ako sú napr. dosky. Kovové plechy strešnej krytiny je nutné vodivo pospájať s nosnou konštrukciou haly a so strojenou zachytávacou sústavou tak, aby nedochádzalo k nedovolenému otepľovaniu a preskokom. Zvody k uzemňovacej sústave sú tvorené z FeZn drôtu s min. prierezom 80mm² a min. Φ10mm. Zvody nesmú byť uložené v odkvapoch a na odkvapových rúrach ani v prípade, ak sú pokryté izolačným materiálom. Odkvapové rúry je nutné v spodnej časti pomocou vhodnej svorky vodivo prepojiť na uzemňovaciu sústavu. </w:t>
      </w:r>
      <w:r w:rsidRPr="00EE6A26">
        <w:rPr>
          <w:rFonts w:asciiTheme="majorHAnsi" w:hAnsiTheme="majorHAnsi" w:cstheme="majorHAnsi"/>
          <w:b/>
          <w:sz w:val="20"/>
        </w:rPr>
        <w:t xml:space="preserve">Potrubia s ľahko horľavým alebo výbušným obsahom nie je dovolené považovať za náhodné zachytávače, ak nie je tesnenie prírub kovové alebo nie sú príruby inak vodivo spojené! </w:t>
      </w:r>
      <w:r w:rsidRPr="00EE6A26">
        <w:rPr>
          <w:rFonts w:asciiTheme="majorHAnsi" w:hAnsiTheme="majorHAnsi" w:cstheme="majorHAnsi"/>
          <w:sz w:val="20"/>
        </w:rPr>
        <w:t xml:space="preserve">Podpery vedenia použiť v súlade s STN – podľa druhu podkladu. V prípade skrytých zvodov použiť v stene izolovaný drôt Al/Mg/Si/PVC Φ 8 mm a uchytiť podperou vedenia do hmoždiny. Skúšobnú svorku umiestniť na každom pripojení zvodu k uzemňovacej sústave okrem náhodných zvodov, ktoré sú spojené so základovým uzemňovačom. Skúšobné svorky potom umiestniť do plastových resp. nerezových skriniek napríklad  DEHN MK, vo výške približne 0,5 m od terénu. Pre účely merania sa musí svorka dať otvoriť pomocou náradia. Pri bežnom používaní musí byť uzavretá. Obvodový základový uzemňovač (usporiadanie typu B) sa má prednostne uložiť v hĺbke minimálne 0,5 m v základovom betóne alebo vo vzdialenosti cca 1 m od vonkajšej steny objektu v zemi hĺbke 0,8m. Ak je na stavbe existujúca uzemňovacia sústava, ktorá sa môže pripojiť ak spĺňa parametre podľa STN EN 623 05 potom odpor uzemňovacej sústavy Rz nesmie byť väčší ako 10Ω. Uzemňovaciu sústavu urobiť základovým zemničom – pásom FeZn 30x4mm. Uzemňovací vodič – drôt FeZn Φ 10 mm, zo zemniča vyústiť v miestach umiestnenia skúšobných svoriek pre zvody bleskozvodu aj v mieste skúšobnej svorky pre pripojenie MET – uzemnenia ochranného pospájania v objekte. Pre uzemnenie ochranného pospájania v objekte použiť samostatnú skúšobnú svorku. V mieste vyústenia uzemňovacieho vodiča zo zeme na povrch, tento chrániť proti korózií vhodným trvanlivým náterom na báze asfaltu a to min. 10 cm v betóne a 20 cm mimo betón. Všetky spoje v zemi robiť pomocou 2 ks svoriek – pre jeden spoj a chrániť ich proti  vlhkosti a korózií odolným náterom na báze asfaltu. Odpor uzemnenia nemá byť vyšší ako 10 Ω (meraný pri nízkej frekvencií). Zachytávacia sústava a zvody sa musia prichytiť tak pevne, aby nedošlo elektrodynamickými alebo mimoriadnymi mechanickými silami (napr. kývaním, zosuvom snehu, teplotnou </w:t>
      </w:r>
      <w:r w:rsidRPr="00EE6A26">
        <w:rPr>
          <w:rFonts w:asciiTheme="majorHAnsi" w:hAnsiTheme="majorHAnsi" w:cstheme="majorHAnsi"/>
          <w:sz w:val="20"/>
        </w:rPr>
        <w:lastRenderedPageBreak/>
        <w:t>rozťažnosťou atď.) k zlomeniu alebo uvoľneniu vodičov. Montáž prevádzku a údržbu zariadení je potrebné prevádzať podľa pokynov výrobcov. Vykonané práce a použitý materiál musia vyhovovať požiadavkám STN a požiadavkám výrobcov el. zariadení. El. zariadenia musia mať certifikát preukázania zhody podľa zákona č. 264/1999 Z.z., ktorým sa potvrdzuje zhoda uvedených vlastností správnymi predpismi, technickými normami a dokumentmi: bezpečnosť obsluhy, elektrická a požiarna bezpečnosť, funkčná spôsobilosť, EMC a hygienická nezávadnosť, rozmery, mechanická pevnosť a stabilita.</w:t>
      </w:r>
    </w:p>
    <w:p w:rsidR="00EE6A26" w:rsidRPr="00EE6A26" w:rsidRDefault="00EE6A26" w:rsidP="00EE6A26">
      <w:pPr>
        <w:pStyle w:val="Nadpis2"/>
        <w:keepLines/>
        <w:widowControl w:val="0"/>
        <w:numPr>
          <w:ilvl w:val="1"/>
          <w:numId w:val="15"/>
        </w:numPr>
        <w:tabs>
          <w:tab w:val="left" w:pos="567"/>
        </w:tabs>
        <w:spacing w:before="200" w:after="0"/>
        <w:jc w:val="both"/>
        <w:textAlignment w:val="auto"/>
        <w:rPr>
          <w:rFonts w:asciiTheme="majorHAnsi" w:hAnsiTheme="majorHAnsi" w:cstheme="majorHAnsi"/>
          <w:szCs w:val="20"/>
        </w:rPr>
      </w:pPr>
      <w:r w:rsidRPr="00EE6A26">
        <w:rPr>
          <w:rFonts w:asciiTheme="majorHAnsi" w:hAnsiTheme="majorHAnsi" w:cstheme="majorHAnsi"/>
          <w:szCs w:val="20"/>
        </w:rPr>
        <w:t>VONKAJŠIE VPLYVY</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ab/>
        <w:t>Prostredie pre jednotlivé priestory je popísané v prílohe č.1 - v protokole o určení vonkajších vplyvov.</w:t>
      </w:r>
    </w:p>
    <w:p w:rsidR="00EE6A26" w:rsidRPr="00EE6A26" w:rsidRDefault="00EE6A26" w:rsidP="00EE6A26">
      <w:pPr>
        <w:pStyle w:val="Nadpis2"/>
        <w:keepLines/>
        <w:widowControl w:val="0"/>
        <w:numPr>
          <w:ilvl w:val="1"/>
          <w:numId w:val="15"/>
        </w:numPr>
        <w:tabs>
          <w:tab w:val="left" w:pos="567"/>
        </w:tabs>
        <w:spacing w:before="200" w:after="0"/>
        <w:jc w:val="both"/>
        <w:textAlignment w:val="auto"/>
        <w:rPr>
          <w:rFonts w:asciiTheme="majorHAnsi" w:hAnsiTheme="majorHAnsi" w:cstheme="majorHAnsi"/>
          <w:szCs w:val="20"/>
        </w:rPr>
      </w:pPr>
      <w:r w:rsidRPr="00EE6A26">
        <w:rPr>
          <w:rFonts w:asciiTheme="majorHAnsi" w:hAnsiTheme="majorHAnsi" w:cstheme="majorHAnsi"/>
          <w:szCs w:val="20"/>
        </w:rPr>
        <w:t>ekvipotenciálne pospojovanie</w:t>
      </w:r>
    </w:p>
    <w:p w:rsidR="00EE6A26" w:rsidRPr="00EE6A26" w:rsidRDefault="00EE6A26" w:rsidP="00EE6A26">
      <w:pPr>
        <w:rPr>
          <w:rFonts w:asciiTheme="majorHAnsi" w:hAnsiTheme="majorHAnsi" w:cstheme="majorHAnsi"/>
          <w:sz w:val="20"/>
        </w:rPr>
      </w:pPr>
    </w:p>
    <w:p w:rsidR="00EE6A26" w:rsidRPr="00EE6A26" w:rsidRDefault="00EE6A26" w:rsidP="00EE6A26">
      <w:pPr>
        <w:ind w:firstLine="708"/>
        <w:rPr>
          <w:rFonts w:asciiTheme="majorHAnsi" w:hAnsiTheme="majorHAnsi" w:cstheme="majorHAnsi"/>
          <w:sz w:val="20"/>
        </w:rPr>
      </w:pPr>
      <w:r w:rsidRPr="00EE6A26">
        <w:rPr>
          <w:rFonts w:asciiTheme="majorHAnsi" w:hAnsiTheme="majorHAnsi" w:cstheme="majorHAnsi"/>
          <w:sz w:val="20"/>
        </w:rPr>
        <w:t>Ekvipotenciálne pospojovanie (EP) stavby bude zrealizované pomocou guľatiny FeZn ø8 uloženej v žb doske žb stenách a žb stĺpoch ako aj pomocou armovania stavby. Pri realizácii je potrebné zdokumentovať kompletné elektromagnetické pospojovanie stavby, je potrebné zrealizovať meranie medzi vrchným a spodným dielcom pri prechode z jedného na 2 poschodie. Prechodový odpor nesmie byť väčší ako 0,2 ohmu na dĺžku vodiča. FeZn ø8 sa použije preto, aby nedošlo k zámene ako pri prútoch armatúry. Spoje sa budú realizovať certifikovanými svorkami (svorky zabezpečia nižšie náklady a rýchlejšiu realizáciu oproti zváraniu). Na vyznačených miestach sa na EP pripojí uzemňovací bod podľa predpísaných výšok. Uzemňovací bod slúži na pripojenie el. zariadení a všetkých vodivých neživých zariadení, hlavných trás, technológií a nosných konštrukcií budovy. Uzemňovací bod sa uchytí na debnenie aby po odstránení debnenia bol prístupný pre ďalšie použitie. Uzemňovací bod sa na EP pripojí pomocou certifikovaných svoriek.</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Križovanie a spájanie guľatiny bude zrealizované svorkami. Guľatina bude prichytená na armatúru každé cca 1 meter. Rúry pre médiá ktoré vstupujú do objektu (plyn, voda, kanál) musia byť pripojené na uzemnenie budovy čo najbližšie k prechodu do budovy. Ekvipotenciálne pospojovanie bude slúžiť ako zvody bleskozvodu ako uzemnenie všetkých zariadení a kovových neživých častí a ako ochrana proti elektromagnetickým účinkom ktoré vznikajú pri búrkach a pri zásahu blesku do budovy.</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Na EP sa môže použiť materiál v ktorom nedochádza ku korózií pri styku s betónom (je možné použiť Fe armatúru, nerez, odporúčame FeZn ). Nesmú sa použiť hliníkové vodiče. Všetky spoje v zemi robiť pomocou 2 ks svoriek – pre jeden spoj a chrániť ich proti  vlhkosti a korózií odolným náterom na báze asfaltu. Odpor uzemnenia nemá byť vyšší ako 10 Ω (meraný pri nízkej frekvencií). Zachytávacia sústava a zvody sa musia prichytiť tak pevne, aby nedošlo elektrodynamickými alebo mimoriadnymi mechanickými silami (napr. kývaním, zosuvom snehu, teplotnou rozťažnosťou atď.) k zlomeniu alebo uvoľneniu vodičov. Montáž prevádzku a údržbu zariadení je potrebné prevádzať podľa pokynov výrobcov. Vykonané práce a použitý materiál musia vyhovovať požiadavkám STN a požiadavkám výrobcov el. zariadení. El. zariadenia musia mať certifikát preukázania zhody podľa zákona č. 264/1999 Z.z., ktorým sa potvrdzuje zhoda uvedených vlastností správnymi predpismi, technickými normami a dokumentmi: bezpečnosť obsluhy, elektrická a požiarna bezpečnosť, funkčná spôsobilosť, EMC a hygienická nezávadnosť, rozmery, mechanická pevnosť a stabilita.</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OCHRANA PRED BLESKOM – VNÚTORNÁ</w:t>
      </w:r>
    </w:p>
    <w:p w:rsidR="00EE6A26" w:rsidRPr="00EE6A26" w:rsidRDefault="00EE6A26" w:rsidP="00EE6A26">
      <w:pPr>
        <w:keepNext/>
        <w:spacing w:before="120"/>
        <w:ind w:firstLine="567"/>
        <w:rPr>
          <w:rFonts w:asciiTheme="majorHAnsi" w:hAnsiTheme="majorHAnsi" w:cstheme="majorHAnsi"/>
          <w:sz w:val="20"/>
        </w:rPr>
      </w:pPr>
      <w:r w:rsidRPr="00EE6A26">
        <w:rPr>
          <w:rFonts w:asciiTheme="majorHAnsi" w:hAnsiTheme="majorHAnsi" w:cstheme="majorHAnsi"/>
          <w:sz w:val="20"/>
        </w:rPr>
        <w:t>Pre ekvipotenciálne pospájanie vnútorného LPS treba zapojiť:</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kovové časti stavby;</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kovové inštalácie;</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vnútorné systémy;</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vonkajšie vodivé časti a vedenie pripojené ku stavbe.</w:t>
      </w:r>
    </w:p>
    <w:p w:rsidR="00EE6A26" w:rsidRPr="00EE6A26" w:rsidRDefault="00EE6A26" w:rsidP="00EE6A26">
      <w:pPr>
        <w:keepNext/>
        <w:spacing w:before="120"/>
        <w:ind w:firstLine="567"/>
        <w:rPr>
          <w:rFonts w:asciiTheme="majorHAnsi" w:hAnsiTheme="majorHAnsi" w:cstheme="majorHAnsi"/>
          <w:sz w:val="20"/>
        </w:rPr>
      </w:pPr>
      <w:r w:rsidRPr="00EE6A26">
        <w:rPr>
          <w:rFonts w:asciiTheme="majorHAnsi" w:hAnsiTheme="majorHAnsi" w:cstheme="majorHAnsi"/>
          <w:sz w:val="20"/>
        </w:rPr>
        <w:t>Vzájomné spojenie uskutočniť:</w:t>
      </w:r>
    </w:p>
    <w:p w:rsidR="00EE6A26" w:rsidRPr="00EE6A26" w:rsidRDefault="00EE6A26" w:rsidP="00EE6A26">
      <w:pPr>
        <w:keepNext/>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vodičom vyrovnania potenciálov, ak sa nedosiahne elektricky vodivé spojenie náhodným pospájaním;</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prepäťovými ochrannými zariadeniami, kde nie je možné urobiť priame pripojenie vodičov vyrovnania potenciálov.</w:t>
      </w:r>
    </w:p>
    <w:p w:rsidR="00EE6A26" w:rsidRPr="00EE6A26" w:rsidRDefault="00EE6A26" w:rsidP="00EE6A26">
      <w:pPr>
        <w:keepNext/>
        <w:spacing w:before="120" w:after="240"/>
        <w:ind w:firstLine="567"/>
        <w:rPr>
          <w:rFonts w:asciiTheme="majorHAnsi" w:hAnsiTheme="majorHAnsi" w:cstheme="majorHAnsi"/>
          <w:sz w:val="20"/>
        </w:rPr>
      </w:pPr>
      <w:r w:rsidRPr="00EE6A26">
        <w:rPr>
          <w:rFonts w:asciiTheme="majorHAnsi" w:hAnsiTheme="majorHAnsi" w:cstheme="majorHAnsi"/>
          <w:sz w:val="20"/>
        </w:rPr>
        <w:t>Pri vonkajšom LPS, sa ekvipotenciálne pospájanie proti blesku musí urobiť nasledujúcimi spôsobmi:</w:t>
      </w:r>
    </w:p>
    <w:p w:rsidR="00EE6A26" w:rsidRPr="00EE6A26" w:rsidRDefault="00EE6A26" w:rsidP="00EE6A26">
      <w:pPr>
        <w:spacing w:before="120" w:after="120"/>
        <w:rPr>
          <w:rFonts w:asciiTheme="majorHAnsi" w:hAnsiTheme="majorHAnsi" w:cstheme="majorHAnsi"/>
          <w:sz w:val="20"/>
        </w:rPr>
      </w:pPr>
      <w:r w:rsidRPr="00EE6A26">
        <w:rPr>
          <w:rFonts w:asciiTheme="majorHAnsi" w:hAnsiTheme="majorHAnsi" w:cstheme="majorHAnsi"/>
          <w:sz w:val="20"/>
        </w:rPr>
        <w:t>1.) v suteréne alebo v úrovni terénu. Vodiče vyrovnania potenciálu sa musia pripojiť k prípojnici vyrovnania potenciálov, ktorá je konštruovaná a inštalovaná tak, aby bola ľahko prístupná s cieľom odbornej prehliadky a skúšky. Prípojnice vyrovnania potenciálov sa musia spojiť s uzemňovacou sústavou.</w:t>
      </w:r>
    </w:p>
    <w:p w:rsidR="00EE6A26" w:rsidRPr="00EE6A26" w:rsidRDefault="00EE6A26" w:rsidP="00EE6A26">
      <w:pPr>
        <w:spacing w:before="120" w:after="120"/>
        <w:rPr>
          <w:rFonts w:asciiTheme="majorHAnsi" w:hAnsiTheme="majorHAnsi" w:cstheme="majorHAnsi"/>
          <w:sz w:val="20"/>
        </w:rPr>
      </w:pPr>
      <w:r w:rsidRPr="00EE6A26">
        <w:rPr>
          <w:rFonts w:asciiTheme="majorHAnsi" w:hAnsiTheme="majorHAnsi" w:cstheme="majorHAnsi"/>
          <w:sz w:val="20"/>
        </w:rPr>
        <w:lastRenderedPageBreak/>
        <w:t>2.) ak nie sú splnené požiadavky na izoláciu tak ekvipotenciálne pospájanie proti blesku sa musí urobiť pokiaľ možno čo najkratším a najpriamejším spôsobom.</w:t>
      </w:r>
    </w:p>
    <w:p w:rsidR="00EE6A26" w:rsidRPr="00EE6A26" w:rsidRDefault="00EE6A26" w:rsidP="00EE6A26">
      <w:pPr>
        <w:spacing w:before="120" w:after="120"/>
        <w:ind w:firstLine="709"/>
        <w:rPr>
          <w:rFonts w:asciiTheme="majorHAnsi" w:hAnsiTheme="majorHAnsi" w:cstheme="majorHAnsi"/>
          <w:sz w:val="20"/>
        </w:rPr>
      </w:pPr>
      <w:r w:rsidRPr="00EE6A26">
        <w:rPr>
          <w:rFonts w:asciiTheme="majorHAnsi" w:hAnsiTheme="majorHAnsi" w:cstheme="majorHAnsi"/>
          <w:sz w:val="20"/>
        </w:rPr>
        <w:t>Minimálne hodnoty prierezov vodičov vyrovnania potenciálov spájajúcich rôzne prípojnice vyrovnania potenciálov a vodičov spájajúcich prípojnice vyrovnania potenciálov s uzemňovacou sústavou: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8"/>
        <w:gridCol w:w="3037"/>
        <w:gridCol w:w="3017"/>
      </w:tblGrid>
      <w:tr w:rsidR="00EE6A26" w:rsidRPr="00EE6A26" w:rsidTr="00A30F65">
        <w:trPr>
          <w:trHeight w:val="450"/>
        </w:trPr>
        <w:tc>
          <w:tcPr>
            <w:tcW w:w="3398"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sz w:val="20"/>
              </w:rPr>
            </w:pPr>
            <w:r w:rsidRPr="00EE6A26">
              <w:rPr>
                <w:rFonts w:asciiTheme="majorHAnsi" w:hAnsiTheme="majorHAnsi" w:cstheme="majorHAnsi"/>
                <w:b/>
                <w:sz w:val="20"/>
              </w:rPr>
              <w:t>Trieda LPS</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b/>
                <w:sz w:val="20"/>
              </w:rPr>
              <w:t>Materiál</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sz w:val="20"/>
              </w:rPr>
            </w:pPr>
            <w:r w:rsidRPr="00EE6A26">
              <w:rPr>
                <w:rFonts w:asciiTheme="majorHAnsi" w:hAnsiTheme="majorHAnsi" w:cstheme="majorHAnsi"/>
                <w:b/>
                <w:sz w:val="20"/>
              </w:rPr>
              <w:t>Prierez (mm</w:t>
            </w:r>
            <w:r w:rsidRPr="00EE6A26">
              <w:rPr>
                <w:rFonts w:asciiTheme="majorHAnsi" w:hAnsiTheme="majorHAnsi" w:cstheme="majorHAnsi"/>
                <w:b/>
                <w:sz w:val="20"/>
                <w:vertAlign w:val="superscript"/>
              </w:rPr>
              <w:t>2</w:t>
            </w:r>
            <w:r w:rsidRPr="00EE6A26">
              <w:rPr>
                <w:rFonts w:asciiTheme="majorHAnsi" w:hAnsiTheme="majorHAnsi" w:cstheme="majorHAnsi"/>
                <w:b/>
                <w:sz w:val="20"/>
              </w:rPr>
              <w:t>)</w:t>
            </w:r>
          </w:p>
        </w:tc>
      </w:tr>
      <w:tr w:rsidR="00EE6A26" w:rsidRPr="00EE6A26" w:rsidTr="00A30F65">
        <w:trPr>
          <w:trHeight w:val="55"/>
        </w:trPr>
        <w:tc>
          <w:tcPr>
            <w:tcW w:w="3398" w:type="dxa"/>
            <w:vMerge w:val="restart"/>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b/>
                <w:sz w:val="20"/>
              </w:rPr>
              <w:t>I až IV</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sz w:val="20"/>
              </w:rPr>
              <w:t>Meď</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sz w:val="20"/>
              </w:rPr>
            </w:pPr>
            <w:r w:rsidRPr="00EE6A26">
              <w:rPr>
                <w:rFonts w:asciiTheme="majorHAnsi" w:hAnsiTheme="majorHAnsi" w:cstheme="majorHAnsi"/>
                <w:sz w:val="20"/>
              </w:rPr>
              <w:t>16</w:t>
            </w:r>
          </w:p>
        </w:tc>
      </w:tr>
      <w:tr w:rsidR="00EE6A26" w:rsidRPr="00EE6A26" w:rsidTr="00A30F65">
        <w:trPr>
          <w:trHeight w:val="53"/>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rPr>
                <w:rFonts w:asciiTheme="majorHAnsi" w:hAnsiTheme="majorHAnsi" w:cstheme="majorHAnsi"/>
                <w:b/>
                <w:bCs/>
                <w:sz w:val="20"/>
              </w:rPr>
            </w:pP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sz w:val="20"/>
              </w:rPr>
              <w:t>Hliník</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sz w:val="20"/>
              </w:rPr>
            </w:pPr>
            <w:r w:rsidRPr="00EE6A26">
              <w:rPr>
                <w:rFonts w:asciiTheme="majorHAnsi" w:hAnsiTheme="majorHAnsi" w:cstheme="majorHAnsi"/>
                <w:sz w:val="20"/>
              </w:rPr>
              <w:t>25</w:t>
            </w:r>
          </w:p>
        </w:tc>
      </w:tr>
      <w:tr w:rsidR="00EE6A26" w:rsidRPr="00EE6A26" w:rsidTr="00A30F65">
        <w:trPr>
          <w:trHeight w:val="53"/>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rPr>
                <w:rFonts w:asciiTheme="majorHAnsi" w:hAnsiTheme="majorHAnsi" w:cstheme="majorHAnsi"/>
                <w:b/>
                <w:bCs/>
                <w:sz w:val="20"/>
              </w:rPr>
            </w:pP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sz w:val="20"/>
              </w:rPr>
              <w:t>Oceľ</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sz w:val="20"/>
              </w:rPr>
            </w:pPr>
            <w:r w:rsidRPr="00EE6A26">
              <w:rPr>
                <w:rFonts w:asciiTheme="majorHAnsi" w:hAnsiTheme="majorHAnsi" w:cstheme="majorHAnsi"/>
                <w:sz w:val="20"/>
              </w:rPr>
              <w:t>50</w:t>
            </w:r>
          </w:p>
        </w:tc>
      </w:tr>
    </w:tbl>
    <w:p w:rsidR="00EE6A26" w:rsidRPr="00EE6A26" w:rsidRDefault="00EE6A26" w:rsidP="00EE6A26">
      <w:pPr>
        <w:keepNext/>
        <w:spacing w:before="120" w:after="240"/>
        <w:ind w:firstLine="567"/>
        <w:rPr>
          <w:rFonts w:asciiTheme="majorHAnsi" w:hAnsiTheme="majorHAnsi" w:cstheme="majorHAnsi"/>
          <w:b/>
          <w:bCs/>
          <w:sz w:val="20"/>
        </w:rPr>
      </w:pPr>
      <w:r w:rsidRPr="00EE6A26">
        <w:rPr>
          <w:rFonts w:asciiTheme="majorHAnsi" w:hAnsiTheme="majorHAnsi" w:cstheme="majorHAnsi"/>
          <w:sz w:val="20"/>
        </w:rPr>
        <w:t>Minimálne hodnoty prierezov vodičov vyrovnania potenciálov spájajúcich vnútorné kovové inštalácie s prípojnicou vyrovnania potenciálov: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8"/>
        <w:gridCol w:w="3037"/>
        <w:gridCol w:w="3017"/>
      </w:tblGrid>
      <w:tr w:rsidR="00EE6A26" w:rsidRPr="00EE6A26" w:rsidTr="00A30F65">
        <w:trPr>
          <w:trHeight w:val="450"/>
        </w:trPr>
        <w:tc>
          <w:tcPr>
            <w:tcW w:w="3398"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sz w:val="20"/>
              </w:rPr>
            </w:pPr>
            <w:r w:rsidRPr="00EE6A26">
              <w:rPr>
                <w:rFonts w:asciiTheme="majorHAnsi" w:hAnsiTheme="majorHAnsi" w:cstheme="majorHAnsi"/>
                <w:b/>
                <w:sz w:val="20"/>
              </w:rPr>
              <w:t>Trieda LPS</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b/>
                <w:sz w:val="20"/>
              </w:rPr>
              <w:t>Materiál</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sz w:val="20"/>
              </w:rPr>
            </w:pPr>
            <w:r w:rsidRPr="00EE6A26">
              <w:rPr>
                <w:rFonts w:asciiTheme="majorHAnsi" w:hAnsiTheme="majorHAnsi" w:cstheme="majorHAnsi"/>
                <w:b/>
                <w:sz w:val="20"/>
              </w:rPr>
              <w:t>Prierez (mm</w:t>
            </w:r>
            <w:r w:rsidRPr="00EE6A26">
              <w:rPr>
                <w:rFonts w:asciiTheme="majorHAnsi" w:hAnsiTheme="majorHAnsi" w:cstheme="majorHAnsi"/>
                <w:b/>
                <w:sz w:val="20"/>
                <w:vertAlign w:val="superscript"/>
              </w:rPr>
              <w:t>2</w:t>
            </w:r>
            <w:r w:rsidRPr="00EE6A26">
              <w:rPr>
                <w:rFonts w:asciiTheme="majorHAnsi" w:hAnsiTheme="majorHAnsi" w:cstheme="majorHAnsi"/>
                <w:b/>
                <w:sz w:val="20"/>
              </w:rPr>
              <w:t>)</w:t>
            </w:r>
          </w:p>
        </w:tc>
      </w:tr>
      <w:tr w:rsidR="00EE6A26" w:rsidRPr="00EE6A26" w:rsidTr="00A30F65">
        <w:trPr>
          <w:trHeight w:val="55"/>
        </w:trPr>
        <w:tc>
          <w:tcPr>
            <w:tcW w:w="3398" w:type="dxa"/>
            <w:vMerge w:val="restart"/>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b/>
                <w:sz w:val="20"/>
              </w:rPr>
              <w:t>I až IV</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sz w:val="20"/>
              </w:rPr>
              <w:t>Meď</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sz w:val="20"/>
              </w:rPr>
            </w:pPr>
            <w:r w:rsidRPr="00EE6A26">
              <w:rPr>
                <w:rFonts w:asciiTheme="majorHAnsi" w:hAnsiTheme="majorHAnsi" w:cstheme="majorHAnsi"/>
                <w:sz w:val="20"/>
              </w:rPr>
              <w:t>6</w:t>
            </w:r>
          </w:p>
        </w:tc>
      </w:tr>
      <w:tr w:rsidR="00EE6A26" w:rsidRPr="00EE6A26" w:rsidTr="00A30F65">
        <w:trPr>
          <w:trHeight w:val="53"/>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rPr>
                <w:rFonts w:asciiTheme="majorHAnsi" w:hAnsiTheme="majorHAnsi" w:cstheme="majorHAnsi"/>
                <w:b/>
                <w:bCs/>
                <w:sz w:val="20"/>
              </w:rPr>
            </w:pP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sz w:val="20"/>
              </w:rPr>
              <w:t>Hliník</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sz w:val="20"/>
              </w:rPr>
            </w:pPr>
            <w:r w:rsidRPr="00EE6A26">
              <w:rPr>
                <w:rFonts w:asciiTheme="majorHAnsi" w:hAnsiTheme="majorHAnsi" w:cstheme="majorHAnsi"/>
                <w:sz w:val="20"/>
              </w:rPr>
              <w:t>10</w:t>
            </w:r>
          </w:p>
        </w:tc>
      </w:tr>
      <w:tr w:rsidR="00EE6A26" w:rsidRPr="00EE6A26" w:rsidTr="00A30F65">
        <w:trPr>
          <w:trHeight w:val="53"/>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rPr>
                <w:rFonts w:asciiTheme="majorHAnsi" w:hAnsiTheme="majorHAnsi" w:cstheme="majorHAnsi"/>
                <w:b/>
                <w:bCs/>
                <w:sz w:val="20"/>
              </w:rPr>
            </w:pP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b/>
                <w:bCs/>
                <w:sz w:val="20"/>
              </w:rPr>
            </w:pPr>
            <w:r w:rsidRPr="00EE6A26">
              <w:rPr>
                <w:rFonts w:asciiTheme="majorHAnsi" w:hAnsiTheme="majorHAnsi" w:cstheme="majorHAnsi"/>
                <w:sz w:val="20"/>
              </w:rPr>
              <w:t>Oceľ</w:t>
            </w:r>
          </w:p>
        </w:tc>
        <w:tc>
          <w:tcPr>
            <w:tcW w:w="3399" w:type="dxa"/>
            <w:tcBorders>
              <w:top w:val="single" w:sz="4" w:space="0" w:color="auto"/>
              <w:left w:val="single" w:sz="4" w:space="0" w:color="auto"/>
              <w:bottom w:val="single" w:sz="4" w:space="0" w:color="auto"/>
              <w:right w:val="single" w:sz="4" w:space="0" w:color="auto"/>
            </w:tcBorders>
            <w:vAlign w:val="center"/>
            <w:hideMark/>
          </w:tcPr>
          <w:p w:rsidR="00EE6A26" w:rsidRPr="00EE6A26" w:rsidRDefault="00EE6A26" w:rsidP="00A30F65">
            <w:pPr>
              <w:keepNext/>
              <w:jc w:val="center"/>
              <w:rPr>
                <w:rFonts w:asciiTheme="majorHAnsi" w:hAnsiTheme="majorHAnsi" w:cstheme="majorHAnsi"/>
                <w:sz w:val="20"/>
              </w:rPr>
            </w:pPr>
            <w:r w:rsidRPr="00EE6A26">
              <w:rPr>
                <w:rFonts w:asciiTheme="majorHAnsi" w:hAnsiTheme="majorHAnsi" w:cstheme="majorHAnsi"/>
                <w:sz w:val="20"/>
              </w:rPr>
              <w:t>16</w:t>
            </w:r>
          </w:p>
        </w:tc>
      </w:tr>
    </w:tbl>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Ak sú vodiče vnútorných systémov tienené alebo uložené v kovových trubkách, môže postačovať len pospájanie tienenia a elektroinštalačných trubiek. Vodiče vnútorných systémov, ktoré nie sú ani tienené, ani uložené v kovových trubkách, sa musia pospájať cez prepäťové ochranné zariadenia SPD. Anténové stožiare na streche stavby chrániť pred priamym úderom blesku inštalovaním v ochrannom priestore alebo sa má inštalovať izolovaný (oddialený) vonkajší LPS. Ak to nie je možné, anténový stožiar spojiť so zachytávacou sústavou. Vodivé plášte anténových káblov pripojiť k zachytávacej sústave na úrovni strechy a k hlavnej prípojnici vyrovnania potenciálov.</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OCHRANNÉ OPATRENIA PRED LEMP (LMPS)</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Ochrana pred LEMP je založená na koncepcii zón ochrany pred bleskom (LPZ). Pre ochranu systému je objekt rozdelený do LPZ. Objekt je zaradený do zón LPZ podľa výkresu (Systém ochrany pred bleskom a uzemnenie).</w:t>
      </w:r>
    </w:p>
    <w:p w:rsidR="00EE6A26" w:rsidRPr="00EE6A26" w:rsidRDefault="00EE6A26" w:rsidP="00EE6A26">
      <w:pPr>
        <w:pStyle w:val="Nadpis3"/>
        <w:keepLines/>
        <w:widowControl w:val="0"/>
        <w:numPr>
          <w:ilvl w:val="2"/>
          <w:numId w:val="15"/>
        </w:numPr>
        <w:tabs>
          <w:tab w:val="left" w:pos="567"/>
          <w:tab w:val="left" w:pos="851"/>
        </w:tabs>
        <w:spacing w:before="200" w:after="120" w:line="276" w:lineRule="auto"/>
        <w:jc w:val="both"/>
        <w:textAlignment w:val="auto"/>
        <w:rPr>
          <w:rFonts w:asciiTheme="majorHAnsi" w:hAnsiTheme="majorHAnsi" w:cstheme="majorHAnsi"/>
        </w:rPr>
      </w:pPr>
      <w:r w:rsidRPr="00EE6A26">
        <w:rPr>
          <w:rFonts w:asciiTheme="majorHAnsi" w:hAnsiTheme="majorHAnsi" w:cstheme="majorHAnsi"/>
        </w:rPr>
        <w:t>ZÁKLADNÉ OCHRANNÉ OPATRENIA PRED LEMP</w:t>
      </w:r>
    </w:p>
    <w:p w:rsidR="00EE6A26" w:rsidRPr="00EE6A26" w:rsidRDefault="00EE6A26" w:rsidP="00EE6A26">
      <w:pPr>
        <w:pStyle w:val="Default"/>
        <w:keepNext/>
        <w:numPr>
          <w:ilvl w:val="0"/>
          <w:numId w:val="18"/>
        </w:numPr>
        <w:rPr>
          <w:rFonts w:asciiTheme="majorHAnsi" w:hAnsiTheme="majorHAnsi" w:cstheme="majorHAnsi"/>
          <w:color w:val="auto"/>
          <w:sz w:val="20"/>
          <w:szCs w:val="20"/>
        </w:rPr>
      </w:pPr>
      <w:r w:rsidRPr="00EE6A26">
        <w:rPr>
          <w:rFonts w:asciiTheme="majorHAnsi" w:hAnsiTheme="majorHAnsi" w:cstheme="majorHAnsi"/>
          <w:b/>
          <w:bCs/>
          <w:color w:val="auto"/>
          <w:sz w:val="20"/>
          <w:szCs w:val="20"/>
        </w:rPr>
        <w:t xml:space="preserve">Uzemnenie a vyrovnanie potenciálov </w:t>
      </w:r>
    </w:p>
    <w:p w:rsidR="00EE6A26" w:rsidRPr="00EE6A26" w:rsidRDefault="00EE6A26" w:rsidP="00EE6A26">
      <w:pPr>
        <w:spacing w:after="120"/>
        <w:ind w:left="993"/>
        <w:rPr>
          <w:rFonts w:asciiTheme="majorHAnsi" w:hAnsiTheme="majorHAnsi" w:cstheme="majorHAnsi"/>
          <w:sz w:val="20"/>
        </w:rPr>
      </w:pPr>
      <w:r w:rsidRPr="00EE6A26">
        <w:rPr>
          <w:rFonts w:asciiTheme="majorHAnsi" w:hAnsiTheme="majorHAnsi" w:cstheme="majorHAnsi"/>
          <w:sz w:val="20"/>
        </w:rPr>
        <w:t xml:space="preserve">Uzemňovacia sústava vedie a rozdeľuje bleskový prúd do zeme. Sústava vyrovnania potenciálov minimalizuje potenciálové rozdiely a môže znižovať magnetické pole. </w:t>
      </w:r>
    </w:p>
    <w:p w:rsidR="00EE6A26" w:rsidRPr="00EE6A26" w:rsidRDefault="00EE6A26" w:rsidP="00EE6A26">
      <w:pPr>
        <w:pStyle w:val="Default"/>
        <w:keepNext/>
        <w:numPr>
          <w:ilvl w:val="0"/>
          <w:numId w:val="18"/>
        </w:numPr>
        <w:rPr>
          <w:rFonts w:asciiTheme="majorHAnsi" w:hAnsiTheme="majorHAnsi" w:cstheme="majorHAnsi"/>
          <w:color w:val="auto"/>
          <w:sz w:val="20"/>
          <w:szCs w:val="20"/>
        </w:rPr>
      </w:pPr>
      <w:r w:rsidRPr="00EE6A26">
        <w:rPr>
          <w:rFonts w:asciiTheme="majorHAnsi" w:hAnsiTheme="majorHAnsi" w:cstheme="majorHAnsi"/>
          <w:b/>
          <w:bCs/>
          <w:color w:val="auto"/>
          <w:sz w:val="20"/>
          <w:szCs w:val="20"/>
        </w:rPr>
        <w:t xml:space="preserve">Magnetické tienenie a trasy vedení </w:t>
      </w:r>
    </w:p>
    <w:p w:rsidR="00EE6A26" w:rsidRPr="00EE6A26" w:rsidRDefault="00EE6A26" w:rsidP="00EE6A26">
      <w:pPr>
        <w:spacing w:after="120"/>
        <w:ind w:left="993"/>
        <w:rPr>
          <w:rFonts w:asciiTheme="majorHAnsi" w:hAnsiTheme="majorHAnsi" w:cstheme="majorHAnsi"/>
          <w:sz w:val="20"/>
        </w:rPr>
      </w:pPr>
      <w:r w:rsidRPr="00EE6A26">
        <w:rPr>
          <w:rFonts w:asciiTheme="majorHAnsi" w:hAnsiTheme="majorHAnsi" w:cstheme="majorHAnsi"/>
          <w:sz w:val="20"/>
        </w:rPr>
        <w:t xml:space="preserve">Priestorové tienenie zoslabuje magnetické pole vnútri LPZ, vzniknuté zásahom blesku priamo alebo v blízkosti stavby a redukuje vnútorné prepäťové vlny. Tienenie vnútorných vedení použitím tienených káblov alebo káblových žľabov, minimalizuje vnútorné indukované prepätia. </w:t>
      </w:r>
    </w:p>
    <w:p w:rsidR="00EE6A26" w:rsidRPr="00EE6A26" w:rsidRDefault="00EE6A26" w:rsidP="00EE6A26">
      <w:pPr>
        <w:pStyle w:val="Default"/>
        <w:keepNext/>
        <w:numPr>
          <w:ilvl w:val="0"/>
          <w:numId w:val="18"/>
        </w:numPr>
        <w:rPr>
          <w:rFonts w:asciiTheme="majorHAnsi" w:hAnsiTheme="majorHAnsi" w:cstheme="majorHAnsi"/>
          <w:color w:val="auto"/>
          <w:sz w:val="20"/>
          <w:szCs w:val="20"/>
        </w:rPr>
      </w:pPr>
      <w:r w:rsidRPr="00EE6A26">
        <w:rPr>
          <w:rFonts w:asciiTheme="majorHAnsi" w:hAnsiTheme="majorHAnsi" w:cstheme="majorHAnsi"/>
          <w:b/>
          <w:bCs/>
          <w:color w:val="auto"/>
          <w:sz w:val="20"/>
          <w:szCs w:val="20"/>
        </w:rPr>
        <w:t xml:space="preserve">Koordinovaná ochrana SPD </w:t>
      </w:r>
    </w:p>
    <w:p w:rsidR="00EE6A26" w:rsidRPr="00EE6A26" w:rsidRDefault="00EE6A26" w:rsidP="00EE6A26">
      <w:pPr>
        <w:spacing w:after="120"/>
        <w:ind w:left="993"/>
        <w:rPr>
          <w:rFonts w:asciiTheme="majorHAnsi" w:hAnsiTheme="majorHAnsi" w:cstheme="majorHAnsi"/>
          <w:sz w:val="20"/>
        </w:rPr>
      </w:pPr>
      <w:r w:rsidRPr="00EE6A26">
        <w:rPr>
          <w:rFonts w:asciiTheme="majorHAnsi" w:hAnsiTheme="majorHAnsi" w:cstheme="majorHAnsi"/>
          <w:sz w:val="20"/>
        </w:rPr>
        <w:t>Koordinovaná ochrana SPD ohraničuje účinky vonkajších a vnútorných prepätí</w:t>
      </w:r>
    </w:p>
    <w:p w:rsidR="00EE6A26" w:rsidRPr="00EE6A26" w:rsidRDefault="00EE6A26" w:rsidP="00EE6A26">
      <w:pPr>
        <w:pStyle w:val="Default"/>
        <w:keepNext/>
        <w:numPr>
          <w:ilvl w:val="0"/>
          <w:numId w:val="18"/>
        </w:numPr>
        <w:ind w:left="709"/>
        <w:rPr>
          <w:rFonts w:asciiTheme="majorHAnsi" w:hAnsiTheme="majorHAnsi" w:cstheme="majorHAnsi"/>
          <w:color w:val="auto"/>
          <w:sz w:val="20"/>
          <w:szCs w:val="20"/>
        </w:rPr>
      </w:pPr>
      <w:r w:rsidRPr="00EE6A26">
        <w:rPr>
          <w:rFonts w:asciiTheme="majorHAnsi" w:hAnsiTheme="majorHAnsi" w:cstheme="majorHAnsi"/>
          <w:b/>
          <w:bCs/>
          <w:color w:val="auto"/>
          <w:sz w:val="20"/>
          <w:szCs w:val="20"/>
        </w:rPr>
        <w:t>Uzemnenie a vyrovnanie potenciálov musí byť vždy zabezpečené</w:t>
      </w:r>
    </w:p>
    <w:p w:rsidR="00EE6A26" w:rsidRDefault="00EE6A26" w:rsidP="00EE6A26">
      <w:pPr>
        <w:spacing w:after="120"/>
        <w:ind w:left="993"/>
        <w:rPr>
          <w:rFonts w:asciiTheme="majorHAnsi" w:hAnsiTheme="majorHAnsi" w:cstheme="majorHAnsi"/>
          <w:sz w:val="20"/>
        </w:rPr>
      </w:pPr>
      <w:r w:rsidRPr="00EE6A26">
        <w:rPr>
          <w:rFonts w:asciiTheme="majorHAnsi" w:hAnsiTheme="majorHAnsi" w:cstheme="majorHAnsi"/>
          <w:sz w:val="20"/>
        </w:rPr>
        <w:t>Osobitne pripojenie každého vodivého vstupu priamo alebo cez ekvipotenciálne pospájanie SPD v mieste vstupu do stavby.</w:t>
      </w:r>
    </w:p>
    <w:p w:rsidR="00EE6A26" w:rsidRDefault="00EE6A26" w:rsidP="00EE6A26">
      <w:pPr>
        <w:spacing w:after="120"/>
        <w:rPr>
          <w:rFonts w:asciiTheme="majorHAnsi" w:hAnsiTheme="majorHAnsi" w:cstheme="majorHAnsi"/>
          <w:sz w:val="20"/>
        </w:rPr>
      </w:pPr>
      <w:r w:rsidRPr="00EE6A26">
        <w:rPr>
          <w:rFonts w:asciiTheme="majorHAnsi" w:hAnsiTheme="majorHAnsi" w:cstheme="majorHAnsi"/>
          <w:sz w:val="20"/>
        </w:rPr>
        <w:t>POPIS RIEŠENIA – SLABOPRÚDOVÉ ROZVODY</w:t>
      </w:r>
    </w:p>
    <w:p w:rsidR="00EE6A26" w:rsidRPr="00EE6A26" w:rsidRDefault="00EE6A26" w:rsidP="00EE6A26">
      <w:pPr>
        <w:spacing w:after="120"/>
        <w:rPr>
          <w:rFonts w:asciiTheme="majorHAnsi" w:eastAsiaTheme="majorEastAsia" w:hAnsiTheme="majorHAnsi" w:cstheme="majorHAnsi"/>
          <w:b/>
          <w:bCs/>
          <w:caps/>
          <w:vanish/>
          <w:color w:val="000000" w:themeColor="text1"/>
          <w:sz w:val="20"/>
        </w:rPr>
      </w:pPr>
      <w:r w:rsidRPr="00EE6A26">
        <w:rPr>
          <w:rFonts w:asciiTheme="majorHAnsi" w:hAnsiTheme="majorHAnsi" w:cstheme="majorHAnsi"/>
          <w:sz w:val="20"/>
        </w:rPr>
        <w:t xml:space="preserve">Projekt nerieši spôsob internetového pripojenia objektu. V projekte na prízemí v miestnosti určenej prevádzkovateľom sa uvažuje 6“ RACK výšky 6U podľa výkresovej dokumentácie. Štruktúrované káblové rozvody od rozvádzača RACK budú realizované metalickými káblami s tienením (s alumíniovou fóliou okolo všetkých párov) so štyrmi krútenými pármi s priemerom vodičov 0,56mm (káble kat. 6A), ktoré zabezpečujú napojenie jednotlivých dátových zásuviek cez zarezávací systém s modulárnym tieneným konektorom RJ45. Použité káble sú vo vyhotovení LSOH (bezhalogénové) a odolné voči šíreniu plameňa napr. F/UTP Cat.6A 4x2xAWG24 LSF/OH IEC 332.3. Komunikačné zásuvky budú univerzálne, dvojportové v prevedení pod omietku </w:t>
      </w:r>
      <w:r w:rsidRPr="00EE6A26">
        <w:rPr>
          <w:rFonts w:asciiTheme="majorHAnsi" w:hAnsiTheme="majorHAnsi" w:cstheme="majorHAnsi"/>
          <w:sz w:val="20"/>
        </w:rPr>
        <w:lastRenderedPageBreak/>
        <w:t>alebo do krabíc pod povrch – zapojené dva porty „a“ resp. „b“. Metalické dátové rozvody budú sústredené do dátového rozvádzača, kde budú ukončené na prepojovacích paneloch. Umiestnenie dátového rozvádzača je riešené tak, aby bola zachovaná podmienka technologického prahu 90 metrov pre jeden Ethernet segment (kanál).</w:t>
      </w:r>
    </w:p>
    <w:p w:rsidR="00EE6A26" w:rsidRPr="00EE6A26" w:rsidRDefault="00EE6A26" w:rsidP="00EE6A26">
      <w:pPr>
        <w:keepNext/>
        <w:keepLines/>
        <w:spacing w:before="200" w:after="120"/>
        <w:outlineLvl w:val="1"/>
        <w:rPr>
          <w:rFonts w:asciiTheme="majorHAnsi" w:hAnsiTheme="majorHAnsi" w:cstheme="majorHAnsi"/>
          <w:sz w:val="20"/>
        </w:rPr>
      </w:pPr>
      <w:r w:rsidRPr="00EE6A26">
        <w:rPr>
          <w:rFonts w:asciiTheme="majorHAnsi" w:hAnsiTheme="majorHAnsi" w:cstheme="majorHAnsi"/>
          <w:sz w:val="20"/>
        </w:rPr>
        <w:tab/>
      </w:r>
    </w:p>
    <w:p w:rsidR="00EE6A26" w:rsidRPr="00EE6A26" w:rsidRDefault="00EE6A26" w:rsidP="00165ED7">
      <w:pPr>
        <w:pStyle w:val="Nadpis1"/>
        <w:numPr>
          <w:ilvl w:val="0"/>
          <w:numId w:val="14"/>
        </w:numPr>
      </w:pPr>
      <w:r w:rsidRPr="00EE6A26">
        <w:t>KAMEROVÝ SYSTÉM (CCTV)</w:t>
      </w:r>
    </w:p>
    <w:p w:rsidR="00EE6A26" w:rsidRPr="00EE6A26" w:rsidRDefault="00EE6A26" w:rsidP="00EE6A26">
      <w:pPr>
        <w:pStyle w:val="Odsekzoznamu"/>
        <w:keepNext/>
        <w:keepLines/>
        <w:widowControl w:val="0"/>
        <w:numPr>
          <w:ilvl w:val="0"/>
          <w:numId w:val="15"/>
        </w:numPr>
        <w:tabs>
          <w:tab w:val="left" w:pos="567"/>
        </w:tabs>
        <w:overflowPunct w:val="0"/>
        <w:autoSpaceDE w:val="0"/>
        <w:autoSpaceDN w:val="0"/>
        <w:adjustRightInd w:val="0"/>
        <w:spacing w:before="200" w:after="120" w:line="276" w:lineRule="auto"/>
        <w:contextualSpacing w:val="0"/>
        <w:jc w:val="both"/>
        <w:outlineLvl w:val="1"/>
        <w:rPr>
          <w:rFonts w:asciiTheme="majorHAnsi" w:eastAsiaTheme="majorEastAsia" w:hAnsiTheme="majorHAnsi" w:cstheme="majorHAnsi"/>
          <w:b/>
          <w:bCs/>
          <w:caps/>
          <w:noProof/>
          <w:vanish/>
          <w:color w:val="000000" w:themeColor="text1"/>
          <w:sz w:val="20"/>
          <w:szCs w:val="20"/>
          <w:lang w:eastAsia="en-US"/>
        </w:rPr>
      </w:pP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noProof/>
          <w:szCs w:val="20"/>
        </w:rPr>
      </w:pPr>
      <w:r w:rsidRPr="00EE6A26">
        <w:rPr>
          <w:rFonts w:asciiTheme="majorHAnsi" w:hAnsiTheme="majorHAnsi" w:cstheme="majorHAnsi"/>
          <w:noProof/>
          <w:szCs w:val="20"/>
        </w:rPr>
        <w:t>POUŽITÉ ZARIADENIa</w:t>
      </w:r>
    </w:p>
    <w:p w:rsidR="00EE6A26" w:rsidRPr="00EE6A26" w:rsidRDefault="00EE6A26" w:rsidP="00EE6A26">
      <w:pPr>
        <w:rPr>
          <w:rFonts w:asciiTheme="majorHAnsi" w:hAnsiTheme="majorHAnsi" w:cstheme="majorHAnsi"/>
          <w:b/>
          <w:noProof/>
          <w:sz w:val="20"/>
        </w:rPr>
      </w:pPr>
      <w:r w:rsidRPr="00EE6A26">
        <w:rPr>
          <w:rFonts w:asciiTheme="majorHAnsi" w:hAnsiTheme="majorHAnsi" w:cstheme="majorHAnsi"/>
          <w:b/>
          <w:noProof/>
          <w:sz w:val="20"/>
        </w:rPr>
        <w:tab/>
        <w:t xml:space="preserve">- Farebná digitálna kamera IP 4 Mpx dome </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4 Mpx dome kamera IP exteriérová, antivandal, Day/Night s mechanickým IR filtrom, Smart IR LED dosvit 50 m, 1/3” 4 Megapixel progressive scan CMOS, rozlíšenie 2688 x 1520 px @ 25 fps, citlivosť 0,03 lx / F1.4 (Color, 1/3 s, 30 IRE), 0,3 lx / F1.4 (Color, 1/30 s, 30 IRE), 0 lx / F1.4 (IR ON), motor zoom objektív 2,7–13,5 mm / F1.4, uhol záberu 106°–31°, BLC, HLC, AWB, AGC, WDR, ROI, 3DNR, inteligentné funkcie, kompresie H.265+ / H.265 / H.264+ / H.264, ONVIF kompatibilné, alarm I/O 1/1, audio I/O 1/1, slot na MicroSD kartu max. 128 GB, napájanie 12 V DC, 708 mA, ePoE, pracovná teplota od -30 °C do +60 °C, IP 67, IK 10, rozmery ø 122 × 88,9 mm, hmotnosť 0,5 kg</w:t>
      </w:r>
    </w:p>
    <w:p w:rsidR="00EE6A26" w:rsidRPr="00EE6A26" w:rsidRDefault="00EE6A26" w:rsidP="00EE6A26">
      <w:pPr>
        <w:rPr>
          <w:rFonts w:asciiTheme="majorHAnsi" w:hAnsiTheme="majorHAnsi" w:cstheme="majorHAnsi"/>
          <w:b/>
          <w:noProof/>
          <w:sz w:val="20"/>
        </w:rPr>
      </w:pPr>
      <w:r w:rsidRPr="00EE6A26">
        <w:rPr>
          <w:rFonts w:asciiTheme="majorHAnsi" w:hAnsiTheme="majorHAnsi" w:cstheme="majorHAnsi"/>
          <w:b/>
          <w:noProof/>
          <w:sz w:val="20"/>
        </w:rPr>
        <w:tab/>
        <w:t>- SWITCH – 1ks</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Dahua switch 16x FE PoE + 2x GE (Combo) + 2x GE SFP (Combo), podpora PoE pre 16 portov, management, Long Distance Mode (napájanie a dáta až na 250 m), L2, 16x PoE (IEEE802.3af/at), celkovo na všetky porty max. 240 W, oranžový port pro PFT1300, ochrana proti blesku 4 kV, napájanie 100–240 V AC, pracovná teplota od -10 °C do +55 °C, hmotnosť 3,51 kg, rozmery 440 × 300 × 44 mm, switch nie je vhodný pre použitie s kamerami Avigilon</w:t>
      </w:r>
    </w:p>
    <w:p w:rsidR="00EE6A26" w:rsidRPr="00EE6A26" w:rsidRDefault="00EE6A26" w:rsidP="00EE6A26">
      <w:pPr>
        <w:rPr>
          <w:rFonts w:asciiTheme="majorHAnsi" w:hAnsiTheme="majorHAnsi" w:cstheme="majorHAnsi"/>
          <w:noProof/>
          <w:sz w:val="20"/>
        </w:rPr>
      </w:pPr>
    </w:p>
    <w:p w:rsidR="00EE6A26" w:rsidRPr="00EE6A26" w:rsidRDefault="00EE6A26" w:rsidP="00EE6A26">
      <w:pPr>
        <w:rPr>
          <w:rFonts w:asciiTheme="majorHAnsi" w:hAnsiTheme="majorHAnsi" w:cstheme="majorHAnsi"/>
          <w:b/>
          <w:noProof/>
          <w:sz w:val="20"/>
        </w:rPr>
      </w:pPr>
      <w:r w:rsidRPr="00EE6A26">
        <w:rPr>
          <w:rFonts w:asciiTheme="majorHAnsi" w:hAnsiTheme="majorHAnsi" w:cstheme="majorHAnsi"/>
          <w:b/>
          <w:noProof/>
          <w:sz w:val="20"/>
        </w:rPr>
        <w:tab/>
        <w:t>- Digitálny záznamník – videoserver</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ab/>
        <w:t>Videoserver je určený pre nahrávanie maximálne 64 IP kamier, Intel (R) Xeon (R) 6 core, 8GB RAM, LFF, možnosť pridať ďalších 7 HDD, RAID 0,1,5,6 VGA výstup, 2x 1GBlan, zdroj 560W GOLD+, rackové prevedenie 2U, bez audio výstupu, 3 rok záruka, Microsoft Windows 10 Pro 64bit. Sys. SSD.</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ab/>
        <w:t>Softvér Avigilon Control Center Standard pre monitorovanie, nahrávanie a ovládanie megapixelových kamier do max. počtu 75 s obmedzenými funkciami, vybrané obmedzenia: nepodporuje PRO kamery, alarmy, vyhľadávanie osôb podľa vzoru, licencia 24 kamier/web serveru, klientský softvér zadarmo, max. počet súčasne pripojených klientov 10, max. 50 pravidiel, podpora ďalších značiek</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ab/>
        <w:t>Softvér Avigilon Control Center Standard pre monitorovanie, nahrávanie a ovládanie megapixelových kamier do max. počtu 75 s obmedzenými funkciami, vybrané obmedzenia: nepodporuje PRO kamery, alarmy, vyhľadávanie osôb podľa vzoru, licencia 16 kamier/web serveru, klientský softvér zadarmo, max. počet súčasne pripojených klientov 10, max. 50 pravidiel, podpora ďalších značiek</w:t>
      </w:r>
    </w:p>
    <w:p w:rsidR="00EE6A26" w:rsidRPr="00EE6A26" w:rsidRDefault="00EE6A26" w:rsidP="00EE6A26">
      <w:pPr>
        <w:rPr>
          <w:rFonts w:asciiTheme="majorHAnsi" w:hAnsiTheme="majorHAnsi" w:cstheme="majorHAnsi"/>
          <w:b/>
          <w:noProof/>
          <w:sz w:val="20"/>
        </w:rPr>
      </w:pPr>
      <w:r w:rsidRPr="00EE6A26">
        <w:rPr>
          <w:rFonts w:asciiTheme="majorHAnsi" w:hAnsiTheme="majorHAnsi" w:cstheme="majorHAnsi"/>
          <w:b/>
          <w:noProof/>
          <w:sz w:val="20"/>
        </w:rPr>
        <w:tab/>
        <w:t>- Mikrofón</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Pinhole mikrofón pre skrytú inštaláciu, exteriérový, antivandal, citlivosť -43 dB, dosah 5 m, všesmerový, vstavaný filter šumu, ochrana proti účinkom elektrostatického výboja do 8 kV, napájanie 12 V DC, IP 66, IK 10, pracovná teplota od -30 °C do +70 °C, rozmery ø 35 x 50 mm, hmotnosť 60 g.</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Napájací zdroj 15VDC/1A , inštalácia na DIN lištu (1 modul), plynulá regulácia trimrom 13,5-16,5VDC</w:t>
      </w:r>
    </w:p>
    <w:p w:rsidR="00EE6A26" w:rsidRPr="00EE6A26" w:rsidRDefault="00EE6A26" w:rsidP="00EE6A26">
      <w:pPr>
        <w:rPr>
          <w:rFonts w:asciiTheme="majorHAnsi" w:hAnsiTheme="majorHAnsi" w:cstheme="majorHAnsi"/>
          <w:b/>
          <w:noProof/>
          <w:sz w:val="20"/>
        </w:rPr>
      </w:pPr>
      <w:r w:rsidRPr="00EE6A26">
        <w:rPr>
          <w:rFonts w:asciiTheme="majorHAnsi" w:hAnsiTheme="majorHAnsi" w:cstheme="majorHAnsi"/>
          <w:b/>
          <w:noProof/>
          <w:sz w:val="20"/>
        </w:rPr>
        <w:tab/>
        <w:t>- PC monitorovací hlavný</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PC určený na monitorovanie/vzdialene monitorovanie od spoločnosti TSS, je určený na monitorovanie do 64 kamier, možnosť pripojenia 4 monitorov, i7 core, 8GB RAM DDR4, možnosť rozšírenia, Systemový HDD SATA 7.2K rpm LFF, non hot plug HDD, samostatná graficka karta s 1X HDMI, 1x VGA, 1x DVI-D výstupom (max. 2 výstupy), Ethernet 1Gb, zdroj 400 W, Micro ATX Tower, audio výstup, Microsoft Windows 10 PRO, rozmery: 180 x 390 x 360 mm.</w:t>
      </w:r>
    </w:p>
    <w:p w:rsidR="00EE6A26" w:rsidRPr="00EE6A26" w:rsidRDefault="00EE6A26" w:rsidP="00EE6A26">
      <w:pPr>
        <w:rPr>
          <w:rFonts w:asciiTheme="majorHAnsi" w:hAnsiTheme="majorHAnsi" w:cstheme="majorHAnsi"/>
          <w:b/>
          <w:noProof/>
          <w:sz w:val="20"/>
        </w:rPr>
      </w:pPr>
      <w:r w:rsidRPr="00EE6A26">
        <w:rPr>
          <w:rFonts w:asciiTheme="majorHAnsi" w:hAnsiTheme="majorHAnsi" w:cstheme="majorHAnsi"/>
          <w:b/>
          <w:noProof/>
          <w:sz w:val="20"/>
        </w:rPr>
        <w:tab/>
        <w:t>- PC monitorovací MINI</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Procesor Intel (R)Pentium (R) 2 core, 4 GB RAM, SFF, VGA, HDMI, DP výstup, 1 Gb Ethernet, Wi-Fi ac, zdroj 180 W, audio, Bluetooth 4.0, 1 rok záruka, Microsoft Windows 10 Home 64bit. Sys. HDD 1 TB, rozmery 32,5 x 343,5 x 290,0 mm</w:t>
      </w:r>
    </w:p>
    <w:p w:rsidR="00EE6A26" w:rsidRPr="00EE6A26" w:rsidRDefault="00EE6A26" w:rsidP="00EE6A26">
      <w:pPr>
        <w:pStyle w:val="Nadpis3"/>
        <w:keepLines/>
        <w:widowControl w:val="0"/>
        <w:numPr>
          <w:ilvl w:val="2"/>
          <w:numId w:val="15"/>
        </w:numPr>
        <w:tabs>
          <w:tab w:val="left" w:pos="567"/>
          <w:tab w:val="left" w:pos="851"/>
        </w:tabs>
        <w:spacing w:before="200" w:after="120" w:line="276" w:lineRule="auto"/>
        <w:jc w:val="both"/>
        <w:textAlignment w:val="auto"/>
        <w:rPr>
          <w:rFonts w:asciiTheme="majorHAnsi" w:hAnsiTheme="majorHAnsi" w:cstheme="majorHAnsi"/>
          <w:noProof/>
        </w:rPr>
      </w:pPr>
      <w:r w:rsidRPr="00EE6A26">
        <w:rPr>
          <w:rFonts w:asciiTheme="majorHAnsi" w:hAnsiTheme="majorHAnsi" w:cstheme="majorHAnsi"/>
          <w:noProof/>
        </w:rPr>
        <w:t xml:space="preserve">POŽIADAVKY NA UŽÍVATEĽA </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ab/>
        <w:t xml:space="preserve">Užívateľ je povinný v dostatočnom predstihu pred uvedením zariadenia do skúšobnej prevádzky určiť osobu zodpovednú za prevádzku zariadenia CCTV, osoby poverené údržbou zariadenia a osoby poverené obsluhou zariadenia CCTV. Osoba zodpovedná za prevádzku zariadenia zodpovedá za prevádzku a správne </w:t>
      </w:r>
      <w:r w:rsidRPr="00EE6A26">
        <w:rPr>
          <w:rFonts w:asciiTheme="majorHAnsi" w:hAnsiTheme="majorHAnsi" w:cstheme="majorHAnsi"/>
          <w:noProof/>
          <w:sz w:val="20"/>
        </w:rPr>
        <w:lastRenderedPageBreak/>
        <w:t>využitie systému CCTV. Kontroluje činnosť osôb poverených obsluhou a zaisťuje, aby osoby poverené údržbou pracovali podľa predpisov dodaných montážnou a servisnou organizáciou.</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Osoby poverené údržbou musia byť v zmysle STN 34 3100 osobami oboznámenými a preukázateľne zaškolenými výrobcom poverenou organizáciou. Doporučuje sa, aby dokumentácia týchto zariadení bola prístupná len osobe poverenej údržbou zariadení. V prípade rôznych rekonštrukcií el. rozvodov je nutné upozorniť na rozvody CCTV, aby nedošlo k nežiadúcim súbehom, prípadne kríženiam, čo môže mať za následok zhoršenú kvalitu videosignálu.</w:t>
      </w:r>
    </w:p>
    <w:p w:rsidR="00EE6A26" w:rsidRPr="00EE6A26" w:rsidRDefault="00EE6A26" w:rsidP="00EE6A26">
      <w:pPr>
        <w:pStyle w:val="Nadpis3"/>
        <w:keepLines/>
        <w:widowControl w:val="0"/>
        <w:numPr>
          <w:ilvl w:val="2"/>
          <w:numId w:val="15"/>
        </w:numPr>
        <w:tabs>
          <w:tab w:val="left" w:pos="567"/>
          <w:tab w:val="left" w:pos="851"/>
        </w:tabs>
        <w:spacing w:before="200" w:after="120" w:line="276" w:lineRule="auto"/>
        <w:jc w:val="both"/>
        <w:textAlignment w:val="auto"/>
        <w:rPr>
          <w:rFonts w:asciiTheme="majorHAnsi" w:hAnsiTheme="majorHAnsi" w:cstheme="majorHAnsi"/>
          <w:noProof/>
        </w:rPr>
      </w:pPr>
      <w:r w:rsidRPr="00EE6A26">
        <w:rPr>
          <w:rFonts w:asciiTheme="majorHAnsi" w:hAnsiTheme="majorHAnsi" w:cstheme="majorHAnsi"/>
          <w:noProof/>
        </w:rPr>
        <w:t xml:space="preserve">SKÚŠOBNÁ PREVÁDZKA </w:t>
      </w:r>
    </w:p>
    <w:p w:rsidR="00EE6A26" w:rsidRPr="00EE6A26" w:rsidRDefault="00EE6A26" w:rsidP="00EE6A26">
      <w:pPr>
        <w:rPr>
          <w:rFonts w:asciiTheme="majorHAnsi" w:hAnsiTheme="majorHAnsi" w:cstheme="majorHAnsi"/>
          <w:noProof/>
          <w:sz w:val="20"/>
        </w:rPr>
      </w:pPr>
      <w:r w:rsidRPr="00EE6A26">
        <w:rPr>
          <w:rFonts w:asciiTheme="majorHAnsi" w:hAnsiTheme="majorHAnsi" w:cstheme="majorHAnsi"/>
          <w:noProof/>
          <w:sz w:val="20"/>
        </w:rPr>
        <w:tab/>
        <w:t>Zariadenie CCTV sa pred uvedením do trvalej prevádzky musí podrobiť 14 – dennej skúšobnej prevádzke. Skúšobná prevádzka je súčasťou dodávky zariadenia. V priebehu skúšobnej prevádzky sa vyhodnotí kvalita záznamov a vykoná sa doostrenie objektívov a nastavenie kamier. Po vyhodnotení skúšobnej prevádzky sa uvedie zariadenie do trvalej prevádzky.</w:t>
      </w:r>
    </w:p>
    <w:p w:rsidR="00EE6A26" w:rsidRPr="00EE6A26" w:rsidRDefault="00EE6A26" w:rsidP="00165ED7">
      <w:pPr>
        <w:pStyle w:val="Nadpis1"/>
        <w:numPr>
          <w:ilvl w:val="0"/>
          <w:numId w:val="14"/>
        </w:numPr>
      </w:pPr>
      <w:r w:rsidRPr="00EE6A26">
        <w:t xml:space="preserve">ZOSTATKOVÉ NEBEZPEČENSTVA </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V zmysle znenia Zákona č. 124/2006 Z.z. o bezpečnosti a ochrane zdravia pri práci v znení zákona č. 95/2000 Z.z. a o doplnení Zákonníka práce je v ďalšom uvedené vytypovanie, posúdenie a vyhodnotenie neodstrániteľných nebezpečenstiev a neodstrániteľných ohrození vyplývajúcich z navrhovaných riešení v určených prevádzkových a užívateľských podmienkach a návrh ochranných opatrení proti týmto nebezpečenstvám a ohrozeniam.</w:t>
      </w:r>
    </w:p>
    <w:p w:rsidR="00EE6A26" w:rsidRPr="00EE6A26" w:rsidRDefault="00EE6A26" w:rsidP="00EE6A26">
      <w:pPr>
        <w:pStyle w:val="Odsekzoznamu"/>
        <w:keepNext/>
        <w:keepLines/>
        <w:widowControl w:val="0"/>
        <w:numPr>
          <w:ilvl w:val="0"/>
          <w:numId w:val="15"/>
        </w:numPr>
        <w:tabs>
          <w:tab w:val="left" w:pos="567"/>
        </w:tabs>
        <w:overflowPunct w:val="0"/>
        <w:autoSpaceDE w:val="0"/>
        <w:autoSpaceDN w:val="0"/>
        <w:adjustRightInd w:val="0"/>
        <w:spacing w:before="200" w:after="120" w:line="276" w:lineRule="auto"/>
        <w:contextualSpacing w:val="0"/>
        <w:jc w:val="both"/>
        <w:outlineLvl w:val="1"/>
        <w:rPr>
          <w:rFonts w:asciiTheme="majorHAnsi" w:eastAsiaTheme="majorEastAsia" w:hAnsiTheme="majorHAnsi" w:cstheme="majorHAnsi"/>
          <w:b/>
          <w:bCs/>
          <w:caps/>
          <w:vanish/>
          <w:color w:val="000000" w:themeColor="text1"/>
          <w:sz w:val="20"/>
          <w:szCs w:val="20"/>
          <w:lang w:eastAsia="en-US"/>
        </w:rPr>
      </w:pP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NEODSTRÁNITEĽNÉ NEBEZPEČENSTVO-STAV/VLASTNOSŤ POŠKODZUJÚCA ZDRAVIE</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poškodenie izolácie elektrických rozvodov a el. prístrojov mechanicky, starnutím, poškodením káblových lávok  (mechanickým, koróznym pôsobením)</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poškodenie a starnutie svietidiel, svetelných zdrojov, ističov, prístroje a pod., skryté výrobné chyby káblov a prístrojov</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životnosť elektrických zariadení, záručná doba elektrozariadení a elektro inštalácií</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neodborná manipulácia na elektrozariadení</w:t>
      </w:r>
      <w:bookmarkStart w:id="97" w:name="_Toc91855851"/>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EE6A26">
        <w:rPr>
          <w:rFonts w:asciiTheme="majorHAnsi" w:hAnsiTheme="majorHAnsi" w:cstheme="majorHAnsi"/>
          <w:szCs w:val="20"/>
        </w:rPr>
        <w:t>NEODSTRÁNITEĽNÉ OHROZENIE</w:t>
      </w:r>
      <w:bookmarkEnd w:id="97"/>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úrazy obsluhy rôznej povahy pri obsluhe, údržbe, oprave, výmenách a pod.</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dotyk na živú časť pri poruche elektroinštalácie, zlý stav ochrany pred úrazom elektrickým prúdom - úraz elektrickým prúdom, pád, popáleniny, šok</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náhodný dotyk na živú časť, zlý stav ochrany pred úrazom elektrickým prúdom - úraz elektrickým prúdom, pád, popáleniny, šok</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nedodržanie pracovnej disciplíny, pracovných postupov a elektrotechnických predpisov pre bezpečnosť práce (STN 34 3100, STN 34 3101, STN 34 3108)</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 xml:space="preserve">zlý stav elektrického ručného náradia </w:t>
      </w:r>
    </w:p>
    <w:p w:rsidR="00EE6A26" w:rsidRPr="00EE6A26" w:rsidRDefault="00EE6A26" w:rsidP="00EE6A26">
      <w:pPr>
        <w:numPr>
          <w:ilvl w:val="0"/>
          <w:numId w:val="17"/>
        </w:numPr>
        <w:ind w:left="1134" w:hanging="357"/>
        <w:jc w:val="both"/>
        <w:rPr>
          <w:rFonts w:asciiTheme="majorHAnsi" w:hAnsiTheme="majorHAnsi" w:cstheme="majorHAnsi"/>
          <w:sz w:val="20"/>
        </w:rPr>
      </w:pPr>
      <w:r w:rsidRPr="00EE6A26">
        <w:rPr>
          <w:rFonts w:asciiTheme="majorHAnsi" w:hAnsiTheme="majorHAnsi" w:cstheme="majorHAnsi"/>
          <w:sz w:val="20"/>
        </w:rPr>
        <w:t xml:space="preserve">neodbornosť a nespôsobilosť obsluhy, vniknutie nepovolaných osôb do blízkosti zariadenia </w:t>
      </w:r>
    </w:p>
    <w:p w:rsidR="00EE6A26" w:rsidRPr="00EE6A26" w:rsidRDefault="00EE6A26" w:rsidP="00EE6A26">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bookmarkStart w:id="98" w:name="_Toc91855852"/>
      <w:r w:rsidRPr="00EE6A26">
        <w:rPr>
          <w:rFonts w:asciiTheme="majorHAnsi" w:hAnsiTheme="majorHAnsi" w:cstheme="majorHAnsi"/>
          <w:szCs w:val="20"/>
        </w:rPr>
        <w:t>MIESTA KDE SA VYSKYTUJE NEDODSTRÁNITEĽNÉ NEBEZPEČENSTVO A OHROZENIE</w:t>
      </w:r>
      <w:bookmarkEnd w:id="98"/>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Prevádzka (miestnosti) s elektrickými inštaláciami. Elektrické zariadenia v tomto projekte vyhovujú požiadavkám vyplývajúcich z predpisov na zaistenie bezpečnosti a zdravia pri práci podľa §4, zákona 124/2006 a 309/2007 Z.z. a v znení neskorších zmien. Pri dodržaní navrhovaného riešenia a bezpečnostných predpisov pre prevádzku, výstavbu a údržbu zariadení, uvažovaných v tomto projekte, nevzniká nebezpečenstvo ohrozenia života a zdravia ľudí. Z navrhovaného riešenia nevznikajú z hľadiska bezpečnosti a zdravia pri práci žiadne zostatkové nebezpečenstvá.</w:t>
      </w:r>
    </w:p>
    <w:p w:rsidR="00EE6A26" w:rsidRPr="00EE6A26" w:rsidRDefault="00EE6A26" w:rsidP="00165ED7">
      <w:pPr>
        <w:pStyle w:val="Nadpis1"/>
        <w:numPr>
          <w:ilvl w:val="0"/>
          <w:numId w:val="14"/>
        </w:numPr>
      </w:pPr>
      <w:r w:rsidRPr="00EE6A26">
        <w:t xml:space="preserve">POŽIADAVKY Z HĽADISKA ŽIVOTNÉHO PROSTREDIA </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Navrhnuté technické riešenie nemá negatívny vplyv na životné prostredie. Z hľadiska nakladania s odpadmi je potrebné riadiť sa ustanoveniami zákona č. 223/2001 Z.z. o odpadoch v znení neskorších predpisov (úplné znenie zákona – zákon č. 409/2006 Z.z.), vyhláškou č. 208/2005 o nakladaní s elektrozariadeniami a elektro-odpadom, vyhláškou č. 283/2001 Z.z. o vykonaní niektorých ustanovení zákona o odpadoch a vyhláškou č. 284/2001 Z.z., ktorou sa ustanovuje Katalóg odpadov v znení neskorších predpisov.</w:t>
      </w:r>
    </w:p>
    <w:p w:rsidR="00EE6A26" w:rsidRPr="00EE6A26" w:rsidRDefault="00EE6A26" w:rsidP="00EE6A26">
      <w:pPr>
        <w:spacing w:before="120" w:after="240"/>
        <w:rPr>
          <w:rFonts w:asciiTheme="majorHAnsi" w:hAnsiTheme="majorHAnsi" w:cstheme="majorHAnsi"/>
          <w:sz w:val="20"/>
        </w:rPr>
      </w:pPr>
      <w:r w:rsidRPr="00EE6A26">
        <w:rPr>
          <w:rFonts w:asciiTheme="majorHAnsi" w:hAnsiTheme="majorHAnsi" w:cstheme="majorHAnsi"/>
          <w:sz w:val="20"/>
        </w:rPr>
        <w:lastRenderedPageBreak/>
        <w:t xml:space="preserve">V zmysle zákona o odpadoch: </w:t>
      </w:r>
    </w:p>
    <w:p w:rsidR="00EE6A26" w:rsidRPr="00EE6A26" w:rsidRDefault="00EE6A26" w:rsidP="00EE6A26">
      <w:pPr>
        <w:spacing w:before="120" w:after="240"/>
        <w:rPr>
          <w:rFonts w:asciiTheme="majorHAnsi" w:hAnsiTheme="majorHAnsi" w:cstheme="majorHAnsi"/>
          <w:sz w:val="20"/>
        </w:rPr>
      </w:pPr>
      <w:r w:rsidRPr="00EE6A26">
        <w:rPr>
          <w:rFonts w:asciiTheme="majorHAnsi" w:hAnsiTheme="majorHAnsi" w:cstheme="majorHAnsi"/>
          <w:sz w:val="20"/>
        </w:rPr>
        <w:t xml:space="preserve">- každý je povinný nakladať s odpadmi alebo inak s nimi zaobchádzať v súlade s týmto zákonom; ten, komu vyplývajú z rozhodnutia alebo povolenia vydaného na základe tohto zákona povinnosti, je povinný nakladať s odpadmi alebo inak s nimi zaobchádzať aj v súlade s týmto rozhodnutím alebo povolením. Pri nakladaní s odpadmi alebo inom zaobchádzaní s nimi je každý povinný chrániť zdravie ľudí a životné prostredie. </w:t>
      </w:r>
    </w:p>
    <w:p w:rsidR="00EE6A26" w:rsidRPr="00EE6A26" w:rsidRDefault="00EE6A26" w:rsidP="00EE6A26">
      <w:pPr>
        <w:spacing w:before="120" w:after="240"/>
        <w:rPr>
          <w:rFonts w:asciiTheme="majorHAnsi" w:hAnsiTheme="majorHAnsi" w:cstheme="majorHAnsi"/>
          <w:sz w:val="20"/>
        </w:rPr>
      </w:pPr>
      <w:r w:rsidRPr="00EE6A26">
        <w:rPr>
          <w:rFonts w:asciiTheme="majorHAnsi" w:hAnsiTheme="majorHAnsi" w:cstheme="majorHAnsi"/>
          <w:sz w:val="20"/>
        </w:rPr>
        <w:t>- pre nakladanie s odpadmi a držiteľ odpadu je povinný odpady zaraďovať podľa Katalógu odpadov (§68 ods. 3 písm. e)).</w:t>
      </w:r>
    </w:p>
    <w:p w:rsidR="00EE6A26" w:rsidRPr="00EE6A26" w:rsidRDefault="00EE6A26" w:rsidP="00EE6A26">
      <w:pPr>
        <w:spacing w:before="120" w:after="240"/>
        <w:rPr>
          <w:rFonts w:asciiTheme="majorHAnsi" w:hAnsiTheme="majorHAnsi" w:cstheme="majorHAnsi"/>
          <w:sz w:val="20"/>
        </w:rPr>
      </w:pPr>
      <w:r w:rsidRPr="00EE6A26">
        <w:rPr>
          <w:rFonts w:asciiTheme="majorHAnsi" w:hAnsiTheme="majorHAnsi" w:cstheme="majorHAnsi"/>
          <w:sz w:val="20"/>
        </w:rPr>
        <w:t>- Obec upraví podrobnosti o nakladaní s komunálnymi odpadmi a s drobnými stavebnými odpadmi a elektroodpadmi z domácností všeobecne záväzným nariadením, v ktorom ustanoví najmä podrobnosti o spôsobe zberu a prepravy komunálnych odpadov, o spôsobe separovaného zberu jednotlivých zložiek komunálnych odpadov, o spôsobe nakladania s drobnými stavebnými odpadmi, ako aj miesta určené na ukladanie týchto odpadov a na zneškodňovanie odpadov. Čistota verejných priestranstiev bude zabezpečovaná dodávateľom v zmysle vyhl. č. 135/1984 Zb. v znení neskorších predpisov.</w:t>
      </w:r>
    </w:p>
    <w:p w:rsidR="00EE6A26" w:rsidRPr="00EE6A26" w:rsidRDefault="00EE6A26" w:rsidP="00165ED7">
      <w:pPr>
        <w:pStyle w:val="Nadpis1"/>
        <w:numPr>
          <w:ilvl w:val="0"/>
          <w:numId w:val="14"/>
        </w:numPr>
      </w:pPr>
      <w:r w:rsidRPr="00EE6A26">
        <w:t>REVÍZIA</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Po ukončení montážnych prác musí byť vykonaná v súlade s STN 33 1500 a STN 33 2000-6 prvá odborná skúška el. inštalácie. Prevádzkovateľ je potom povinný uskutočňovať pravidelné odborné prehliadky v zmysle STN 33 1500 a vyhlášky MPSVaR 508/2009 Z.z.. Na bezpečné prevádzkovanie, vykonávanie kontrol, údržby a obsluhy elektrického zariadenia si prevádzkovateľ vypracuje prevádzkový predpis. Súčasťou prevádzkovej dokumentácie sú záznamy o vykonaných prehliadkach a skúškach elektrického zariadenia.</w:t>
      </w:r>
    </w:p>
    <w:p w:rsidR="00EE6A26" w:rsidRPr="00EE6A26" w:rsidRDefault="00EE6A26" w:rsidP="00165ED7">
      <w:pPr>
        <w:pStyle w:val="Nadpis1"/>
        <w:numPr>
          <w:ilvl w:val="0"/>
          <w:numId w:val="14"/>
        </w:numPr>
      </w:pPr>
      <w:r w:rsidRPr="00EE6A26">
        <w:t xml:space="preserve">ZÁVER A ZHODNOTENIE </w:t>
      </w:r>
    </w:p>
    <w:p w:rsidR="00EE6A26" w:rsidRPr="00EE6A26" w:rsidRDefault="00EE6A26" w:rsidP="00EE6A26">
      <w:pPr>
        <w:spacing w:before="120" w:after="240"/>
        <w:ind w:firstLine="567"/>
        <w:rPr>
          <w:rFonts w:asciiTheme="majorHAnsi" w:hAnsiTheme="majorHAnsi" w:cstheme="majorHAnsi"/>
          <w:sz w:val="20"/>
        </w:rPr>
      </w:pPr>
      <w:r w:rsidRPr="00EE6A26">
        <w:rPr>
          <w:rFonts w:asciiTheme="majorHAnsi" w:hAnsiTheme="majorHAnsi" w:cstheme="majorHAnsi"/>
          <w:sz w:val="20"/>
        </w:rPr>
        <w:t>Pretože objekt preberá užívateľ ako celok je potrebné oboznámenie sa s prevádzkovými vlastnosťami elektrického zariadenia. Projektová dokumentácia elektroinštalácie slúži ako doklad pre vydanie stavebného povolenia stavby.</w:t>
      </w:r>
      <w:r w:rsidRPr="00EE6A26">
        <w:rPr>
          <w:rFonts w:asciiTheme="majorHAnsi" w:hAnsiTheme="majorHAnsi" w:cstheme="majorHAnsi"/>
          <w:sz w:val="20"/>
        </w:rPr>
        <w:tab/>
      </w:r>
      <w:r w:rsidRPr="00EE6A26">
        <w:rPr>
          <w:rFonts w:asciiTheme="majorHAnsi" w:hAnsiTheme="majorHAnsi" w:cstheme="majorHAnsi"/>
          <w:sz w:val="20"/>
        </w:rPr>
        <w:tab/>
      </w:r>
    </w:p>
    <w:p w:rsidR="00EE6A26" w:rsidRPr="00EE6A26" w:rsidRDefault="00EE6A26" w:rsidP="00EE6A26">
      <w:pPr>
        <w:tabs>
          <w:tab w:val="left" w:pos="8505"/>
        </w:tabs>
        <w:spacing w:before="120" w:after="240"/>
        <w:rPr>
          <w:rFonts w:asciiTheme="majorHAnsi" w:hAnsiTheme="majorHAnsi" w:cstheme="majorHAnsi"/>
          <w:i/>
          <w:sz w:val="20"/>
        </w:rPr>
      </w:pPr>
      <w:r w:rsidRPr="00EE6A26">
        <w:rPr>
          <w:rFonts w:asciiTheme="majorHAnsi" w:hAnsiTheme="majorHAnsi" w:cstheme="majorHAnsi"/>
          <w:b/>
          <w:noProof/>
          <w:sz w:val="20"/>
          <w:u w:val="single"/>
        </w:rPr>
        <w:t xml:space="preserve">Upozornenie: </w:t>
      </w:r>
      <w:r w:rsidRPr="00EE6A26">
        <w:rPr>
          <w:rStyle w:val="il"/>
          <w:rFonts w:asciiTheme="majorHAnsi" w:hAnsiTheme="majorHAnsi" w:cstheme="majorHAnsi"/>
          <w:i/>
          <w:sz w:val="20"/>
        </w:rPr>
        <w:t>Projektant</w:t>
      </w:r>
      <w:r w:rsidRPr="00EE6A26">
        <w:rPr>
          <w:rFonts w:asciiTheme="majorHAnsi" w:hAnsiTheme="majorHAnsi" w:cstheme="majorHAnsi"/>
          <w:i/>
          <w:sz w:val="20"/>
        </w:rPr>
        <w:t xml:space="preserve"> neručí za funkčnosť, správnosť a chod zariadení a systému, pokiaľ budú vykonané zmeny káblov, zariadení alebo nastavenia uvedené v projekte stavby bez predchádzajúcej konzultácie s projektantom. </w:t>
      </w:r>
      <w:r w:rsidRPr="00EE6A26">
        <w:rPr>
          <w:rStyle w:val="il"/>
          <w:rFonts w:asciiTheme="majorHAnsi" w:hAnsiTheme="majorHAnsi" w:cstheme="majorHAnsi"/>
          <w:i/>
          <w:sz w:val="20"/>
        </w:rPr>
        <w:t>Projektant</w:t>
      </w:r>
      <w:r w:rsidRPr="00EE6A26">
        <w:rPr>
          <w:rFonts w:asciiTheme="majorHAnsi" w:hAnsiTheme="majorHAnsi" w:cstheme="majorHAnsi"/>
          <w:i/>
          <w:sz w:val="20"/>
        </w:rPr>
        <w:t xml:space="preserve"> nenesie žiadnu zodpovednosť za zmeny uskutočnené bez jeho písomného súhlasu. Zhotoviteľ je povinný o zistených chybách v dokumentácií, neodkladne informovať projektanta. Zhotoviteľ je povinný skutočné rozmery skontrolovať na stavbe a pripraviť si svoju dodávateľskú dokumentáciu. Táto projektová dokumentácia je podľa parag. 5 ods. 1 zákona č.618/2003 Z.z. v platnom znení projektovým dielom, pričom neoprávnený zásah do autorských práv súvisiacich s uvedeným dielom je trestný podľa parag. 283 ods. 1 zákona 300/2005 Z.z.. Dokumentácia je určená výlučne pre potreby zadávateľa uvedeného v rozpiske vo výkresovej časti. Akékoľvek iné použitie alebo prevod podlieha predchadzajúcemu písomnému súhlasu autora.</w:t>
      </w:r>
    </w:p>
    <w:p w:rsidR="00EE6A26" w:rsidRPr="00EE6A26" w:rsidRDefault="00EE6A26" w:rsidP="00EE6A26">
      <w:pPr>
        <w:rPr>
          <w:rFonts w:asciiTheme="majorHAnsi" w:eastAsia="Arial Unicode MS" w:hAnsiTheme="majorHAnsi" w:cstheme="majorHAnsi"/>
          <w:b/>
          <w:color w:val="000000"/>
          <w:sz w:val="20"/>
          <w:lang w:bidi="sk-SK"/>
        </w:rPr>
      </w:pPr>
      <w:r w:rsidRPr="00EE6A26">
        <w:rPr>
          <w:rFonts w:asciiTheme="majorHAnsi" w:eastAsia="Arial Unicode MS" w:hAnsiTheme="majorHAnsi" w:cstheme="majorHAnsi"/>
          <w:b/>
          <w:color w:val="000000"/>
          <w:sz w:val="20"/>
          <w:lang w:bidi="sk-SK"/>
        </w:rPr>
        <w:t>Vyhodnotenie neodstrániteľných nebezpečenstiev a neodstrániteľných ohrození vyplývajúcich z navrhovaných riešení elektroinštalácie ako aj montáže elektrických zariadení a návrh ochranných opatrení proti týmto nebezpečenstvám a ohrozeniam v zmysle §4, zákona NR SR č.124/2006 Z.z.</w:t>
      </w:r>
    </w:p>
    <w:p w:rsidR="00EE6A26" w:rsidRPr="00EE6A26" w:rsidRDefault="00EE6A26" w:rsidP="00EE6A26">
      <w:pPr>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u w:val="single"/>
          <w:lang w:bidi="sk-SK"/>
        </w:rPr>
        <w:t>Elektroinštalačný materiál a elektrické zariadenia musia:</w:t>
      </w:r>
      <w:r w:rsidRPr="00EE6A26">
        <w:rPr>
          <w:rFonts w:asciiTheme="majorHAnsi" w:eastAsia="Arial Unicode MS" w:hAnsiTheme="majorHAnsi" w:cstheme="majorHAnsi"/>
          <w:color w:val="000000"/>
          <w:sz w:val="20"/>
          <w:lang w:bidi="sk-SK"/>
        </w:rPr>
        <w:t xml:space="preserve">  byť posudzované podľa zákona NR SR č.264/1999 Z.z. – O technických požiadavkách na výrobky a o posudzovaní zhody...a musia byť na každý elektroinštalačný výrobok a zariadenie od dodávateľa elektroinštalácie vydané vyhlásenie o zhode. </w:t>
      </w:r>
    </w:p>
    <w:p w:rsidR="00EE6A26" w:rsidRPr="00EE6A26" w:rsidRDefault="00EE6A26" w:rsidP="00EE6A26">
      <w:pPr>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Vyhlásenie o zhode na predmetný elektroinštalačný výrobok a zariadenie tento výrobok a zariadenie oprávňuje používať za obvyklého prevádzkového stavu bez rizika ohrozenia bezpečnosti a zdravia osôb a majetku.</w:t>
      </w:r>
    </w:p>
    <w:p w:rsidR="00EE6A26" w:rsidRPr="00EE6A26" w:rsidRDefault="00EE6A26" w:rsidP="00EE6A26">
      <w:pPr>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Pri práci na elektrických zariadeniach a pri elektroinštaláciách z hľadiska bezpečnosti a ochrany zdravia pri práci vyplývajúcich z navrhovaných riešení v tomto projekte elektroinštalácie, v určených prevádzkových a užívateľských podmienkach je nutné dodržiavať ustanovenia STN 34 3100:2001:</w:t>
      </w:r>
    </w:p>
    <w:p w:rsidR="00EE6A26" w:rsidRPr="00EE6A26" w:rsidRDefault="00EE6A26" w:rsidP="00EE6A26">
      <w:pPr>
        <w:tabs>
          <w:tab w:val="left" w:pos="0"/>
        </w:tabs>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Pre každú elektroinštaláciu sa musí určiť osoba zodpovedná za jej montáž a prevádzku na kvalifikačnej úrovni podľa vyhlášky SÚBP č.508/2009 Z.z.</w:t>
      </w:r>
    </w:p>
    <w:p w:rsidR="00EE6A26" w:rsidRPr="00EE6A26" w:rsidRDefault="00EE6A26" w:rsidP="00EE6A26">
      <w:pPr>
        <w:widowControl w:val="0"/>
        <w:tabs>
          <w:tab w:val="left" w:pos="0"/>
        </w:tabs>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Pre obsluhu a prácu na elektrických inštaláciách dodržiavať pracovné postupy podľa kvalifikácie odôb.</w:t>
      </w:r>
    </w:p>
    <w:p w:rsidR="00EE6A26" w:rsidRPr="00EE6A26" w:rsidRDefault="00EE6A26" w:rsidP="00EE6A26">
      <w:pPr>
        <w:widowControl w:val="0"/>
        <w:tabs>
          <w:tab w:val="left" w:pos="0"/>
        </w:tabs>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Podľa STN 34 3100:2001 čl. 5 – zaisťovať bezpečnosť pri práci, ide o bezpečnostné oznamy, ochranné a pracovné pomôcky, technické a organizačné opatrenia na zaistenie bezpečnosti pri práci.</w:t>
      </w:r>
    </w:p>
    <w:p w:rsidR="00EE6A26" w:rsidRPr="00EE6A26" w:rsidRDefault="00EE6A26" w:rsidP="00EE6A26">
      <w:pPr>
        <w:widowControl w:val="0"/>
        <w:tabs>
          <w:tab w:val="left" w:pos="0"/>
        </w:tabs>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lastRenderedPageBreak/>
        <w:t>Podľa STN 34 3100:2001 čl.6 – obsluhovať nainštalované elektrické zariadenia.</w:t>
      </w:r>
    </w:p>
    <w:p w:rsidR="00EE6A26" w:rsidRPr="00EE6A26" w:rsidRDefault="00EE6A26" w:rsidP="00EE6A26">
      <w:pPr>
        <w:widowControl w:val="0"/>
        <w:tabs>
          <w:tab w:val="left" w:pos="0"/>
        </w:tabs>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Podľa STN 34 3100:2001 čl. 7 – vykonávať práce na elektrických inštaláciách, čl. 7.1 – spoločné ustanovenia , čl.7.2 – práca na elektrických inštaláciách mn, čl.7.3 – práca na elektrických inštaláciách nn, čl. 7.5 – práca na elektrických inštaláciách vykonávaná cudzími (vyslanými) pracovníkmi.</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Podľa STN 34 3100:2001 čl. 8 – zabezpečovať protipožiarne opatrenia a hasenie požiarov na elektrických inštaláciách.</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Obsluhu a prácu na elektrických vedeniach vonkajších a káblových vykonávať a riadiť podľa STN 34 3101:1987 a zmena a/1991 a súvisiacich predpisov a STN.</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Obsluhu a prácu na elektrických prístrojoch a rozvádzačoch vykonávať a riadiť podľa STN 34 31.03:1967 a zmena a/1970 a súvisiacich predpisov a STN.</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Ochranné opatrenia proti nebezpečným účinkom statickej elektriny zabezpečovať v zmysle STN 33 2030:1984 a zmena a/1988 a súvisiacich predpisov a STN.</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Odporúčam dodržiavať podľa STN EN 50110-1 – Prevádzka elektrických inštalácií, ustanovenia čl.4 – základné princípy, čl. 5 – zvyčajné prevádzkové postupy, čl.6 – pracovné postupy , čl.7 – postupy na údržbárske práce...</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 xml:space="preserve">Bezpodmienečne dbajte na to , aby všetky práce na elektroinštalácii boli urobené len </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odborníkmi v zmysle vyhlášky č.508/2009 Z.z , §14 . Odborná spôsobilosť pracovníkov na činnosť na elektrických zariadeniach musí byť posudzovaná podľa vyhlášky č.508/2009 Z.z. §19,§21,§22,§23 a §24.</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ab/>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u w:val="single"/>
          <w:lang w:bidi="sk-SK"/>
        </w:rPr>
        <w:t>Pohyblivé a poddajné prívody</w:t>
      </w:r>
      <w:r w:rsidRPr="00EE6A26">
        <w:rPr>
          <w:rFonts w:asciiTheme="majorHAnsi" w:eastAsia="Arial Unicode MS" w:hAnsiTheme="majorHAnsi" w:cstheme="majorHAnsi"/>
          <w:color w:val="000000"/>
          <w:sz w:val="20"/>
          <w:lang w:bidi="sk-SK"/>
        </w:rPr>
        <w:t xml:space="preserve"> – sa musia klásť a používať tak, aby sa nemohli poškodiť a aby boli zabezpečené proti posunutiu a vytrhnutiu zo svoriek.</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Pri používaní rozpájateľných spojov nesmie byť v rozpojenom stave na kontaktoch vidlíc napätie. Elektrické zariadenia , ktoré sú pripojené pohyblivým prívodom, musia sa pri premiestňovaní odpojiť od elektrickej siete, pokiaľ nie sú upravené tak, že sa môže s nimi manipulovať i pod napätím.</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Pri napájaní zariadení šnúrou, ochranný vodič v šnúre musí byť dlhší ako krajné (fázové) vodiče, pre prípad zlyhania odľahčovacej svorky – aby bol posledným prerušeným vodičom.</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u w:val="single"/>
          <w:lang w:bidi="sk-SK"/>
        </w:rPr>
        <w:t>Dočasné elektrické zariadenia</w:t>
      </w:r>
      <w:r w:rsidRPr="00EE6A26">
        <w:rPr>
          <w:rFonts w:asciiTheme="majorHAnsi" w:eastAsia="Arial Unicode MS" w:hAnsiTheme="majorHAnsi" w:cstheme="majorHAnsi"/>
          <w:color w:val="000000"/>
          <w:sz w:val="20"/>
          <w:lang w:bidi="sk-SK"/>
        </w:rPr>
        <w:t xml:space="preserve"> alebo ich časti musia byť v čase , keď sa nepoužívajú, vypnuté, pokiaľ ich vypnutie neohrozí bezpečnosť osôb a technických zariadení. Hlavný vypínač musí byť trvalo prístupný a viditeľne označený. Dočasné elektrické zariadenia sa nesmú zriaďovať v prostredí s nebezpečenstvom výbuchu.</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u w:val="single"/>
          <w:lang w:bidi="sk-SK"/>
        </w:rPr>
        <w:t>Stroje, zariadenia</w:t>
      </w:r>
      <w:r w:rsidRPr="00EE6A26">
        <w:rPr>
          <w:rFonts w:asciiTheme="majorHAnsi" w:eastAsia="Arial Unicode MS" w:hAnsiTheme="majorHAnsi" w:cstheme="majorHAnsi"/>
          <w:color w:val="000000"/>
          <w:sz w:val="20"/>
          <w:lang w:bidi="sk-SK"/>
        </w:rPr>
        <w:t>, alebo ich časti musia byť zabezpečené proti samovoľnému spusteniu po prechodnej strate napätia v sieti , okrem prípadov, pri ktorých samovoľné spustenie nie je spojené s nebezpečenstvom úrazu, poruchy alebo prevádzkovej nehody. Samovoľné spustenie stroja alebo zariadenia nesmie nastať ani v prípade náhodného skratu, alebo uzemňovacieho spojenia v riadiacich obvodoch. Porucha v riadiacich okruhoch nesmie znemožniť ani núdzové , alebo havarijné zastavenie stroja alebo zariadenia.</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u w:val="single"/>
          <w:lang w:bidi="sk-SK"/>
        </w:rPr>
        <w:t>Rozvádzač , resp. rozvodnica</w:t>
      </w:r>
      <w:r w:rsidRPr="00EE6A26">
        <w:rPr>
          <w:rFonts w:asciiTheme="majorHAnsi" w:eastAsia="Arial Unicode MS" w:hAnsiTheme="majorHAnsi" w:cstheme="majorHAnsi"/>
          <w:color w:val="000000"/>
          <w:sz w:val="20"/>
          <w:lang w:bidi="sk-SK"/>
        </w:rPr>
        <w:t xml:space="preserve"> (ďalej len rozvádzač), pre elektrickú inštaláciu môže vyrábať len subjekt , ktorý vlastní oprávnenie na výrobu rozvádzačov podľa vyhl. 508/2009 Z.z.</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Rozvádzač musí byť vyrobený podľa STN EN 604 39-1/2002 + A1/2005,  STN EN 604 39-2/2002 + A1/2006, STN EN 604 39-3/1998 + A1/2002 + C2/2006 + A2/2002, STN EN 604 39-4/2005, STN EN 604 39-5/2007.</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K rozvádzaču musí byť dodaná sprievodná dokumentácia s určením podmienok na jeho inštaláciu, prevádzku, údržbu a pre používanie prístrojov, ktoré sú jeho súčasťou.</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Pripojovacie svorky, objímky a pod., slúžiace na pripojenie neživých častí s vonkajšími ochrannými vodičmi, nesmú mať inú funkciu.</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Rozvádzač v izolačnom kryte musí byť viditeľne označený číslom symbolu z vonkajšej strany rozvádzača. Spoje medzi prúdovými časťami sa musia urobiť takými prostriedkami, ktoré zabezpečia dostatočný stály tlak.</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Vykonanie kusovej skúšky vo výrobni rozvádzača, nezbavuje montážnu organizáciu, ktorá rozvádzač inštaluje, povinnosť prekontrolovať rozvádzač po jeho preprave a inštalovaní podľa  STN 33 15 00, STN 33 2000-6-61, STN EN 604 39-1/2002 + A1/2005.</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u w:val="single"/>
          <w:lang w:bidi="sk-SK"/>
        </w:rPr>
        <w:t>Elektroinštalácia a elektrické zariadenia</w:t>
      </w:r>
      <w:r w:rsidRPr="00EE6A26">
        <w:rPr>
          <w:rFonts w:asciiTheme="majorHAnsi" w:eastAsia="Arial Unicode MS" w:hAnsiTheme="majorHAnsi" w:cstheme="majorHAnsi"/>
          <w:color w:val="000000"/>
          <w:sz w:val="20"/>
          <w:lang w:bidi="sk-SK"/>
        </w:rPr>
        <w:t xml:space="preserve"> musia byť vo všetkých svojich častiach konštruované , vyrobené , montované a prevádzkované s prihliadnutím na prevádzkové napätie tak, aby sa nestali pri zvyčajnom používaní zdrojom úrazu , požiaru, alebo výbuchu.</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Pracovné postupy je nutné realizovať na základe platnej technickej a konštrukčnej dokumentácie, vyhotovenej podľa vyhlášky č. 508/2009 Z.z. §6 príloha č.2 a č.3 zákona č.264/1999 Z.z. príloha č.4, STN 33 20 00-1 a im pridruženým predpisom STN.</w:t>
      </w:r>
    </w:p>
    <w:p w:rsidR="00EE6A26" w:rsidRPr="00EE6A26" w:rsidRDefault="00EE6A26" w:rsidP="00EE6A26">
      <w:pPr>
        <w:ind w:firstLine="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u w:val="single"/>
          <w:lang w:bidi="sk-SK"/>
        </w:rPr>
        <w:lastRenderedPageBreak/>
        <w:t xml:space="preserve">Elektrické zariadenia sa smú používať </w:t>
      </w:r>
      <w:r w:rsidRPr="00EE6A26">
        <w:rPr>
          <w:rFonts w:asciiTheme="majorHAnsi" w:eastAsia="Arial Unicode MS" w:hAnsiTheme="majorHAnsi" w:cstheme="majorHAnsi"/>
          <w:color w:val="000000"/>
          <w:sz w:val="20"/>
          <w:lang w:bidi="sk-SK"/>
        </w:rPr>
        <w:t xml:space="preserve"> (prevádzkovať) iba za prevádzkových</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 xml:space="preserve">a pracovných podmienok, pre ktoré boli konštruované a vyrobené. </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Všetky časti elektrického zariadenia musia byť mechanicky pevné, spoľahlivo upevnené a nesmú nepriaznivo ovplyvňovať iné zariadenia , musia byť dostatočne dimenzované a chránené proti účinkom skratových prúdov a preťaženiu.</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Je nutné zabrániť prúdom spôsobujúcim úraz a nadmerné teploty, ktoré môžu</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spôsobiť požiar, alebo škodlivé účinky, ktoré ohrozujú bezpečnosť osôb, hospodárskych zvierat a majetku. Do rozvodných zariadení musia byť inštalované odpájacie prístroje – hlavné vypínače pre vypínanie elektroinštalácie ako celku a prístroje pre vypínanie jednotlivých obvodov, pre okamžité prerušenie napájania, s ich označením , bezpečným a rýchlym ovládaním. Všetky časti elektrickej inštalácie, ktoré slúžia na zaistenie bezpečnosti osôb v prípade nebezpečenstva (napr. hlavné vypínače zariadení), musia byť nápadne označené a v ich blízkosti musí byť umiestnená bezpečnostná značka, alebo nápis s príslušným pokynom. Všetky elektrické zariadenia, ktoré môžu spôsobiť vysoké teploty, alebo elektrický oblúk, musia sa umiestniť a chrániť tak, aby sa zabránilo nebezpečenstvu vzniku a rozšírenia požiaru horľavých látok, aby sa nezhoršovali navrhnuté podmienky chladenia podľa ich návodu na montáž od výrobcu a dodávateľa.</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Ak sú elektrické zariadenia uvádzané do prevádzky po častiach , musia byť ich nehotové časti spoľahlivo odpojené a zabezpečené proti nežiadúcemu zapojeniu, prípadne musia byť zabezpečené inak, aby pod napätím nedošlo k ohrozeniu osôb.</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Elektrické zariadenia , u ktorých sa zistí, že ohrozujú život, alebo zdravie osôb, treba ihneď odpojiť a zabezpečiť.</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Elektrické zariadenia na vrejne prístupných miestach, musia byť vybavené výstražnou značkou podľa STN EN 613 10-1/2008, upozorňujúcou na nebezpečenstvo úrazu elektrickým prúdom, alebo označené na kryte bleskom červenej farby podľa STN IEC 604 17/1995, značka č. 5036.</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Elektrická inštalácia sa musí usporiadať tak, aby medzi elektrickými cudzími inštaláciami nenastali vzájomné škodlivé účinky.</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u w:val="single"/>
          <w:lang w:bidi="sk-SK"/>
        </w:rPr>
        <w:t xml:space="preserve">Elektrické vedenia </w:t>
      </w:r>
      <w:r w:rsidRPr="00EE6A26">
        <w:rPr>
          <w:rFonts w:asciiTheme="majorHAnsi" w:eastAsia="Arial Unicode MS" w:hAnsiTheme="majorHAnsi" w:cstheme="majorHAnsi"/>
          <w:color w:val="000000"/>
          <w:sz w:val="20"/>
          <w:lang w:bidi="sk-SK"/>
        </w:rPr>
        <w:t>musia byť uložené a vyhotovené tak, aby boli prehľadné , čo najkratšie, a aby sa križovali len v odôvodnených prípadoch. Priechody elektrického vedenia stenami a konštrukciami musia byť vyhotovené tak, aby nebolo ohrozené elektrické vedenie, podklady ani okolité priestory.</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 xml:space="preserve"> Vzdialenosti vodičov a káblov navzájom, od častí budov, od nosných konštrukcií sa musia zvoliť podľa druhu izolácie a spôsobu ich uloženia. Spoje, ktorými a izolované elektrické vedenia spájajú, nesmú znižovať stupeň izolácie elektrického vedenia. V rúrkach a podobnom úložnom materiálu sa nesmú vodiče spájať.</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Najmä sa musia urobiť opatrenia:</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 xml:space="preserve">proti dotyku, alebo priblíženiu sa k častiam s nebezpečným napätím (živým častiam), proti nebezpečnému dotykovému napätiu na prístupných vodivých neživých častiach (obaloch, puzdrách, krytoch a konštrukciách) v zmysle STN IEC 61140:2004 </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proti škodlivým účinkom atmosférických výbojov</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proti nebezpečenstvu vyplývajúcemu z nábojov statickej elektriny, v zmysle STN 33 2030</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proti nebezpečným účinkom elektrického oblúku</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proti škodlivému pôsobeniu prostredia na bezpečnosť elektroinštalácie a elektrického zariadenia</w:t>
      </w:r>
    </w:p>
    <w:p w:rsidR="00EE6A26" w:rsidRPr="00EE6A26" w:rsidRDefault="00EE6A26" w:rsidP="00EE6A26">
      <w:pPr>
        <w:ind w:left="284"/>
        <w:rPr>
          <w:rFonts w:asciiTheme="majorHAnsi" w:eastAsia="Arial Unicode MS" w:hAnsiTheme="majorHAnsi" w:cstheme="majorHAnsi"/>
          <w:color w:val="000000"/>
          <w:sz w:val="20"/>
          <w:lang w:bidi="sk-SK"/>
        </w:rPr>
      </w:pP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Ak emituje nejaký druh žiarenia, treba zabezpečiť, aby používateľ, alebo pracovník technickej obsluhy nebol vystavený nadmerne vysokej úrovni tohto žiarenia.</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Ide o šírenie zvukových vĺn, vysokofrekvenčné žiarenie, infračervené žiarenie, viditeľné a kohorentnésvetlo s vysokou intenzitou, ultrafialové svetlo, ionizujúce žiarenie atď.</w:t>
      </w:r>
    </w:p>
    <w:p w:rsidR="00EE6A26" w:rsidRPr="00EE6A26" w:rsidRDefault="00EE6A26" w:rsidP="00EE6A26">
      <w:pPr>
        <w:ind w:left="284"/>
        <w:rPr>
          <w:rFonts w:asciiTheme="majorHAnsi" w:eastAsia="Arial Unicode MS" w:hAnsiTheme="majorHAnsi" w:cstheme="majorHAnsi"/>
          <w:color w:val="000000"/>
          <w:sz w:val="20"/>
          <w:lang w:bidi="sk-SK"/>
        </w:rPr>
      </w:pP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u w:val="single"/>
          <w:lang w:bidi="sk-SK"/>
        </w:rPr>
        <w:t>Funkcia, prevádzková spoľahlivosť a bezpečnosť elektrických zariadení</w:t>
      </w:r>
      <w:r w:rsidRPr="00EE6A26">
        <w:rPr>
          <w:rFonts w:asciiTheme="majorHAnsi" w:eastAsia="Arial Unicode MS" w:hAnsiTheme="majorHAnsi" w:cstheme="majorHAnsi"/>
          <w:color w:val="000000"/>
          <w:sz w:val="20"/>
          <w:lang w:bidi="sk-SK"/>
        </w:rPr>
        <w:t xml:space="preserve"> v zmysle vyhlášky č.508/2009 Z.z. §9 až §13 sa preveruje predpísanými prehliadkami a skúškami podľa STN 33 1500, STN 33 1600, STN 33 2000-6.</w:t>
      </w:r>
    </w:p>
    <w:p w:rsidR="00EE6A26" w:rsidRPr="00EE6A26" w:rsidRDefault="00EE6A26" w:rsidP="00EE6A26">
      <w:pPr>
        <w:tabs>
          <w:tab w:val="left" w:pos="3615"/>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ab/>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u w:val="single"/>
          <w:lang w:bidi="sk-SK"/>
        </w:rPr>
        <w:t>Pri odbornej prehliadke a odbornej skúške</w:t>
      </w:r>
      <w:r w:rsidRPr="00EE6A26">
        <w:rPr>
          <w:rFonts w:asciiTheme="majorHAnsi" w:eastAsia="Arial Unicode MS" w:hAnsiTheme="majorHAnsi" w:cstheme="majorHAnsi"/>
          <w:color w:val="000000"/>
          <w:sz w:val="20"/>
          <w:lang w:bidi="sk-SK"/>
        </w:rPr>
        <w:t xml:space="preserve"> sa vyhodnotí:</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zhodnosť elektroinštalácie s technickou dokumentáciou</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správna funkcia ochranných a zabezpečovacích zariadení</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výsledky všetkých prehliadok a skúšok , vrátane nameraných hodnôt veličín a použitých meracích prístrojov</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doklady k zariadeniu (atesty, certifikáty, vyhlásenia o zhode a pod.) ak sú potrebné z hľadiska celkového posúdenia</w:t>
      </w:r>
    </w:p>
    <w:p w:rsidR="00EE6A26" w:rsidRPr="00EE6A26" w:rsidRDefault="00EE6A26" w:rsidP="00EE6A26">
      <w:pPr>
        <w:widowControl w:val="0"/>
        <w:numPr>
          <w:ilvl w:val="0"/>
          <w:numId w:val="20"/>
        </w:numPr>
        <w:tabs>
          <w:tab w:val="left" w:pos="0"/>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 xml:space="preserve">ďalšie skutočnosti, ktoré môžu ovplyvniť bezpečnosť zariadenia </w:t>
      </w:r>
    </w:p>
    <w:p w:rsidR="00EE6A26" w:rsidRPr="00EE6A26" w:rsidRDefault="00EE6A26" w:rsidP="00EE6A26">
      <w:pPr>
        <w:ind w:left="284"/>
        <w:rPr>
          <w:rFonts w:asciiTheme="majorHAnsi" w:eastAsia="Arial Unicode MS" w:hAnsiTheme="majorHAnsi" w:cstheme="majorHAnsi"/>
          <w:color w:val="000000"/>
          <w:sz w:val="20"/>
          <w:lang w:bidi="sk-SK"/>
        </w:rPr>
      </w:pP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u w:val="single"/>
          <w:lang w:bidi="sk-SK"/>
        </w:rPr>
        <w:lastRenderedPageBreak/>
        <w:t>Po ukončení elektroinštalačných prác</w:t>
      </w:r>
      <w:r w:rsidRPr="00EE6A26">
        <w:rPr>
          <w:rFonts w:asciiTheme="majorHAnsi" w:eastAsia="Arial Unicode MS" w:hAnsiTheme="majorHAnsi" w:cstheme="majorHAnsi"/>
          <w:color w:val="000000"/>
          <w:sz w:val="20"/>
          <w:lang w:bidi="sk-SK"/>
        </w:rPr>
        <w:t xml:space="preserve"> a po odovzdaní správy z odbornej prehliadky a odbornej skúšky a projektu skutočného vyhotovenia elektroinštalácie a elektrického zariadenia, je určený odborne spôsobilý pracovník montážnej organizácie povinný investora a pracovníkov investora, resp. majiteľa a pod. poučiť v zmysle §20 vyhlášky č.508/2009Z.z. o možných ohrozeniach elektrickým prúdom pri neodbornom zaobchádzaní s elektrickými zariadeniami resp. o poškodení elektrických zariadení neobvyklým a neodborným zasahovaním do elektrických zariadení a elektroinštalácie.</w:t>
      </w:r>
    </w:p>
    <w:p w:rsidR="00EE6A26" w:rsidRPr="00EE6A26" w:rsidRDefault="00EE6A26" w:rsidP="00EE6A26">
      <w:pPr>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Z predmetného poučenia je treba urobiť zápis s podpisom zúčastnených.</w:t>
      </w:r>
    </w:p>
    <w:p w:rsidR="00EE6A26" w:rsidRPr="00EE6A26" w:rsidRDefault="00EE6A26" w:rsidP="00EE6A26">
      <w:pPr>
        <w:tabs>
          <w:tab w:val="center" w:pos="5601"/>
          <w:tab w:val="right" w:pos="10137"/>
        </w:tabs>
        <w:ind w:left="284"/>
        <w:rPr>
          <w:rFonts w:asciiTheme="majorHAnsi" w:eastAsia="Arial Unicode MS" w:hAnsiTheme="majorHAnsi" w:cstheme="majorHAnsi"/>
          <w:color w:val="000000"/>
          <w:sz w:val="20"/>
          <w:lang w:bidi="sk-SK"/>
        </w:rPr>
      </w:pPr>
      <w:r w:rsidRPr="00EE6A26">
        <w:rPr>
          <w:rFonts w:asciiTheme="majorHAnsi" w:eastAsia="Arial Unicode MS" w:hAnsiTheme="majorHAnsi" w:cstheme="majorHAnsi"/>
          <w:color w:val="000000"/>
          <w:sz w:val="20"/>
          <w:lang w:bidi="sk-SK"/>
        </w:rPr>
        <w:t>Montážna organizácia elektroinštalácie a elektrických zariadení je zodpovedná za vykonanie poučenia investora v zmysle §20, vyhlášky č. 508/2009 Z.z.</w:t>
      </w:r>
    </w:p>
    <w:p w:rsidR="00CA6E4A" w:rsidRDefault="00CA6E4A" w:rsidP="0009245A">
      <w:pPr>
        <w:autoSpaceDE w:val="0"/>
        <w:autoSpaceDN w:val="0"/>
        <w:adjustRightInd w:val="0"/>
        <w:rPr>
          <w:rFonts w:ascii="Calibri" w:hAnsi="Calibri" w:cs="Calibri"/>
          <w:b/>
          <w:iCs/>
          <w:sz w:val="24"/>
        </w:rPr>
      </w:pPr>
    </w:p>
    <w:p w:rsidR="00763F78" w:rsidRPr="00DE1496" w:rsidRDefault="00A30F65" w:rsidP="0009245A">
      <w:pPr>
        <w:autoSpaceDE w:val="0"/>
        <w:autoSpaceDN w:val="0"/>
        <w:adjustRightInd w:val="0"/>
        <w:rPr>
          <w:rFonts w:ascii="Calibri" w:hAnsi="Calibri" w:cs="Calibri"/>
          <w:b/>
          <w:iCs/>
          <w:sz w:val="24"/>
        </w:rPr>
      </w:pPr>
      <w:r>
        <w:rPr>
          <w:rFonts w:ascii="Calibri" w:hAnsi="Calibri" w:cs="Calibri"/>
          <w:b/>
          <w:iCs/>
          <w:sz w:val="24"/>
        </w:rPr>
        <w:t xml:space="preserve">PS 01 </w:t>
      </w:r>
      <w:r w:rsidR="00CA6E4A">
        <w:rPr>
          <w:rFonts w:ascii="Calibri" w:hAnsi="Calibri" w:cs="Calibri"/>
          <w:b/>
          <w:iCs/>
          <w:sz w:val="24"/>
        </w:rPr>
        <w:t>FOTOVOLTICKÁ ELEKTRÁREŇ</w:t>
      </w:r>
    </w:p>
    <w:p w:rsidR="00CC0358" w:rsidRDefault="00CC0358" w:rsidP="0009245A">
      <w:pPr>
        <w:autoSpaceDE w:val="0"/>
        <w:autoSpaceDN w:val="0"/>
        <w:adjustRightInd w:val="0"/>
        <w:rPr>
          <w:rFonts w:ascii="Calibri" w:hAnsi="Calibri" w:cs="Calibri"/>
          <w:b/>
          <w:iCs/>
          <w:sz w:val="24"/>
          <w:highlight w:val="lightGray"/>
        </w:rPr>
      </w:pPr>
    </w:p>
    <w:p w:rsidR="00CA6E4A" w:rsidRPr="00CA6E4A" w:rsidRDefault="00CA6E4A" w:rsidP="00165ED7">
      <w:pPr>
        <w:pStyle w:val="Nadpis1"/>
        <w:numPr>
          <w:ilvl w:val="0"/>
          <w:numId w:val="14"/>
        </w:numPr>
      </w:pPr>
      <w:r w:rsidRPr="00CA6E4A">
        <w:t>ÚVOD</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 xml:space="preserve">Projekt rieši inštaláciu fotovoltického zdroja na streche objektu vinárstva v obci Strekov. Súčasťou projektu sú navrhnuté fotovoltické panely, konštrukcia striedača a rozvádzač AC a DC časti. Projekt ďalej rieši napojenie fotovoltického zariadenia (vyvedenie výkonu) do vnútornej elektroinštalácie objektu a hlavné rozpojovacie miesto (ďalej len HRM). </w:t>
      </w:r>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bookmarkStart w:id="99" w:name="_Toc482183090"/>
      <w:bookmarkStart w:id="100" w:name="_Toc482468509"/>
      <w:bookmarkStart w:id="101" w:name="_Toc482622669"/>
      <w:bookmarkStart w:id="102" w:name="_Hlk482110036"/>
      <w:r w:rsidRPr="00CA6E4A">
        <w:rPr>
          <w:rFonts w:asciiTheme="majorHAnsi" w:hAnsiTheme="majorHAnsi" w:cstheme="majorHAnsi"/>
          <w:szCs w:val="20"/>
        </w:rPr>
        <w:t>ROZSAH PROJEKTU</w:t>
      </w:r>
      <w:bookmarkEnd w:id="99"/>
      <w:bookmarkEnd w:id="100"/>
      <w:bookmarkEnd w:id="101"/>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 xml:space="preserve">Predmetom tejto dokumentácie je projekt elektro fotovoltického zariadenia na streche objektu – malý fotovoltický obnoviteľný zdroj do 10kW. Fotovoltické zariadenie má nominálny výkon 7,7 kWp a celý výkon bude vyvedený do rozvádzača RH. Pri prevádzke fotovoltického systému musí byť zabezpečený súlad bezpečnosti zariadenia s prevádzkovými predpismi ZS DIS a.s. </w:t>
      </w:r>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PrEDMET PROJEKTOVEJ DOKUMENTÁCIE</w:t>
      </w:r>
    </w:p>
    <w:p w:rsidR="00CA6E4A" w:rsidRPr="00CA6E4A" w:rsidRDefault="00CA6E4A" w:rsidP="001E7B38">
      <w:pPr>
        <w:pStyle w:val="Odsekzoznamu"/>
        <w:widowControl w:val="0"/>
        <w:numPr>
          <w:ilvl w:val="0"/>
          <w:numId w:val="51"/>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DC rozvody prepojenia fotovoltických panelov,</w:t>
      </w:r>
    </w:p>
    <w:p w:rsidR="00CA6E4A" w:rsidRPr="00CA6E4A" w:rsidRDefault="00CA6E4A" w:rsidP="001E7B38">
      <w:pPr>
        <w:pStyle w:val="Odsekzoznamu"/>
        <w:widowControl w:val="0"/>
        <w:numPr>
          <w:ilvl w:val="0"/>
          <w:numId w:val="51"/>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jednosmerný DC rozvádzač R-STR (pripojenie a istenie jednosmernej časti, fotovoltických panelov, prepäťové ochrany DC),</w:t>
      </w:r>
    </w:p>
    <w:p w:rsidR="00CA6E4A" w:rsidRPr="00CA6E4A" w:rsidRDefault="00CA6E4A" w:rsidP="001E7B38">
      <w:pPr>
        <w:pStyle w:val="Odsekzoznamu"/>
        <w:widowControl w:val="0"/>
        <w:numPr>
          <w:ilvl w:val="0"/>
          <w:numId w:val="51"/>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certifikovaný jednofázový striedač napätia DC/AC,</w:t>
      </w:r>
    </w:p>
    <w:p w:rsidR="00CA6E4A" w:rsidRPr="00CA6E4A" w:rsidRDefault="00CA6E4A" w:rsidP="001E7B38">
      <w:pPr>
        <w:pStyle w:val="Odsekzoznamu"/>
        <w:widowControl w:val="0"/>
        <w:numPr>
          <w:ilvl w:val="0"/>
          <w:numId w:val="51"/>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striedavý AC rozvádzač R-FVE (pripojenie a istenie zo striedača DC/AC, meranie vyrobenej elektrickej energie, prepäťová ochrana AC),</w:t>
      </w:r>
    </w:p>
    <w:p w:rsidR="00CA6E4A" w:rsidRPr="00CA6E4A" w:rsidRDefault="00CA6E4A" w:rsidP="001E7B38">
      <w:pPr>
        <w:pStyle w:val="Odsekzoznamu"/>
        <w:widowControl w:val="0"/>
        <w:numPr>
          <w:ilvl w:val="0"/>
          <w:numId w:val="51"/>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pripojenie AC rozvádzača R-FVE na hlavný rozvádzač objektu RH.</w:t>
      </w:r>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Podklady pre spracovanie projektu</w:t>
      </w:r>
    </w:p>
    <w:p w:rsidR="00CA6E4A" w:rsidRPr="00CA6E4A" w:rsidRDefault="00CA6E4A" w:rsidP="001E7B38">
      <w:pPr>
        <w:pStyle w:val="Odsekzoznamu"/>
        <w:widowControl w:val="0"/>
        <w:numPr>
          <w:ilvl w:val="0"/>
          <w:numId w:val="52"/>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Požiadavky investora, prehliadka miesta inštalácie,</w:t>
      </w:r>
    </w:p>
    <w:p w:rsidR="00CA6E4A" w:rsidRPr="00CA6E4A" w:rsidRDefault="00CA6E4A" w:rsidP="001E7B38">
      <w:pPr>
        <w:pStyle w:val="Odsekzoznamu"/>
        <w:widowControl w:val="0"/>
        <w:numPr>
          <w:ilvl w:val="0"/>
          <w:numId w:val="52"/>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 xml:space="preserve">podklady výrobcov zariadení, </w:t>
      </w:r>
    </w:p>
    <w:p w:rsidR="00CA6E4A" w:rsidRPr="00CA6E4A" w:rsidRDefault="00CA6E4A" w:rsidP="001E7B38">
      <w:pPr>
        <w:pStyle w:val="Odsekzoznamu"/>
        <w:widowControl w:val="0"/>
        <w:numPr>
          <w:ilvl w:val="0"/>
          <w:numId w:val="52"/>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Zákon NR SR č. 656/2004 Z.z. o energetike, vyhláška MŽP SR č. 508/2009 Z.z., súvisiace STN EN, IEC Dokumentácia je vyhotovená podľa platných zákonov a vyhlášok a podľa predpisov a noriem STN vydaných v dobe vyhotovenia PD.</w:t>
      </w:r>
    </w:p>
    <w:p w:rsidR="00CA6E4A" w:rsidRPr="00CA6E4A" w:rsidRDefault="00CA6E4A" w:rsidP="00165ED7">
      <w:pPr>
        <w:pStyle w:val="Nadpis1"/>
        <w:numPr>
          <w:ilvl w:val="0"/>
          <w:numId w:val="14"/>
        </w:numPr>
      </w:pPr>
      <w:r w:rsidRPr="00CA6E4A">
        <w:t>hlavná charakteristika</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 xml:space="preserve">Obnoviteľným zdrojom elektrickej energie v objekte bude fotovoltické zariadenie s výkonom panelov 7,6 kWp. Výkon  3 fázového meniča je 3x 5kVA = 15kVA. </w:t>
      </w:r>
    </w:p>
    <w:p w:rsidR="00CA6E4A" w:rsidRPr="00CA6E4A" w:rsidRDefault="00CA6E4A" w:rsidP="00CA6E4A">
      <w:pPr>
        <w:pStyle w:val="Odsekzoznamu"/>
        <w:keepNext/>
        <w:keepLines/>
        <w:widowControl w:val="0"/>
        <w:numPr>
          <w:ilvl w:val="0"/>
          <w:numId w:val="15"/>
        </w:numPr>
        <w:tabs>
          <w:tab w:val="left" w:pos="567"/>
        </w:tabs>
        <w:overflowPunct w:val="0"/>
        <w:autoSpaceDE w:val="0"/>
        <w:autoSpaceDN w:val="0"/>
        <w:adjustRightInd w:val="0"/>
        <w:spacing w:before="200" w:after="120"/>
        <w:contextualSpacing w:val="0"/>
        <w:jc w:val="both"/>
        <w:outlineLvl w:val="1"/>
        <w:rPr>
          <w:rFonts w:asciiTheme="majorHAnsi" w:eastAsiaTheme="majorEastAsia" w:hAnsiTheme="majorHAnsi" w:cstheme="majorHAnsi"/>
          <w:b/>
          <w:bCs/>
          <w:caps/>
          <w:vanish/>
          <w:color w:val="000000" w:themeColor="text1"/>
          <w:sz w:val="20"/>
          <w:szCs w:val="20"/>
          <w:lang w:eastAsia="en-US"/>
        </w:rPr>
      </w:pPr>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prehľad fve</w:t>
      </w:r>
    </w:p>
    <w:p w:rsidR="00EE6A26" w:rsidRDefault="00CA6E4A" w:rsidP="00EE6A26">
      <w:pPr>
        <w:rPr>
          <w:rFonts w:asciiTheme="majorHAnsi" w:hAnsiTheme="majorHAnsi" w:cstheme="majorHAnsi"/>
          <w:sz w:val="20"/>
        </w:rPr>
      </w:pPr>
      <w:r w:rsidRPr="00CA6E4A">
        <w:rPr>
          <w:rFonts w:asciiTheme="majorHAnsi" w:hAnsiTheme="majorHAnsi" w:cstheme="majorHAnsi"/>
          <w:sz w:val="20"/>
        </w:rPr>
        <w:tab/>
        <w:t xml:space="preserve">Fotovolický systém obsahuje 24 fotovoltických panelov, každý s výkonom 380Wp, pričom celkový výkon predstavuje 9120 Wp. FVE obsahuje 12 stringov t.j. každý obsahuje 2x fotovoltický panel zapojený do série. </w:t>
      </w:r>
    </w:p>
    <w:p w:rsidR="00EE6A26" w:rsidRDefault="00EE6A26" w:rsidP="00EE6A26">
      <w:pPr>
        <w:rPr>
          <w:rFonts w:asciiTheme="majorHAnsi" w:hAnsiTheme="majorHAnsi" w:cstheme="majorHAnsi"/>
          <w:sz w:val="20"/>
        </w:rPr>
      </w:pPr>
    </w:p>
    <w:p w:rsidR="00CA6E4A" w:rsidRPr="00CA6E4A" w:rsidRDefault="00CA6E4A" w:rsidP="00EE6A26">
      <w:pPr>
        <w:rPr>
          <w:rFonts w:asciiTheme="majorHAnsi" w:hAnsiTheme="majorHAnsi" w:cstheme="majorHAnsi"/>
          <w:sz w:val="20"/>
        </w:rPr>
      </w:pPr>
      <w:r w:rsidRPr="00CA6E4A">
        <w:rPr>
          <w:rFonts w:asciiTheme="majorHAnsi" w:hAnsiTheme="majorHAnsi" w:cstheme="majorHAnsi"/>
          <w:sz w:val="20"/>
        </w:rPr>
        <w:t>NAPÄŤOVÁ SÚSTAVA</w:t>
      </w:r>
    </w:p>
    <w:p w:rsidR="00CA6E4A" w:rsidRPr="00CA6E4A" w:rsidRDefault="00CA6E4A" w:rsidP="00CA6E4A">
      <w:pPr>
        <w:keepNext/>
        <w:tabs>
          <w:tab w:val="left" w:pos="2977"/>
        </w:tabs>
        <w:spacing w:before="120" w:after="120" w:line="360" w:lineRule="auto"/>
        <w:rPr>
          <w:rFonts w:asciiTheme="majorHAnsi" w:hAnsiTheme="majorHAnsi" w:cstheme="majorHAnsi"/>
          <w:b/>
          <w:noProof/>
          <w:color w:val="0687C4"/>
          <w:sz w:val="20"/>
        </w:rPr>
      </w:pPr>
      <w:r w:rsidRPr="00CA6E4A">
        <w:rPr>
          <w:rFonts w:asciiTheme="majorHAnsi" w:hAnsiTheme="majorHAnsi" w:cstheme="majorHAnsi"/>
          <w:b/>
          <w:noProof/>
          <w:snapToGrid w:val="0"/>
          <w:sz w:val="20"/>
        </w:rPr>
        <w:lastRenderedPageBreak/>
        <w:t>STRIEDAVÁ STRANA AC :</w:t>
      </w:r>
      <w:r w:rsidRPr="00CA6E4A">
        <w:rPr>
          <w:rFonts w:asciiTheme="majorHAnsi" w:hAnsiTheme="majorHAnsi" w:cstheme="majorHAnsi"/>
          <w:noProof/>
          <w:snapToGrid w:val="0"/>
          <w:sz w:val="20"/>
        </w:rPr>
        <w:tab/>
      </w:r>
      <w:r w:rsidRPr="00CA6E4A">
        <w:rPr>
          <w:rFonts w:asciiTheme="majorHAnsi" w:hAnsiTheme="majorHAnsi" w:cstheme="majorHAnsi"/>
          <w:noProof/>
          <w:sz w:val="20"/>
        </w:rPr>
        <w:t>3/PEN AC, ~50Hz, 400/230V/  TN-C-S</w:t>
      </w:r>
    </w:p>
    <w:p w:rsidR="00CA6E4A" w:rsidRPr="00CA6E4A" w:rsidRDefault="00CA6E4A" w:rsidP="00CA6E4A">
      <w:pPr>
        <w:keepNext/>
        <w:tabs>
          <w:tab w:val="left" w:pos="2977"/>
        </w:tabs>
        <w:spacing w:before="120" w:after="120" w:line="360" w:lineRule="auto"/>
        <w:rPr>
          <w:rFonts w:asciiTheme="majorHAnsi" w:hAnsiTheme="majorHAnsi" w:cstheme="majorHAnsi"/>
          <w:noProof/>
          <w:sz w:val="20"/>
        </w:rPr>
      </w:pPr>
      <w:r w:rsidRPr="00CA6E4A">
        <w:rPr>
          <w:rFonts w:asciiTheme="majorHAnsi" w:hAnsiTheme="majorHAnsi" w:cstheme="majorHAnsi"/>
          <w:b/>
          <w:noProof/>
          <w:color w:val="0687C4"/>
          <w:sz w:val="20"/>
        </w:rPr>
        <w:tab/>
      </w:r>
      <w:r w:rsidRPr="00CA6E4A">
        <w:rPr>
          <w:rFonts w:asciiTheme="majorHAnsi" w:hAnsiTheme="majorHAnsi" w:cstheme="majorHAnsi"/>
          <w:b/>
          <w:noProof/>
          <w:color w:val="0687C4"/>
          <w:sz w:val="20"/>
        </w:rPr>
        <w:tab/>
      </w:r>
      <w:r w:rsidRPr="00CA6E4A">
        <w:rPr>
          <w:rFonts w:asciiTheme="majorHAnsi" w:hAnsiTheme="majorHAnsi" w:cstheme="majorHAnsi"/>
          <w:noProof/>
          <w:sz w:val="20"/>
        </w:rPr>
        <w:t>3/N/PE AC, ~50Hz, 400/230V/ TN-S</w:t>
      </w:r>
    </w:p>
    <w:p w:rsidR="00CA6E4A" w:rsidRPr="00CA6E4A" w:rsidRDefault="00CA6E4A" w:rsidP="00CA6E4A">
      <w:pPr>
        <w:keepNext/>
        <w:tabs>
          <w:tab w:val="left" w:pos="2977"/>
        </w:tabs>
        <w:spacing w:before="120" w:after="120" w:line="360" w:lineRule="auto"/>
        <w:rPr>
          <w:rFonts w:asciiTheme="majorHAnsi" w:hAnsiTheme="majorHAnsi" w:cstheme="majorHAnsi"/>
          <w:noProof/>
          <w:sz w:val="20"/>
        </w:rPr>
      </w:pPr>
      <w:r w:rsidRPr="00CA6E4A">
        <w:rPr>
          <w:rFonts w:asciiTheme="majorHAnsi" w:hAnsiTheme="majorHAnsi" w:cstheme="majorHAnsi"/>
          <w:noProof/>
          <w:sz w:val="20"/>
        </w:rPr>
        <w:tab/>
        <w:t>1/N/PE AC, ~50Hz, 230V/TN-S</w:t>
      </w:r>
    </w:p>
    <w:p w:rsidR="00CA6E4A" w:rsidRPr="00CA6E4A" w:rsidRDefault="00CA6E4A" w:rsidP="00CA6E4A">
      <w:pPr>
        <w:tabs>
          <w:tab w:val="left" w:pos="2977"/>
        </w:tabs>
        <w:spacing w:before="120"/>
        <w:rPr>
          <w:rFonts w:asciiTheme="majorHAnsi" w:hAnsiTheme="majorHAnsi" w:cstheme="majorHAnsi"/>
          <w:noProof/>
          <w:sz w:val="20"/>
        </w:rPr>
      </w:pPr>
      <w:r w:rsidRPr="00CA6E4A">
        <w:rPr>
          <w:rFonts w:asciiTheme="majorHAnsi" w:hAnsiTheme="majorHAnsi" w:cstheme="majorHAnsi"/>
          <w:b/>
          <w:noProof/>
          <w:snapToGrid w:val="0"/>
          <w:sz w:val="20"/>
        </w:rPr>
        <w:t>JEDNOSMERNÁ STRANA DC:</w:t>
      </w:r>
      <w:r w:rsidRPr="00CA6E4A">
        <w:rPr>
          <w:rFonts w:asciiTheme="majorHAnsi" w:hAnsiTheme="majorHAnsi" w:cstheme="majorHAnsi"/>
          <w:b/>
          <w:noProof/>
          <w:snapToGrid w:val="0"/>
          <w:sz w:val="20"/>
        </w:rPr>
        <w:tab/>
      </w:r>
      <w:r w:rsidRPr="00CA6E4A">
        <w:rPr>
          <w:rFonts w:asciiTheme="majorHAnsi" w:hAnsiTheme="majorHAnsi" w:cstheme="majorHAnsi"/>
          <w:noProof/>
          <w:sz w:val="20"/>
        </w:rPr>
        <w:t>2/DC 0-1000V/IT</w:t>
      </w:r>
    </w:p>
    <w:p w:rsidR="00CA6E4A" w:rsidRPr="00CA6E4A" w:rsidRDefault="00CA6E4A" w:rsidP="00CA6E4A">
      <w:pPr>
        <w:pStyle w:val="Nadpis2"/>
        <w:keepLines/>
        <w:widowControl w:val="0"/>
        <w:numPr>
          <w:ilvl w:val="1"/>
          <w:numId w:val="15"/>
        </w:numPr>
        <w:tabs>
          <w:tab w:val="left" w:pos="567"/>
          <w:tab w:val="left" w:pos="2977"/>
        </w:tabs>
        <w:spacing w:before="120" w:after="120"/>
        <w:jc w:val="both"/>
        <w:textAlignment w:val="auto"/>
        <w:rPr>
          <w:rFonts w:asciiTheme="majorHAnsi" w:hAnsiTheme="majorHAnsi" w:cstheme="majorHAnsi"/>
          <w:szCs w:val="20"/>
        </w:rPr>
      </w:pPr>
      <w:r w:rsidRPr="00CA6E4A">
        <w:rPr>
          <w:rFonts w:asciiTheme="majorHAnsi" w:hAnsiTheme="majorHAnsi" w:cstheme="majorHAnsi"/>
          <w:szCs w:val="20"/>
        </w:rPr>
        <w:t>Ochranné opatrenie v zmysle STN 33 2000-4-41: 2007</w:t>
      </w:r>
    </w:p>
    <w:p w:rsidR="00CA6E4A" w:rsidRPr="00CA6E4A" w:rsidRDefault="00CA6E4A" w:rsidP="00CA6E4A">
      <w:pPr>
        <w:rPr>
          <w:rFonts w:asciiTheme="majorHAnsi" w:hAnsiTheme="majorHAnsi" w:cstheme="majorHAnsi"/>
          <w:b/>
          <w:sz w:val="20"/>
        </w:rPr>
      </w:pPr>
      <w:r w:rsidRPr="00CA6E4A">
        <w:rPr>
          <w:rFonts w:asciiTheme="majorHAnsi" w:hAnsiTheme="majorHAnsi" w:cstheme="majorHAnsi"/>
          <w:b/>
          <w:sz w:val="20"/>
        </w:rPr>
        <w:t>Základná ochrana /ochrana pred priamym dotykom/ v časti DC:</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(podľa STN EN 61140 a STN 33 2000-4-41 čl. 411.2 )</w:t>
      </w:r>
    </w:p>
    <w:p w:rsidR="00CA6E4A" w:rsidRPr="00CA6E4A" w:rsidRDefault="00CA6E4A" w:rsidP="00CA6E4A">
      <w:pPr>
        <w:rPr>
          <w:rFonts w:asciiTheme="majorHAnsi" w:hAnsiTheme="majorHAnsi" w:cstheme="majorHAnsi"/>
          <w:b/>
          <w:sz w:val="20"/>
        </w:rPr>
      </w:pPr>
      <w:r w:rsidRPr="00CA6E4A">
        <w:rPr>
          <w:rFonts w:asciiTheme="majorHAnsi" w:hAnsiTheme="majorHAnsi" w:cstheme="majorHAnsi"/>
          <w:sz w:val="20"/>
        </w:rPr>
        <w:t>Ochrana živých častí je riešená izoláciou, zábranami a krytmi.</w:t>
      </w:r>
      <w:r w:rsidRPr="00CA6E4A">
        <w:rPr>
          <w:rFonts w:asciiTheme="majorHAnsi" w:hAnsiTheme="majorHAnsi" w:cstheme="majorHAnsi"/>
          <w:b/>
          <w:sz w:val="20"/>
        </w:rPr>
        <w:t xml:space="preserve"> </w:t>
      </w:r>
    </w:p>
    <w:p w:rsidR="00CA6E4A" w:rsidRPr="00CA6E4A" w:rsidRDefault="00CA6E4A" w:rsidP="00CA6E4A">
      <w:pPr>
        <w:rPr>
          <w:rFonts w:asciiTheme="majorHAnsi" w:hAnsiTheme="majorHAnsi" w:cstheme="majorHAnsi"/>
          <w:sz w:val="20"/>
        </w:rPr>
      </w:pPr>
    </w:p>
    <w:p w:rsidR="00CA6E4A" w:rsidRPr="00CA6E4A" w:rsidRDefault="00CA6E4A" w:rsidP="00CA6E4A">
      <w:pPr>
        <w:rPr>
          <w:rFonts w:asciiTheme="majorHAnsi" w:hAnsiTheme="majorHAnsi" w:cstheme="majorHAnsi"/>
          <w:sz w:val="20"/>
        </w:rPr>
      </w:pPr>
      <w:r w:rsidRPr="00CA6E4A">
        <w:rPr>
          <w:rFonts w:asciiTheme="majorHAnsi" w:hAnsiTheme="majorHAnsi" w:cstheme="majorHAnsi"/>
          <w:b/>
          <w:sz w:val="20"/>
        </w:rPr>
        <w:t xml:space="preserve">Ochrana pri poruche /ochrana pred nepriamym dotykom/v časti DC: </w:t>
      </w:r>
      <w:r w:rsidRPr="00CA6E4A">
        <w:rPr>
          <w:rFonts w:asciiTheme="majorHAnsi" w:hAnsiTheme="majorHAnsi" w:cstheme="majorHAnsi"/>
          <w:sz w:val="20"/>
        </w:rPr>
        <w:t>(podľa STN EN 61140, STN 33 2000-4-41 čl. 411.3 a STN 33 2000-7-712) Ochrana pred nepriamym dotykom bude riešená ochranným pospájaním. Pretože pomer medzi menovitým prúdom FV panela a skratovým prúdom je veľmi malý, nie je možné použiť ochranu samočinným odpojením pri poruche, ktorá spočíva v automatickom odpojení poruchovej časti pretavením alebo vypnutím ochranného prvku pri poruche (pre túto ochranu je potrebné mať vyšší skratový prúd). Nie je teda možné dosiahnuť automatického odpojenia od zdroja napájania v požadovanom čase podľa STN 33 2000-4-41 čl. 411.3.2. Ochranné pospájanie bude riešené v zmysle STN 33 2000-4-41:2007 čl.411.3.1.2.</w:t>
      </w:r>
    </w:p>
    <w:p w:rsidR="00CA6E4A" w:rsidRPr="00CA6E4A" w:rsidRDefault="00CA6E4A" w:rsidP="00CA6E4A">
      <w:pPr>
        <w:rPr>
          <w:rFonts w:asciiTheme="majorHAnsi" w:hAnsiTheme="majorHAnsi" w:cstheme="majorHAnsi"/>
          <w:sz w:val="20"/>
        </w:rPr>
      </w:pPr>
    </w:p>
    <w:p w:rsidR="00CA6E4A" w:rsidRPr="00CA6E4A" w:rsidRDefault="00CA6E4A" w:rsidP="00CA6E4A">
      <w:pPr>
        <w:rPr>
          <w:rFonts w:asciiTheme="majorHAnsi" w:hAnsiTheme="majorHAnsi" w:cstheme="majorHAnsi"/>
          <w:b/>
          <w:sz w:val="20"/>
        </w:rPr>
      </w:pPr>
      <w:r w:rsidRPr="00CA6E4A">
        <w:rPr>
          <w:rFonts w:asciiTheme="majorHAnsi" w:hAnsiTheme="majorHAnsi" w:cstheme="majorHAnsi"/>
          <w:b/>
          <w:sz w:val="20"/>
        </w:rPr>
        <w:t>Základná ochrana /ochrana pred priamym dotykom/ v časti AC:</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(podľa STN 33 2000-4-41 čl. 411.2 a STN EN 61140)</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Ochrana živých častí do 1000V za striedačmi je riešená izoláciou a krytmi</w:t>
      </w:r>
    </w:p>
    <w:p w:rsidR="00CA6E4A" w:rsidRPr="00CA6E4A" w:rsidRDefault="00CA6E4A" w:rsidP="00CA6E4A">
      <w:pPr>
        <w:rPr>
          <w:rFonts w:asciiTheme="majorHAnsi" w:hAnsiTheme="majorHAnsi" w:cstheme="majorHAnsi"/>
          <w:sz w:val="20"/>
        </w:rPr>
      </w:pPr>
    </w:p>
    <w:p w:rsidR="00CA6E4A" w:rsidRPr="00CA6E4A" w:rsidRDefault="00CA6E4A" w:rsidP="00CA6E4A">
      <w:pPr>
        <w:rPr>
          <w:rFonts w:asciiTheme="majorHAnsi" w:hAnsiTheme="majorHAnsi" w:cstheme="majorHAnsi"/>
          <w:b/>
          <w:sz w:val="20"/>
        </w:rPr>
      </w:pPr>
      <w:r w:rsidRPr="00CA6E4A">
        <w:rPr>
          <w:rFonts w:asciiTheme="majorHAnsi" w:hAnsiTheme="majorHAnsi" w:cstheme="majorHAnsi"/>
          <w:b/>
          <w:sz w:val="20"/>
        </w:rPr>
        <w:t>Ochrana pri poruche /ochrana pred nepriamym dotykom/ v časti AC:</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(podľa STN 33 2000-4-41 čl. 411.2 )</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Ochrana pred nepriamym dotykom (neživých častí do 1000V) bude riešená ochranným uzemnením, ochranným pospájaním a samočinným odpojením pri poruche.</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Ochranné uzemnenie bude riešené v zmysle STN 33 2000-4-41:2007 čl. 411.3.1.1., ochranné pospájanie v zmysle STN 33 2000-4-41:2007 čl. 411.3.1.2 a samočinné odpojenie pri poruche v zmysle STN 33 2000-4- 41:2007 čl. 411.3.2</w:t>
      </w:r>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 xml:space="preserve">STUPEŇ DODÁVKY ELEKTRICKEJ ENERGIE </w:t>
      </w:r>
    </w:p>
    <w:p w:rsidR="00CA6E4A" w:rsidRPr="00CA6E4A" w:rsidRDefault="00CA6E4A" w:rsidP="00CA6E4A">
      <w:pPr>
        <w:spacing w:before="80" w:after="80"/>
        <w:ind w:firstLine="567"/>
        <w:rPr>
          <w:rFonts w:asciiTheme="majorHAnsi" w:hAnsiTheme="majorHAnsi" w:cstheme="majorHAnsi"/>
          <w:sz w:val="20"/>
        </w:rPr>
      </w:pPr>
      <w:bookmarkStart w:id="103" w:name="bookmark12"/>
      <w:r w:rsidRPr="00CA6E4A">
        <w:rPr>
          <w:rFonts w:asciiTheme="majorHAnsi" w:hAnsiTheme="majorHAnsi" w:cstheme="majorHAnsi"/>
          <w:sz w:val="20"/>
        </w:rPr>
        <w:t>Dodávka el. energie bude zabezpečená v zmysle STN 34 1610 § 16 107:</w:t>
      </w:r>
    </w:p>
    <w:p w:rsidR="00CA6E4A" w:rsidRPr="00CA6E4A" w:rsidRDefault="00CA6E4A" w:rsidP="00CA6E4A">
      <w:pPr>
        <w:spacing w:before="80" w:after="80"/>
        <w:ind w:firstLine="567"/>
        <w:rPr>
          <w:rFonts w:asciiTheme="majorHAnsi" w:hAnsiTheme="majorHAnsi" w:cstheme="majorHAnsi"/>
          <w:sz w:val="20"/>
        </w:rPr>
      </w:pPr>
      <w:r w:rsidRPr="00CA6E4A">
        <w:rPr>
          <w:rFonts w:asciiTheme="majorHAnsi" w:hAnsiTheme="majorHAnsi" w:cstheme="majorHAnsi"/>
          <w:sz w:val="20"/>
        </w:rPr>
        <w:t>3. stupeň – pre zariadenia resp. spotrebiče normálneho významu</w:t>
      </w:r>
    </w:p>
    <w:p w:rsidR="00CA6E4A" w:rsidRPr="00CA6E4A" w:rsidRDefault="00CA6E4A" w:rsidP="00CA6E4A">
      <w:pPr>
        <w:spacing w:before="80" w:after="80"/>
        <w:ind w:firstLine="567"/>
        <w:rPr>
          <w:rFonts w:asciiTheme="majorHAnsi" w:hAnsiTheme="majorHAnsi" w:cstheme="majorHAnsi"/>
          <w:sz w:val="20"/>
        </w:rPr>
      </w:pPr>
      <w:r w:rsidRPr="00CA6E4A">
        <w:rPr>
          <w:rFonts w:asciiTheme="majorHAnsi" w:hAnsiTheme="majorHAnsi" w:cstheme="majorHAnsi"/>
          <w:sz w:val="20"/>
        </w:rPr>
        <w:t>1. stupeň – pre zariadenia resp. spotrebiče súvisiace prevádzkou elektroinštalácie zálohované (zabezpečené prostredníctvom záložného zdroja UPS – FVE s batériou).</w:t>
      </w:r>
    </w:p>
    <w:p w:rsidR="00CA6E4A" w:rsidRPr="00CA6E4A" w:rsidRDefault="00CA6E4A" w:rsidP="00165ED7">
      <w:pPr>
        <w:pStyle w:val="Nadpis1"/>
        <w:numPr>
          <w:ilvl w:val="0"/>
          <w:numId w:val="14"/>
        </w:numPr>
      </w:pPr>
      <w:r w:rsidRPr="00CA6E4A">
        <w:t>technické riešenie</w:t>
      </w:r>
      <w:bookmarkEnd w:id="103"/>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Fotovoltické zariadenie sa skladá z 24ks fotovoltických panelov o celkovom výkone 7,7 kWp rozdelených do 14 stringov po 2ks panelov. Jednotlivé stringy budú prepojené pomocou UV stabilných jednožilových káblov 4mm</w:t>
      </w:r>
      <w:r w:rsidRPr="00CA6E4A">
        <w:rPr>
          <w:rFonts w:asciiTheme="majorHAnsi" w:hAnsiTheme="majorHAnsi" w:cstheme="majorHAnsi"/>
          <w:sz w:val="20"/>
          <w:vertAlign w:val="superscript"/>
        </w:rPr>
        <w:t>2</w:t>
      </w:r>
      <w:r w:rsidRPr="00CA6E4A">
        <w:rPr>
          <w:rFonts w:asciiTheme="majorHAnsi" w:hAnsiTheme="majorHAnsi" w:cstheme="majorHAnsi"/>
          <w:sz w:val="20"/>
        </w:rPr>
        <w:t xml:space="preserve"> a konektorov do príslušných rozvádzačov stringov R-STR-1 a R-STR-2. Z R-STR1 a R-STR-2 budú vedené jednožilové káble 35mm</w:t>
      </w:r>
      <w:r w:rsidRPr="00CA6E4A">
        <w:rPr>
          <w:rFonts w:asciiTheme="majorHAnsi" w:hAnsiTheme="majorHAnsi" w:cstheme="majorHAnsi"/>
          <w:sz w:val="20"/>
          <w:vertAlign w:val="superscript"/>
        </w:rPr>
        <w:t>2</w:t>
      </w:r>
      <w:r w:rsidRPr="00CA6E4A">
        <w:rPr>
          <w:rFonts w:asciiTheme="majorHAnsi" w:hAnsiTheme="majorHAnsi" w:cstheme="majorHAnsi"/>
          <w:sz w:val="20"/>
        </w:rPr>
        <w:t xml:space="preserve"> v žľabe alebo chráničke do technickej miestnosti a do rozvádzača R-FVE. Káble upevniť na konštrukciu panelov resp. uložiť do chráničiek FXKV 63 až do R-FVE. V miestnosti bude osadená technológia: 3x 1-fázový striedač s výkonom 5kVA, 2xMPPT 150/100, batéria 48V s kapacitou 16kWh, ovládací panel. Fotovoltické zariadenie bude pripojené do distribučnej siete cez HRM – hlavné rozpojovacie miesto – viď schéma zapojenia R-FVE. Z rozvádzača R-FVE bude energia vyvedená do rozvádzača RH. V rozvádzači R-FVE navrhujeme ručný prepínač na zabezpečenie napájania objektu v prípade údržby FVE.  </w:t>
      </w:r>
      <w:bookmarkStart w:id="104" w:name="_Hlk17147041"/>
      <w:r w:rsidRPr="00CA6E4A">
        <w:rPr>
          <w:rFonts w:asciiTheme="majorHAnsi" w:hAnsiTheme="majorHAnsi" w:cstheme="majorHAnsi"/>
          <w:sz w:val="20"/>
        </w:rPr>
        <w:t xml:space="preserve">Pri výpadku napätia v distribučnej sieti bude FVE dodávať elektrickú energiu do RH pre ostatné </w:t>
      </w:r>
      <w:bookmarkEnd w:id="104"/>
      <w:r w:rsidRPr="00CA6E4A">
        <w:rPr>
          <w:rFonts w:asciiTheme="majorHAnsi" w:hAnsiTheme="majorHAnsi" w:cstheme="majorHAnsi"/>
          <w:sz w:val="20"/>
        </w:rPr>
        <w:t>obvody, napr. osvetlenie a iné špecifikované pri realizácii podľa požiadaviek investora. Z R-FVE, resp. z meničov navrhujeme aj kábel CYKY-J 5x50mm</w:t>
      </w:r>
      <w:r w:rsidRPr="00CA6E4A">
        <w:rPr>
          <w:rFonts w:asciiTheme="majorHAnsi" w:hAnsiTheme="majorHAnsi" w:cstheme="majorHAnsi"/>
          <w:sz w:val="20"/>
          <w:vertAlign w:val="superscript"/>
        </w:rPr>
        <w:t>2</w:t>
      </w:r>
      <w:r w:rsidRPr="00CA6E4A">
        <w:rPr>
          <w:rFonts w:asciiTheme="majorHAnsi" w:hAnsiTheme="majorHAnsi" w:cstheme="majorHAnsi"/>
          <w:sz w:val="20"/>
        </w:rPr>
        <w:t xml:space="preserve"> z výstupov LOADS, ktoré sú zálohované len z batérie. Výkon z fotovoltických panelov bude prioritne určený na vlastnú spotrebu elektrickej energie objektu. Princíp využitia elektrickej energie spočíva v tom, že celá vyrobená energia je plne využitá na spotrebu z RH z fotovoltického zariadenia. Prípojku z RE – kábel CYKY-J 5x50mm2 navrhujeme priviesť do R-FVE, kde sa pripojí do meničov. Pokiaľ výkon FV zariadenia nie je postačujúci na pokrytie spotreby, energia je doplnená z distribučnej siete. Navrhované fotovoltické meniče sú vybavené „BY_PASSOM“, takže celý výkon budú rozdeľovať práve meniče. Do RH </w:t>
      </w:r>
      <w:r w:rsidRPr="00CA6E4A">
        <w:rPr>
          <w:rFonts w:asciiTheme="majorHAnsi" w:hAnsiTheme="majorHAnsi" w:cstheme="majorHAnsi"/>
          <w:sz w:val="20"/>
        </w:rPr>
        <w:lastRenderedPageBreak/>
        <w:t xml:space="preserve">navrhujeme doplniť vačkový prepínač pre mechanické odpojenie FVE a pripojenie iba distribučnej siete, a to napr. v prípade poruchy FVE.  </w:t>
      </w:r>
    </w:p>
    <w:p w:rsidR="00CA6E4A" w:rsidRPr="00CA6E4A" w:rsidRDefault="00CA6E4A" w:rsidP="00CA6E4A">
      <w:pPr>
        <w:pStyle w:val="Odsekzoznamu"/>
        <w:keepNext/>
        <w:keepLines/>
        <w:widowControl w:val="0"/>
        <w:numPr>
          <w:ilvl w:val="0"/>
          <w:numId w:val="15"/>
        </w:numPr>
        <w:tabs>
          <w:tab w:val="left" w:pos="567"/>
        </w:tabs>
        <w:overflowPunct w:val="0"/>
        <w:autoSpaceDE w:val="0"/>
        <w:autoSpaceDN w:val="0"/>
        <w:adjustRightInd w:val="0"/>
        <w:spacing w:before="200" w:after="120"/>
        <w:contextualSpacing w:val="0"/>
        <w:jc w:val="both"/>
        <w:outlineLvl w:val="1"/>
        <w:rPr>
          <w:rFonts w:asciiTheme="majorHAnsi" w:eastAsiaTheme="majorEastAsia" w:hAnsiTheme="majorHAnsi" w:cstheme="majorHAnsi"/>
          <w:b/>
          <w:bCs/>
          <w:caps/>
          <w:vanish/>
          <w:color w:val="000000" w:themeColor="text1"/>
          <w:sz w:val="20"/>
          <w:szCs w:val="20"/>
          <w:lang w:eastAsia="en-US"/>
        </w:rPr>
      </w:pPr>
      <w:bookmarkStart w:id="105" w:name="bookmark13"/>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Ochrana pred prepätím</w:t>
      </w:r>
      <w:bookmarkEnd w:id="105"/>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Pred postupujúcimi prepäťovými vlnami je predmetná DC/AC elektroinštalácia a FVE zabezpečená prepäťovými ochranami DC v jednosmernom rozvádzači R-STR-1, R-STR-2  a prepäťovou ochranou AC v striedavom rozvádzači R-FVE.</w:t>
      </w:r>
    </w:p>
    <w:p w:rsidR="00CA6E4A" w:rsidRPr="00CA6E4A" w:rsidRDefault="00CA6E4A" w:rsidP="00CA6E4A">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bookmarkStart w:id="106" w:name="bookmark14"/>
      <w:r w:rsidRPr="00CA6E4A">
        <w:rPr>
          <w:rFonts w:asciiTheme="majorHAnsi" w:hAnsiTheme="majorHAnsi" w:cstheme="majorHAnsi"/>
          <w:szCs w:val="20"/>
        </w:rPr>
        <w:t>Zaradenie elektrických zariadení podľa miery ohrozenia</w:t>
      </w:r>
      <w:bookmarkEnd w:id="106"/>
    </w:p>
    <w:p w:rsidR="00CA6E4A" w:rsidRPr="00CA6E4A" w:rsidRDefault="00CA6E4A" w:rsidP="00CA6E4A">
      <w:pPr>
        <w:ind w:left="720"/>
        <w:rPr>
          <w:rFonts w:asciiTheme="majorHAnsi" w:hAnsiTheme="majorHAnsi" w:cstheme="majorHAnsi"/>
          <w:sz w:val="20"/>
        </w:rPr>
      </w:pPr>
      <w:r w:rsidRPr="00CA6E4A">
        <w:rPr>
          <w:rFonts w:asciiTheme="majorHAnsi" w:hAnsiTheme="majorHAnsi" w:cstheme="majorHAnsi"/>
          <w:sz w:val="20"/>
        </w:rPr>
        <w:t>Fotovoltické zariadenie - technické zariadenie na výrobu elektrickej energie s výkonom 7,7 kW.</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 xml:space="preserve">Technické zariadenia elektrické sú zaradené podľa § 4 a prílohy č. 1 vyhlášky č. 508/2009 Z.z. do skupiny B s vyššou mierou ohrozenia. </w:t>
      </w:r>
    </w:p>
    <w:p w:rsidR="00CA6E4A" w:rsidRPr="00CA6E4A" w:rsidRDefault="00CA6E4A" w:rsidP="00CA6E4A">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bookmarkStart w:id="107" w:name="bookmark15"/>
      <w:r w:rsidRPr="00CA6E4A">
        <w:rPr>
          <w:rFonts w:asciiTheme="majorHAnsi" w:hAnsiTheme="majorHAnsi" w:cstheme="majorHAnsi"/>
          <w:szCs w:val="20"/>
        </w:rPr>
        <w:t>Energetická bilancia</w:t>
      </w:r>
      <w:bookmarkEnd w:id="107"/>
    </w:p>
    <w:p w:rsidR="00CA6E4A" w:rsidRPr="00CA6E4A" w:rsidRDefault="00CA6E4A" w:rsidP="00CA6E4A">
      <w:pPr>
        <w:keepNext/>
        <w:pBdr>
          <w:top w:val="dashSmallGap" w:sz="4" w:space="1" w:color="auto"/>
          <w:left w:val="dashSmallGap" w:sz="4" w:space="0" w:color="auto"/>
          <w:bottom w:val="dashSmallGap" w:sz="4" w:space="0" w:color="auto"/>
          <w:right w:val="dashSmallGap" w:sz="4" w:space="0" w:color="auto"/>
          <w:between w:val="dashSmallGap" w:sz="4" w:space="0" w:color="auto"/>
        </w:pBdr>
        <w:tabs>
          <w:tab w:val="left" w:pos="6663"/>
        </w:tabs>
        <w:rPr>
          <w:rFonts w:asciiTheme="majorHAnsi" w:hAnsiTheme="majorHAnsi" w:cstheme="majorHAnsi"/>
          <w:b/>
          <w:bCs/>
          <w:sz w:val="20"/>
        </w:rPr>
      </w:pPr>
      <w:r w:rsidRPr="00CA6E4A">
        <w:rPr>
          <w:rFonts w:asciiTheme="majorHAnsi" w:hAnsiTheme="majorHAnsi" w:cstheme="majorHAnsi"/>
          <w:sz w:val="20"/>
        </w:rPr>
        <w:t>Inštalovaný výkon:</w:t>
      </w:r>
      <w:r w:rsidRPr="00CA6E4A">
        <w:rPr>
          <w:rFonts w:asciiTheme="majorHAnsi" w:hAnsiTheme="majorHAnsi" w:cstheme="majorHAnsi"/>
          <w:sz w:val="20"/>
        </w:rPr>
        <w:tab/>
        <w:t>P</w:t>
      </w:r>
      <w:r w:rsidRPr="00CA6E4A">
        <w:rPr>
          <w:rFonts w:asciiTheme="majorHAnsi" w:hAnsiTheme="majorHAnsi" w:cstheme="majorHAnsi"/>
          <w:sz w:val="20"/>
          <w:vertAlign w:val="subscript"/>
        </w:rPr>
        <w:t>i</w:t>
      </w:r>
      <w:r w:rsidRPr="00CA6E4A">
        <w:rPr>
          <w:rFonts w:asciiTheme="majorHAnsi" w:hAnsiTheme="majorHAnsi" w:cstheme="majorHAnsi"/>
          <w:sz w:val="20"/>
        </w:rPr>
        <w:t xml:space="preserve"> = 20,6 kW</w:t>
      </w:r>
    </w:p>
    <w:p w:rsidR="00CA6E4A" w:rsidRPr="00CA6E4A" w:rsidRDefault="00CA6E4A" w:rsidP="00CA6E4A">
      <w:pPr>
        <w:keepNext/>
        <w:pBdr>
          <w:top w:val="dashSmallGap" w:sz="4" w:space="1" w:color="auto"/>
          <w:left w:val="dashSmallGap" w:sz="4" w:space="0" w:color="auto"/>
          <w:bottom w:val="dashSmallGap" w:sz="4" w:space="0" w:color="auto"/>
          <w:right w:val="dashSmallGap" w:sz="4" w:space="0" w:color="auto"/>
          <w:between w:val="dashSmallGap" w:sz="4" w:space="0" w:color="auto"/>
        </w:pBdr>
        <w:tabs>
          <w:tab w:val="left" w:pos="6663"/>
        </w:tabs>
        <w:rPr>
          <w:rFonts w:asciiTheme="majorHAnsi" w:hAnsiTheme="majorHAnsi" w:cstheme="majorHAnsi"/>
          <w:b/>
          <w:bCs/>
          <w:sz w:val="20"/>
        </w:rPr>
      </w:pPr>
      <w:r w:rsidRPr="00CA6E4A">
        <w:rPr>
          <w:rFonts w:asciiTheme="majorHAnsi" w:hAnsiTheme="majorHAnsi" w:cstheme="majorHAnsi"/>
          <w:sz w:val="20"/>
        </w:rPr>
        <w:t>Maximálny súčasný príkon:</w:t>
      </w:r>
      <w:r w:rsidRPr="00CA6E4A">
        <w:rPr>
          <w:rFonts w:asciiTheme="majorHAnsi" w:hAnsiTheme="majorHAnsi" w:cstheme="majorHAnsi"/>
          <w:sz w:val="20"/>
        </w:rPr>
        <w:tab/>
        <w:t>P</w:t>
      </w:r>
      <w:r w:rsidRPr="00CA6E4A">
        <w:rPr>
          <w:rFonts w:asciiTheme="majorHAnsi" w:hAnsiTheme="majorHAnsi" w:cstheme="majorHAnsi"/>
          <w:sz w:val="20"/>
          <w:vertAlign w:val="subscript"/>
        </w:rPr>
        <w:t>s</w:t>
      </w:r>
      <w:r w:rsidRPr="00CA6E4A">
        <w:rPr>
          <w:rFonts w:asciiTheme="majorHAnsi" w:hAnsiTheme="majorHAnsi" w:cstheme="majorHAnsi"/>
          <w:sz w:val="20"/>
        </w:rPr>
        <w:t xml:space="preserve"> = 16,5 kW</w:t>
      </w:r>
    </w:p>
    <w:p w:rsidR="00CA6E4A" w:rsidRPr="00CA6E4A" w:rsidRDefault="00CA6E4A" w:rsidP="00CA6E4A">
      <w:pPr>
        <w:keepNext/>
        <w:pBdr>
          <w:top w:val="dashSmallGap" w:sz="4" w:space="1" w:color="auto"/>
          <w:left w:val="dashSmallGap" w:sz="4" w:space="0" w:color="auto"/>
          <w:bottom w:val="dashSmallGap" w:sz="4" w:space="0" w:color="auto"/>
          <w:right w:val="dashSmallGap" w:sz="4" w:space="0" w:color="auto"/>
          <w:between w:val="dashSmallGap" w:sz="4" w:space="0" w:color="auto"/>
        </w:pBdr>
        <w:tabs>
          <w:tab w:val="left" w:pos="6663"/>
        </w:tabs>
        <w:rPr>
          <w:rFonts w:asciiTheme="majorHAnsi" w:hAnsiTheme="majorHAnsi" w:cstheme="majorHAnsi"/>
          <w:b/>
          <w:bCs/>
          <w:sz w:val="20"/>
        </w:rPr>
      </w:pPr>
      <w:r w:rsidRPr="00CA6E4A">
        <w:rPr>
          <w:rFonts w:asciiTheme="majorHAnsi" w:hAnsiTheme="majorHAnsi" w:cstheme="majorHAnsi"/>
          <w:sz w:val="20"/>
        </w:rPr>
        <w:t>Hlavný istič pred elektromerom</w:t>
      </w:r>
      <w:r w:rsidRPr="00CA6E4A">
        <w:rPr>
          <w:rFonts w:asciiTheme="majorHAnsi" w:hAnsiTheme="majorHAnsi" w:cstheme="majorHAnsi"/>
          <w:b/>
          <w:sz w:val="20"/>
        </w:rPr>
        <w:t>:</w:t>
      </w:r>
      <w:r w:rsidRPr="00CA6E4A">
        <w:rPr>
          <w:rFonts w:asciiTheme="majorHAnsi" w:hAnsiTheme="majorHAnsi" w:cstheme="majorHAnsi"/>
          <w:b/>
          <w:sz w:val="20"/>
        </w:rPr>
        <w:tab/>
      </w:r>
      <w:r w:rsidRPr="00CA6E4A">
        <w:rPr>
          <w:rFonts w:asciiTheme="majorHAnsi" w:hAnsiTheme="majorHAnsi" w:cstheme="majorHAnsi"/>
          <w:sz w:val="20"/>
        </w:rPr>
        <w:t>I</w:t>
      </w:r>
      <w:r w:rsidRPr="00CA6E4A">
        <w:rPr>
          <w:rFonts w:asciiTheme="majorHAnsi" w:hAnsiTheme="majorHAnsi" w:cstheme="majorHAnsi"/>
          <w:sz w:val="20"/>
          <w:vertAlign w:val="subscript"/>
        </w:rPr>
        <w:t>n</w:t>
      </w:r>
      <w:r w:rsidRPr="00CA6E4A">
        <w:rPr>
          <w:rFonts w:asciiTheme="majorHAnsi" w:hAnsiTheme="majorHAnsi" w:cstheme="majorHAnsi"/>
          <w:sz w:val="20"/>
        </w:rPr>
        <w:t xml:space="preserve"> = 3x25 A/charakteristika B</w:t>
      </w:r>
    </w:p>
    <w:p w:rsidR="00CA6E4A" w:rsidRPr="00CA6E4A" w:rsidRDefault="00CA6E4A" w:rsidP="00CA6E4A">
      <w:pPr>
        <w:keepNext/>
        <w:pBdr>
          <w:top w:val="dashSmallGap" w:sz="4" w:space="1" w:color="auto"/>
          <w:left w:val="dashSmallGap" w:sz="4" w:space="0" w:color="auto"/>
          <w:bottom w:val="dashSmallGap" w:sz="4" w:space="0" w:color="auto"/>
          <w:right w:val="dashSmallGap" w:sz="4" w:space="0" w:color="auto"/>
          <w:between w:val="dashSmallGap" w:sz="4" w:space="0" w:color="auto"/>
        </w:pBdr>
        <w:tabs>
          <w:tab w:val="left" w:pos="6663"/>
        </w:tabs>
        <w:rPr>
          <w:rFonts w:asciiTheme="majorHAnsi" w:hAnsiTheme="majorHAnsi" w:cstheme="majorHAnsi"/>
          <w:b/>
          <w:bCs/>
          <w:sz w:val="20"/>
        </w:rPr>
      </w:pPr>
      <w:r w:rsidRPr="00CA6E4A">
        <w:rPr>
          <w:rFonts w:asciiTheme="majorHAnsi" w:hAnsiTheme="majorHAnsi" w:cstheme="majorHAnsi"/>
          <w:sz w:val="20"/>
        </w:rPr>
        <w:t>Koeficient súčasnosti:</w:t>
      </w:r>
      <w:r w:rsidRPr="00CA6E4A">
        <w:rPr>
          <w:rFonts w:asciiTheme="majorHAnsi" w:hAnsiTheme="majorHAnsi" w:cstheme="majorHAnsi"/>
          <w:b/>
          <w:sz w:val="20"/>
        </w:rPr>
        <w:tab/>
      </w:r>
      <w:r w:rsidRPr="00CA6E4A">
        <w:rPr>
          <w:rFonts w:asciiTheme="majorHAnsi" w:hAnsiTheme="majorHAnsi" w:cstheme="majorHAnsi"/>
          <w:sz w:val="20"/>
        </w:rPr>
        <w:t>β = 0,8</w:t>
      </w:r>
    </w:p>
    <w:p w:rsidR="00CA6E4A" w:rsidRPr="00CA6E4A" w:rsidRDefault="00CA6E4A" w:rsidP="00CA6E4A">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CA6E4A">
        <w:rPr>
          <w:rFonts w:asciiTheme="majorHAnsi" w:hAnsiTheme="majorHAnsi" w:cstheme="majorHAnsi"/>
          <w:szCs w:val="20"/>
        </w:rPr>
        <w:t xml:space="preserve">predikcia výroby fve </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INTENZITA SLNEČNÉHO ŽIARENIA V LOKALITE: 1000 W/m²</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noProof/>
          <w:sz w:val="20"/>
        </w:rPr>
        <w:drawing>
          <wp:inline distT="0" distB="0" distL="0" distR="0" wp14:anchorId="3AE20625" wp14:editId="0C1287AC">
            <wp:extent cx="4914900" cy="3095936"/>
            <wp:effectExtent l="0" t="0" r="0" b="9525"/>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7582" cy="3223607"/>
                    </a:xfrm>
                    <a:prstGeom prst="rect">
                      <a:avLst/>
                    </a:prstGeom>
                    <a:noFill/>
                    <a:ln>
                      <a:noFill/>
                    </a:ln>
                  </pic:spPr>
                </pic:pic>
              </a:graphicData>
            </a:graphic>
          </wp:inline>
        </w:drawing>
      </w:r>
    </w:p>
    <w:p w:rsidR="00CA6E4A" w:rsidRPr="00CA6E4A" w:rsidRDefault="00CA6E4A" w:rsidP="00CA6E4A">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bookmarkStart w:id="108" w:name="bookmark17"/>
      <w:r w:rsidRPr="00CA6E4A">
        <w:rPr>
          <w:rFonts w:asciiTheme="majorHAnsi" w:hAnsiTheme="majorHAnsi" w:cstheme="majorHAnsi"/>
          <w:szCs w:val="20"/>
        </w:rPr>
        <w:t xml:space="preserve">predikcia výroby fve </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Orientácia panelov je na juhozápad, čo značí, že je výroba zameraná aj na zimné obdobie.</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noProof/>
          <w:sz w:val="20"/>
        </w:rPr>
        <w:lastRenderedPageBreak/>
        <w:drawing>
          <wp:inline distT="0" distB="0" distL="0" distR="0" wp14:anchorId="3DEB76E0" wp14:editId="0D3C3B5B">
            <wp:extent cx="5463502" cy="3400425"/>
            <wp:effectExtent l="0" t="0" r="4445" b="0"/>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72873" cy="3406257"/>
                    </a:xfrm>
                    <a:prstGeom prst="rect">
                      <a:avLst/>
                    </a:prstGeom>
                    <a:noFill/>
                    <a:ln>
                      <a:noFill/>
                    </a:ln>
                  </pic:spPr>
                </pic:pic>
              </a:graphicData>
            </a:graphic>
          </wp:inline>
        </w:drawing>
      </w:r>
    </w:p>
    <w:p w:rsidR="00CA6E4A" w:rsidRPr="00CA6E4A" w:rsidRDefault="00CA6E4A" w:rsidP="00CA6E4A">
      <w:pPr>
        <w:pStyle w:val="Nadpis2"/>
        <w:keepLines/>
        <w:widowControl w:val="0"/>
        <w:numPr>
          <w:ilvl w:val="1"/>
          <w:numId w:val="15"/>
        </w:numPr>
        <w:tabs>
          <w:tab w:val="left" w:pos="567"/>
        </w:tabs>
        <w:spacing w:before="200" w:after="120" w:line="276" w:lineRule="auto"/>
        <w:jc w:val="both"/>
        <w:textAlignment w:val="auto"/>
        <w:rPr>
          <w:rFonts w:asciiTheme="majorHAnsi" w:hAnsiTheme="majorHAnsi" w:cstheme="majorHAnsi"/>
          <w:szCs w:val="20"/>
        </w:rPr>
      </w:pPr>
      <w:r w:rsidRPr="00CA6E4A">
        <w:rPr>
          <w:rFonts w:asciiTheme="majorHAnsi" w:hAnsiTheme="majorHAnsi" w:cstheme="majorHAnsi"/>
          <w:szCs w:val="20"/>
        </w:rPr>
        <w:t>Druh prostredia a krytie</w:t>
      </w:r>
      <w:bookmarkEnd w:id="108"/>
    </w:p>
    <w:p w:rsidR="00CA6E4A" w:rsidRPr="00CA6E4A" w:rsidRDefault="00CA6E4A" w:rsidP="001E7B38">
      <w:pPr>
        <w:pStyle w:val="Odsekzoznamu"/>
        <w:widowControl w:val="0"/>
        <w:numPr>
          <w:ilvl w:val="0"/>
          <w:numId w:val="53"/>
        </w:numPr>
        <w:tabs>
          <w:tab w:val="left" w:pos="567"/>
        </w:tabs>
        <w:overflowPunct w:val="0"/>
        <w:autoSpaceDE w:val="0"/>
        <w:autoSpaceDN w:val="0"/>
        <w:adjustRightInd w:val="0"/>
        <w:jc w:val="both"/>
        <w:rPr>
          <w:rFonts w:asciiTheme="majorHAnsi" w:hAnsiTheme="majorHAnsi" w:cstheme="majorHAnsi"/>
          <w:b/>
          <w:sz w:val="20"/>
          <w:szCs w:val="20"/>
        </w:rPr>
      </w:pPr>
      <w:r w:rsidRPr="00CA6E4A">
        <w:rPr>
          <w:rFonts w:asciiTheme="majorHAnsi" w:hAnsiTheme="majorHAnsi" w:cstheme="majorHAnsi"/>
          <w:b/>
          <w:sz w:val="20"/>
          <w:szCs w:val="20"/>
        </w:rPr>
        <w:t>Vnútorná el. inštalácia FVE:</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V riešených priestoroch platí toto triedenie vonkajších vplyvov:</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AA5,AB5,AC1 ,AD1 ,AE1 ,AF1 ,AG1 ,AH1 ,AK1 ,AL1 ,AM1 ,AN1 ,AP1 ,AQ1 ,BA5,BC2,BE1 ,CA1 ,CB1</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Všetky triedy vonkajších vplyvov majú požadovanú charakteristiku pre výber a inštaláciu zariadení normálne</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priestory</w:t>
      </w:r>
    </w:p>
    <w:p w:rsidR="00CA6E4A" w:rsidRPr="00CA6E4A" w:rsidRDefault="00CA6E4A" w:rsidP="001E7B38">
      <w:pPr>
        <w:pStyle w:val="Odsekzoznamu"/>
        <w:widowControl w:val="0"/>
        <w:numPr>
          <w:ilvl w:val="0"/>
          <w:numId w:val="53"/>
        </w:numPr>
        <w:tabs>
          <w:tab w:val="left" w:pos="567"/>
        </w:tabs>
        <w:overflowPunct w:val="0"/>
        <w:autoSpaceDE w:val="0"/>
        <w:autoSpaceDN w:val="0"/>
        <w:adjustRightInd w:val="0"/>
        <w:jc w:val="both"/>
        <w:rPr>
          <w:rFonts w:asciiTheme="majorHAnsi" w:hAnsiTheme="majorHAnsi" w:cstheme="majorHAnsi"/>
          <w:b/>
          <w:sz w:val="20"/>
          <w:szCs w:val="20"/>
        </w:rPr>
      </w:pPr>
      <w:r w:rsidRPr="00CA6E4A">
        <w:rPr>
          <w:rFonts w:asciiTheme="majorHAnsi" w:hAnsiTheme="majorHAnsi" w:cstheme="majorHAnsi"/>
          <w:b/>
          <w:sz w:val="20"/>
          <w:szCs w:val="20"/>
        </w:rPr>
        <w:t>Vonkajšia elektroinštalácia FVE:</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AA7,AB7,AC1 .AD3.AE1,AF1,AG1,AH1,AK1,AL1,AN3,AP1,AQ2,BA5,BC2,BE1,CA1,CB1,Trieda AD3 - zvlášť nebezpečné, AB8 – nebezpečné.</w:t>
      </w:r>
    </w:p>
    <w:p w:rsidR="00CA6E4A" w:rsidRPr="00CA6E4A" w:rsidRDefault="00CA6E4A" w:rsidP="00CA6E4A">
      <w:pPr>
        <w:rPr>
          <w:rFonts w:asciiTheme="majorHAnsi" w:hAnsiTheme="majorHAnsi" w:cstheme="majorHAnsi"/>
          <w:sz w:val="20"/>
        </w:rPr>
      </w:pP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Priestory z hľadiska nebezpečenstva úrazu el. prúdom podľa STN 33 2000-4-41:</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 xml:space="preserve">Riešené priestory vo vnútri objektov - priestory normálne </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Vonkajšie priestory - priestory zvlášť nebezpečné</w:t>
      </w:r>
    </w:p>
    <w:p w:rsidR="00CA6E4A" w:rsidRPr="00CA6E4A" w:rsidRDefault="00CA6E4A" w:rsidP="00CA6E4A">
      <w:pPr>
        <w:rPr>
          <w:rFonts w:asciiTheme="majorHAnsi" w:hAnsiTheme="majorHAnsi" w:cstheme="majorHAnsi"/>
          <w:sz w:val="20"/>
        </w:rPr>
      </w:pP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Určeným triedam vonkajších vplyvov musí zodpovedať prevedenie elektroinštalácie podľa STN 33 2000-4-41, STN 33 2000-5-51 a ďalších súvisiacich platných noriem. Uvedené triedy vonkajších vplyvov musia byť pred uvedením zariadenia do prevádzky preverené a potvrdené alebo opravené. V prípade zmeny charakteru miestností sa musí prekontrolovať, či elektrické zariadenia vyhovujú zmeneným podmienkam.</w:t>
      </w:r>
    </w:p>
    <w:p w:rsidR="00CA6E4A" w:rsidRPr="00CA6E4A" w:rsidRDefault="00CA6E4A" w:rsidP="00165ED7">
      <w:pPr>
        <w:pStyle w:val="Nadpis1"/>
        <w:numPr>
          <w:ilvl w:val="0"/>
          <w:numId w:val="14"/>
        </w:numPr>
      </w:pPr>
      <w:r w:rsidRPr="00CA6E4A">
        <w:t>hlavné rozpojovacie miesto HRM</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Pri strate napätia v distribučnej sústave musí byť zaistené, aby FVE nedodávala vyrobenú elektrickú energiu do distribučnej sústavy. Pomocou sieťovej ochrany - zariadenia U-F Guard bude sledované napätie distribučnej siete, pri výpadku napätia v distribučnej sieti  sa odpojí stýkač – HRM pre odpojenie FVE od siete. U-F Guard bude použitý s pomocným bezpotenciálovým kontaktom, cez ktorý sa môže dávať signál o stave napr. do nadradeného riadiaceho systému elektroinštalácie. Hybridný striedač musí byť vybraný z iba vybraných schválených hybridných striedačov, ktoré spĺňajú požiadavku bezpečnej a spoľahlivej prevádzky podľa katalógu Západoslovenská distribučná, a.s.. Prevádzka zariadenia musí byť v súlade s platnými technickými podmienkami! Nie je potrebné upraviť elektromerový rozvádzač pre meranie činného odberu elektriny a dodávky elektriny, meranie jalovej dodávky elektriny a odberu  elektriny s diaľkovým odpočtom dát. Za správne zapojenie a nastavenie zariadenia na výrobu elektriny a splnenie vyššie uvedených podmienok je zodpovedný technik pri realizácii!</w:t>
      </w:r>
    </w:p>
    <w:p w:rsidR="00CA6E4A" w:rsidRPr="00CA6E4A" w:rsidRDefault="00CA6E4A" w:rsidP="00165ED7">
      <w:pPr>
        <w:pStyle w:val="Nadpis1"/>
        <w:numPr>
          <w:ilvl w:val="0"/>
          <w:numId w:val="14"/>
        </w:numPr>
      </w:pPr>
      <w:bookmarkStart w:id="109" w:name="bookmark26"/>
      <w:r w:rsidRPr="00CA6E4A">
        <w:lastRenderedPageBreak/>
        <w:t>Pospájanie elektrických zariadení</w:t>
      </w:r>
      <w:bookmarkEnd w:id="109"/>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Je prevedené podľa STN 33 2000-4-41, STN 33 2000-5-54. Cieľom ochranného pospájania je vyrovnať v blízkosti chránenej časti všetkých dosiahnuteľných vodivých častí na rovnakú úroveň s nulovým potenciálom zeme. Pre FVE je prevedené hlavné a doplnkové pospájanie.</w:t>
      </w:r>
    </w:p>
    <w:p w:rsidR="00CA6E4A" w:rsidRPr="00CA6E4A" w:rsidRDefault="00CA6E4A" w:rsidP="00CA6E4A">
      <w:pPr>
        <w:pStyle w:val="Odsekzoznamu"/>
        <w:keepNext/>
        <w:keepLines/>
        <w:widowControl w:val="0"/>
        <w:numPr>
          <w:ilvl w:val="0"/>
          <w:numId w:val="15"/>
        </w:numPr>
        <w:tabs>
          <w:tab w:val="left" w:pos="567"/>
        </w:tabs>
        <w:overflowPunct w:val="0"/>
        <w:autoSpaceDE w:val="0"/>
        <w:autoSpaceDN w:val="0"/>
        <w:adjustRightInd w:val="0"/>
        <w:spacing w:before="200" w:after="120"/>
        <w:contextualSpacing w:val="0"/>
        <w:jc w:val="both"/>
        <w:outlineLvl w:val="1"/>
        <w:rPr>
          <w:rFonts w:asciiTheme="majorHAnsi" w:eastAsiaTheme="majorEastAsia" w:hAnsiTheme="majorHAnsi" w:cstheme="majorHAnsi"/>
          <w:b/>
          <w:bCs/>
          <w:caps/>
          <w:vanish/>
          <w:color w:val="000000" w:themeColor="text1"/>
          <w:sz w:val="20"/>
          <w:szCs w:val="20"/>
          <w:lang w:eastAsia="en-US"/>
        </w:rPr>
      </w:pPr>
    </w:p>
    <w:p w:rsidR="00CA6E4A" w:rsidRPr="00CA6E4A" w:rsidRDefault="00CA6E4A" w:rsidP="00CA6E4A">
      <w:pPr>
        <w:pStyle w:val="Nadpis2"/>
        <w:numPr>
          <w:ilvl w:val="0"/>
          <w:numId w:val="0"/>
        </w:numPr>
        <w:ind w:left="720" w:hanging="720"/>
        <w:rPr>
          <w:rFonts w:asciiTheme="majorHAnsi" w:hAnsiTheme="majorHAnsi" w:cstheme="majorHAnsi"/>
          <w:szCs w:val="20"/>
        </w:rPr>
      </w:pPr>
      <w:bookmarkStart w:id="110" w:name="bookmark27"/>
      <w:r w:rsidRPr="00CA6E4A">
        <w:rPr>
          <w:rFonts w:asciiTheme="majorHAnsi" w:hAnsiTheme="majorHAnsi" w:cstheme="majorHAnsi"/>
          <w:szCs w:val="20"/>
        </w:rPr>
        <w:t>5.1.Hlavné pospájanie</w:t>
      </w:r>
      <w:bookmarkEnd w:id="110"/>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Hlavné pospájanie v objekte tvorí základ pre vyrovnanie potenciálu medzi všetkými neživými časťami. Pre FVE sa navrhuje ekvipotenciálna svorkovnica MET. Pre FVE sa prevedie pospájanie na ekvipotenciálnu svorkovnicu MET (prípojnica potenciálového vyrovnania). MET sa umiestni pod RH na stene v budove. Na ekvipotenciálnu svorkovnicu MET sa pripojí:</w:t>
      </w:r>
    </w:p>
    <w:p w:rsidR="00CA6E4A" w:rsidRPr="00CA6E4A" w:rsidRDefault="00CA6E4A" w:rsidP="001E7B38">
      <w:pPr>
        <w:pStyle w:val="Odsekzoznamu"/>
        <w:widowControl w:val="0"/>
        <w:numPr>
          <w:ilvl w:val="0"/>
          <w:numId w:val="53"/>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AC rozvádzač R-FVE (PE zbernica) zelenožltým vodičom CYA 16mm</w:t>
      </w:r>
      <w:r w:rsidRPr="00CA6E4A">
        <w:rPr>
          <w:rFonts w:asciiTheme="majorHAnsi" w:hAnsiTheme="majorHAnsi" w:cstheme="majorHAnsi"/>
          <w:sz w:val="20"/>
          <w:szCs w:val="20"/>
          <w:vertAlign w:val="superscript"/>
        </w:rPr>
        <w:t>2</w:t>
      </w:r>
    </w:p>
    <w:p w:rsidR="00CA6E4A" w:rsidRPr="00CA6E4A" w:rsidRDefault="00CA6E4A" w:rsidP="001E7B38">
      <w:pPr>
        <w:pStyle w:val="Odsekzoznamu"/>
        <w:widowControl w:val="0"/>
        <w:numPr>
          <w:ilvl w:val="0"/>
          <w:numId w:val="53"/>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 xml:space="preserve">DC rozvádzač R-STR (PE zbernica) zelenožltým vodičom </w:t>
      </w:r>
      <w:bookmarkStart w:id="111" w:name="_Hlk493371318"/>
      <w:r w:rsidRPr="00CA6E4A">
        <w:rPr>
          <w:rFonts w:asciiTheme="majorHAnsi" w:hAnsiTheme="majorHAnsi" w:cstheme="majorHAnsi"/>
          <w:sz w:val="20"/>
          <w:szCs w:val="20"/>
        </w:rPr>
        <w:t>CYA 16mm</w:t>
      </w:r>
      <w:r w:rsidRPr="00CA6E4A">
        <w:rPr>
          <w:rFonts w:asciiTheme="majorHAnsi" w:hAnsiTheme="majorHAnsi" w:cstheme="majorHAnsi"/>
          <w:sz w:val="20"/>
          <w:szCs w:val="20"/>
          <w:vertAlign w:val="superscript"/>
        </w:rPr>
        <w:t>2</w:t>
      </w:r>
      <w:bookmarkEnd w:id="111"/>
    </w:p>
    <w:p w:rsidR="00CA6E4A" w:rsidRPr="00CA6E4A" w:rsidRDefault="00CA6E4A" w:rsidP="001E7B38">
      <w:pPr>
        <w:pStyle w:val="Odsekzoznamu"/>
        <w:widowControl w:val="0"/>
        <w:numPr>
          <w:ilvl w:val="0"/>
          <w:numId w:val="53"/>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Striedač (PE svorka) zelenožltým vodičom CYA 6mm</w:t>
      </w:r>
      <w:r w:rsidRPr="00CA6E4A">
        <w:rPr>
          <w:rFonts w:asciiTheme="majorHAnsi" w:hAnsiTheme="majorHAnsi" w:cstheme="majorHAnsi"/>
          <w:sz w:val="20"/>
          <w:szCs w:val="20"/>
          <w:vertAlign w:val="superscript"/>
        </w:rPr>
        <w:t>2</w:t>
      </w:r>
    </w:p>
    <w:p w:rsidR="00CA6E4A" w:rsidRPr="00CA6E4A" w:rsidRDefault="00CA6E4A" w:rsidP="001E7B38">
      <w:pPr>
        <w:pStyle w:val="Odsekzoznamu"/>
        <w:widowControl w:val="0"/>
        <w:numPr>
          <w:ilvl w:val="0"/>
          <w:numId w:val="53"/>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Statické FeZn konštrukcie a konštrukcie pre FV panely zelenožltým vodičom CYA 16mm</w:t>
      </w:r>
      <w:r w:rsidRPr="00CA6E4A">
        <w:rPr>
          <w:rFonts w:asciiTheme="majorHAnsi" w:hAnsiTheme="majorHAnsi" w:cstheme="majorHAnsi"/>
          <w:sz w:val="20"/>
          <w:szCs w:val="20"/>
          <w:vertAlign w:val="superscript"/>
        </w:rPr>
        <w:t>2</w:t>
      </w:r>
    </w:p>
    <w:p w:rsidR="00CA6E4A" w:rsidRPr="00CA6E4A" w:rsidRDefault="00CA6E4A" w:rsidP="001E7B38">
      <w:pPr>
        <w:pStyle w:val="Odsekzoznamu"/>
        <w:widowControl w:val="0"/>
        <w:numPr>
          <w:ilvl w:val="0"/>
          <w:numId w:val="53"/>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hlavný rozvádzač (PE zbernica) zelenožltým vodičom CYA 16mm</w:t>
      </w:r>
      <w:r w:rsidRPr="00CA6E4A">
        <w:rPr>
          <w:rFonts w:asciiTheme="majorHAnsi" w:hAnsiTheme="majorHAnsi" w:cstheme="majorHAnsi"/>
          <w:sz w:val="20"/>
          <w:szCs w:val="20"/>
          <w:vertAlign w:val="superscript"/>
        </w:rPr>
        <w:t>2</w:t>
      </w:r>
    </w:p>
    <w:p w:rsidR="00CA6E4A" w:rsidRPr="00CA6E4A" w:rsidRDefault="00CA6E4A" w:rsidP="00CA6E4A">
      <w:pPr>
        <w:rPr>
          <w:rFonts w:asciiTheme="majorHAnsi" w:hAnsiTheme="majorHAnsi" w:cstheme="majorHAnsi"/>
          <w:sz w:val="20"/>
        </w:rPr>
      </w:pP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Vodič pospájania:</w:t>
      </w:r>
    </w:p>
    <w:p w:rsidR="00CA6E4A" w:rsidRPr="00CA6E4A" w:rsidRDefault="00CA6E4A" w:rsidP="001E7B38">
      <w:pPr>
        <w:pStyle w:val="Odsekzoznamu"/>
        <w:widowControl w:val="0"/>
        <w:numPr>
          <w:ilvl w:val="0"/>
          <w:numId w:val="54"/>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Nesmie mať menší prierez než polovica prierezu najväčšieho ochranného vodiča v inštalácii, najmenej však 6mm</w:t>
      </w:r>
      <w:r w:rsidRPr="00CA6E4A">
        <w:rPr>
          <w:rFonts w:asciiTheme="majorHAnsi" w:hAnsiTheme="majorHAnsi" w:cstheme="majorHAnsi"/>
          <w:sz w:val="20"/>
          <w:szCs w:val="20"/>
          <w:vertAlign w:val="superscript"/>
        </w:rPr>
        <w:t>2</w:t>
      </w:r>
      <w:r w:rsidRPr="00CA6E4A">
        <w:rPr>
          <w:rFonts w:asciiTheme="majorHAnsi" w:hAnsiTheme="majorHAnsi" w:cstheme="majorHAnsi"/>
          <w:sz w:val="20"/>
          <w:szCs w:val="20"/>
        </w:rPr>
        <w:t>. Prierez nemusí byť väčší ako 25mm</w:t>
      </w:r>
      <w:r w:rsidRPr="00CA6E4A">
        <w:rPr>
          <w:rFonts w:asciiTheme="majorHAnsi" w:hAnsiTheme="majorHAnsi" w:cstheme="majorHAnsi"/>
          <w:sz w:val="20"/>
          <w:szCs w:val="20"/>
          <w:vertAlign w:val="superscript"/>
        </w:rPr>
        <w:t>2</w:t>
      </w:r>
      <w:r w:rsidRPr="00CA6E4A">
        <w:rPr>
          <w:rFonts w:asciiTheme="majorHAnsi" w:hAnsiTheme="majorHAnsi" w:cstheme="majorHAnsi"/>
          <w:sz w:val="20"/>
          <w:szCs w:val="20"/>
        </w:rPr>
        <w:t>, ak je vodič z medi. Ak je vodič z iného kovu, vodič má mať ekvivalentnú vodivosť ako má medený vodič.</w:t>
      </w:r>
    </w:p>
    <w:p w:rsidR="00CA6E4A" w:rsidRPr="00CA6E4A" w:rsidRDefault="00CA6E4A" w:rsidP="001E7B38">
      <w:pPr>
        <w:pStyle w:val="Odsekzoznamu"/>
        <w:widowControl w:val="0"/>
        <w:numPr>
          <w:ilvl w:val="0"/>
          <w:numId w:val="54"/>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Prevedená je vodičom CYA 10-16mm</w:t>
      </w:r>
      <w:r w:rsidRPr="00CA6E4A">
        <w:rPr>
          <w:rFonts w:asciiTheme="majorHAnsi" w:hAnsiTheme="majorHAnsi" w:cstheme="majorHAnsi"/>
          <w:sz w:val="20"/>
          <w:szCs w:val="20"/>
          <w:vertAlign w:val="superscript"/>
        </w:rPr>
        <w:t>2</w:t>
      </w:r>
      <w:r w:rsidRPr="00CA6E4A">
        <w:rPr>
          <w:rFonts w:asciiTheme="majorHAnsi" w:hAnsiTheme="majorHAnsi" w:cstheme="majorHAnsi"/>
          <w:sz w:val="20"/>
          <w:szCs w:val="20"/>
        </w:rPr>
        <w:t xml:space="preserve"> zelenožltej farby.</w:t>
      </w:r>
    </w:p>
    <w:p w:rsidR="00CA6E4A" w:rsidRPr="00CA6E4A" w:rsidRDefault="00CA6E4A" w:rsidP="001E7B38">
      <w:pPr>
        <w:pStyle w:val="Odsekzoznamu"/>
        <w:widowControl w:val="0"/>
        <w:numPr>
          <w:ilvl w:val="0"/>
          <w:numId w:val="54"/>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Na EP sa pripoja vodičom CYA 6-16mm</w:t>
      </w:r>
      <w:r w:rsidRPr="00CA6E4A">
        <w:rPr>
          <w:rFonts w:asciiTheme="majorHAnsi" w:hAnsiTheme="majorHAnsi" w:cstheme="majorHAnsi"/>
          <w:sz w:val="20"/>
          <w:szCs w:val="20"/>
          <w:vertAlign w:val="superscript"/>
        </w:rPr>
        <w:t>2</w:t>
      </w:r>
      <w:r w:rsidRPr="00CA6E4A">
        <w:rPr>
          <w:rFonts w:asciiTheme="majorHAnsi" w:hAnsiTheme="majorHAnsi" w:cstheme="majorHAnsi"/>
          <w:sz w:val="20"/>
          <w:szCs w:val="20"/>
        </w:rPr>
        <w:t xml:space="preserve"> zelenožltej farby kovové konštrukčné časti objektu.</w:t>
      </w:r>
    </w:p>
    <w:p w:rsidR="00CA6E4A" w:rsidRPr="00CA6E4A" w:rsidRDefault="00CA6E4A" w:rsidP="00CA6E4A">
      <w:pPr>
        <w:rPr>
          <w:rFonts w:asciiTheme="majorHAnsi" w:hAnsiTheme="majorHAnsi" w:cstheme="majorHAnsi"/>
          <w:sz w:val="20"/>
        </w:rPr>
      </w:pP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Pospájanie FVE:</w:t>
      </w:r>
    </w:p>
    <w:p w:rsidR="00CA6E4A" w:rsidRPr="00CA6E4A" w:rsidRDefault="00CA6E4A" w:rsidP="001E7B38">
      <w:pPr>
        <w:pStyle w:val="Odsekzoznamu"/>
        <w:widowControl w:val="0"/>
        <w:numPr>
          <w:ilvl w:val="0"/>
          <w:numId w:val="55"/>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Ochranný vodič PE (prípojnica PE) rozvádzača RDC sa pripojí samostatne zelenožltým vodičom CYA 16mm</w:t>
      </w:r>
      <w:r w:rsidRPr="00CA6E4A">
        <w:rPr>
          <w:rFonts w:asciiTheme="majorHAnsi" w:hAnsiTheme="majorHAnsi" w:cstheme="majorHAnsi"/>
          <w:sz w:val="20"/>
          <w:szCs w:val="20"/>
          <w:vertAlign w:val="superscript"/>
        </w:rPr>
        <w:t>2</w:t>
      </w:r>
      <w:r w:rsidRPr="00CA6E4A">
        <w:rPr>
          <w:rFonts w:asciiTheme="majorHAnsi" w:hAnsiTheme="majorHAnsi" w:cstheme="majorHAnsi"/>
          <w:sz w:val="20"/>
          <w:szCs w:val="20"/>
        </w:rPr>
        <w:t xml:space="preserve"> na ekvipotenciálnu svorkovnicu EP.</w:t>
      </w:r>
    </w:p>
    <w:p w:rsidR="00CA6E4A" w:rsidRPr="00CA6E4A" w:rsidRDefault="00CA6E4A" w:rsidP="001E7B38">
      <w:pPr>
        <w:pStyle w:val="Odsekzoznamu"/>
        <w:widowControl w:val="0"/>
        <w:numPr>
          <w:ilvl w:val="0"/>
          <w:numId w:val="55"/>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Ochranný vodič PE (prípojnica PE) rozvádzača R-FVE sa pripojí zelenožltým vodičom CYA 16mm</w:t>
      </w:r>
      <w:r w:rsidRPr="00CA6E4A">
        <w:rPr>
          <w:rFonts w:asciiTheme="majorHAnsi" w:hAnsiTheme="majorHAnsi" w:cstheme="majorHAnsi"/>
          <w:sz w:val="20"/>
          <w:szCs w:val="20"/>
          <w:vertAlign w:val="superscript"/>
        </w:rPr>
        <w:t>2</w:t>
      </w:r>
      <w:r w:rsidRPr="00CA6E4A">
        <w:rPr>
          <w:rFonts w:asciiTheme="majorHAnsi" w:hAnsiTheme="majorHAnsi" w:cstheme="majorHAnsi"/>
          <w:sz w:val="20"/>
          <w:szCs w:val="20"/>
        </w:rPr>
        <w:t xml:space="preserve"> na ekvipotenciálnu svorkovnicu EP</w:t>
      </w:r>
    </w:p>
    <w:p w:rsidR="00CA6E4A" w:rsidRPr="00CA6E4A" w:rsidRDefault="00CA6E4A" w:rsidP="001E7B38">
      <w:pPr>
        <w:pStyle w:val="Odsekzoznamu"/>
        <w:widowControl w:val="0"/>
        <w:numPr>
          <w:ilvl w:val="0"/>
          <w:numId w:val="55"/>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K prípojnici EP sa pripojí pospájanie FV stringov zelenožltým vodičom CYA 6mm</w:t>
      </w:r>
      <w:r w:rsidRPr="00CA6E4A">
        <w:rPr>
          <w:rFonts w:asciiTheme="majorHAnsi" w:hAnsiTheme="majorHAnsi" w:cstheme="majorHAnsi"/>
          <w:sz w:val="20"/>
          <w:szCs w:val="20"/>
          <w:vertAlign w:val="superscript"/>
        </w:rPr>
        <w:t>2</w:t>
      </w:r>
    </w:p>
    <w:p w:rsidR="00CA6E4A" w:rsidRPr="00CA6E4A" w:rsidRDefault="00CA6E4A" w:rsidP="001E7B38">
      <w:pPr>
        <w:pStyle w:val="Odsekzoznamu"/>
        <w:widowControl w:val="0"/>
        <w:numPr>
          <w:ilvl w:val="0"/>
          <w:numId w:val="55"/>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K ekvipotenciálnej svorkovnici EP sa pripojí hlavný rozvádzač elektroinštalácie budovy domu zelenožltým vodičom CYA 16mm</w:t>
      </w:r>
      <w:r w:rsidRPr="00CA6E4A">
        <w:rPr>
          <w:rFonts w:asciiTheme="majorHAnsi" w:hAnsiTheme="majorHAnsi" w:cstheme="majorHAnsi"/>
          <w:sz w:val="20"/>
          <w:szCs w:val="20"/>
          <w:vertAlign w:val="superscript"/>
        </w:rPr>
        <w:t>2</w:t>
      </w:r>
    </w:p>
    <w:p w:rsidR="00CA6E4A" w:rsidRPr="00CA6E4A" w:rsidRDefault="00CA6E4A" w:rsidP="001E7B38">
      <w:pPr>
        <w:pStyle w:val="Odsekzoznamu"/>
        <w:widowControl w:val="0"/>
        <w:numPr>
          <w:ilvl w:val="0"/>
          <w:numId w:val="55"/>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Všetky nosné konštrukcie (kovové nosné konštrukcie fotovoltických panelov sa vodivo navzájom pospájajú (prepojenie v jeden celok) a pripoja sa k hlavnému pospájaniu FVE</w:t>
      </w:r>
    </w:p>
    <w:p w:rsidR="00CA6E4A" w:rsidRPr="00CA6E4A" w:rsidRDefault="00CA6E4A" w:rsidP="001E7B38">
      <w:pPr>
        <w:pStyle w:val="Odsekzoznamu"/>
        <w:widowControl w:val="0"/>
        <w:numPr>
          <w:ilvl w:val="0"/>
          <w:numId w:val="55"/>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EP sa pripojí na vonkajšie uzemnenie objektu  v zemi drôtom FeZn Φ10, alebo pásom FeZn 30x4 mm. Uzemnenie na hodnotu R</w:t>
      </w:r>
      <w:r w:rsidRPr="00CA6E4A">
        <w:rPr>
          <w:rFonts w:asciiTheme="majorHAnsi" w:hAnsiTheme="majorHAnsi" w:cstheme="majorHAnsi"/>
          <w:sz w:val="20"/>
          <w:szCs w:val="20"/>
          <w:vertAlign w:val="subscript"/>
        </w:rPr>
        <w:t>z</w:t>
      </w:r>
      <w:r w:rsidRPr="00CA6E4A">
        <w:rPr>
          <w:rFonts w:asciiTheme="majorHAnsi" w:hAnsiTheme="majorHAnsi" w:cstheme="majorHAnsi"/>
          <w:sz w:val="20"/>
          <w:szCs w:val="20"/>
        </w:rPr>
        <w:t xml:space="preserve"> &lt; 10Ω.</w:t>
      </w:r>
    </w:p>
    <w:p w:rsidR="00CA6E4A" w:rsidRPr="00CA6E4A" w:rsidRDefault="00CA6E4A" w:rsidP="00165ED7">
      <w:pPr>
        <w:pStyle w:val="Nadpis1"/>
        <w:numPr>
          <w:ilvl w:val="0"/>
          <w:numId w:val="14"/>
        </w:numPr>
      </w:pPr>
      <w:bookmarkStart w:id="112" w:name="bookmark28"/>
      <w:r w:rsidRPr="00CA6E4A">
        <w:t>Bezpečnosť pri práci a obsluhe el. zariadenia, montážne práce, údržba a ostatné</w:t>
      </w:r>
      <w:bookmarkEnd w:id="112"/>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 xml:space="preserve">Vyhl. č. 508/2009 Z.z. s odborným elektrotechnickým vzdelaním. Pri obsluhe, údržbe a montáži elektrických zariadení je nutné dodržiavať všetky predpisy pre bezpečnosť pri práci v zmysle STN. V miestach, kde sa elektrické zariadenie vypína a zapína umiestniť bezpečnostné a výstražné tabuľky s textom podľa STN. Pri montážnych prácach používať ochranné a pracovné pomôcky, ktoré musia byť vždy v dobrom stave. Údržba musí zaistiť, aby všetky závady vzniknuté na elektrickom zariadení boli bezodkladne odstránené, alebo vadné elektrické zariadenie bolo až do prevedenia opravy odpojené a bezpečne zaistené proti zapnutiu. Investor musí zaistiť dodávateľovi montážnych prác užívanie vonkajších priestorov a nerušený priebeh montáže prácami a prítomnosťou tretích osôb. Po ukončení montážnych prác pred uvedením elektrických zariadení do trvalej prevádzky prevedie elektrotechnik špecialista východziu odbornú prehliadku so skúškami podľa STN 33 2000-6. Užívateľ (majiteľ) FVE je povinný si zabezpečovať vykonávanie pravidelných odborných prehliadok. </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 xml:space="preserve">Ochrana pred úrazom el. prúdom je navrhnutá v súlade s STN 33 2000-4-41. Obsluhu prístrojov v rozvádzačoch a všetky údržbárske práce na el. zariadení môžu vykonávať len pracovníci s príslušnou kvalifikáciou. </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V prevádzkových predpisoch musí byť zdôraznené nebezpečenstvo vyplývajúce z charakteru FV zariadenia a to, že i pri odpojenom striedači zo strany DC aj AC je pri slnečnom žiarení i naďalej vyrábaná elektrická energie vo FV paneloch a hrozí nebezpečenstvo úrazu elektrickým prúdom.</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Všetky výrobky, ktoré podliehajú povinnému schvaľovaniu a certifikácii v zmysle zákona č. 264/1999 Z.z. o technických požiadavkách na výrobky a o posudzovaní zhody v platnom znení, musia byť v zmysle tohto zákona vybavené príslušnými schvaľovacími certifikačnými osvedčeniami.</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 xml:space="preserve">Podľa zákona č. 50/1976 Z.z. v platnom znení, nesmie bez týchto dokumentov dôjsť k inštalácii týchto výrobkov a zariadení. </w:t>
      </w:r>
    </w:p>
    <w:p w:rsidR="00CA6E4A" w:rsidRPr="00CA6E4A" w:rsidRDefault="00CA6E4A" w:rsidP="00CA6E4A">
      <w:pPr>
        <w:rPr>
          <w:rFonts w:asciiTheme="majorHAnsi" w:hAnsiTheme="majorHAnsi" w:cstheme="majorHAnsi"/>
          <w:b/>
          <w:sz w:val="20"/>
        </w:rPr>
      </w:pPr>
      <w:r w:rsidRPr="00CA6E4A">
        <w:rPr>
          <w:rFonts w:asciiTheme="majorHAnsi" w:hAnsiTheme="majorHAnsi" w:cstheme="majorHAnsi"/>
          <w:b/>
          <w:sz w:val="20"/>
        </w:rPr>
        <w:lastRenderedPageBreak/>
        <w:t>Zákon č. 50/1976 Z.z. sa vzťahuje aj na výrobu rozvádzačov.</w:t>
      </w:r>
    </w:p>
    <w:p w:rsidR="00CA6E4A" w:rsidRPr="00CA6E4A" w:rsidRDefault="00CA6E4A" w:rsidP="00CA6E4A">
      <w:pPr>
        <w:pStyle w:val="Odsekzoznamu"/>
        <w:keepNext/>
        <w:keepLines/>
        <w:widowControl w:val="0"/>
        <w:numPr>
          <w:ilvl w:val="0"/>
          <w:numId w:val="15"/>
        </w:numPr>
        <w:tabs>
          <w:tab w:val="left" w:pos="567"/>
        </w:tabs>
        <w:overflowPunct w:val="0"/>
        <w:autoSpaceDE w:val="0"/>
        <w:autoSpaceDN w:val="0"/>
        <w:adjustRightInd w:val="0"/>
        <w:spacing w:before="200" w:after="120"/>
        <w:contextualSpacing w:val="0"/>
        <w:jc w:val="both"/>
        <w:outlineLvl w:val="1"/>
        <w:rPr>
          <w:rFonts w:asciiTheme="majorHAnsi" w:eastAsiaTheme="majorEastAsia" w:hAnsiTheme="majorHAnsi" w:cstheme="majorHAnsi"/>
          <w:b/>
          <w:bCs/>
          <w:caps/>
          <w:vanish/>
          <w:color w:val="000000" w:themeColor="text1"/>
          <w:sz w:val="20"/>
          <w:szCs w:val="20"/>
          <w:lang w:eastAsia="en-US"/>
        </w:rPr>
      </w:pPr>
    </w:p>
    <w:p w:rsidR="00CA6E4A" w:rsidRPr="00CA6E4A" w:rsidRDefault="00CA6E4A" w:rsidP="00CA6E4A">
      <w:pPr>
        <w:pStyle w:val="Odsekzoznamu"/>
        <w:keepNext/>
        <w:keepLines/>
        <w:widowControl w:val="0"/>
        <w:numPr>
          <w:ilvl w:val="0"/>
          <w:numId w:val="15"/>
        </w:numPr>
        <w:tabs>
          <w:tab w:val="left" w:pos="567"/>
        </w:tabs>
        <w:overflowPunct w:val="0"/>
        <w:autoSpaceDE w:val="0"/>
        <w:autoSpaceDN w:val="0"/>
        <w:adjustRightInd w:val="0"/>
        <w:spacing w:before="200" w:after="120"/>
        <w:contextualSpacing w:val="0"/>
        <w:jc w:val="both"/>
        <w:outlineLvl w:val="1"/>
        <w:rPr>
          <w:rFonts w:asciiTheme="majorHAnsi" w:eastAsiaTheme="majorEastAsia" w:hAnsiTheme="majorHAnsi" w:cstheme="majorHAnsi"/>
          <w:b/>
          <w:bCs/>
          <w:caps/>
          <w:vanish/>
          <w:color w:val="000000" w:themeColor="text1"/>
          <w:sz w:val="20"/>
          <w:szCs w:val="20"/>
          <w:lang w:eastAsia="en-US"/>
        </w:rPr>
      </w:pPr>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Individuálne skúšky a odborné prehliadky a odborné skúšky elektro zariadení</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Elektrické zariadenie bude počas výstavby, pred tým, než ho užívateľ uvedie do prevádzky, prehliadnuté, individuálne vyskúšané a bude prevedená odborná prehliadka a odborná skúška (východzia revízia).</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Individuálne skúšky budú prevedené ako súčasť montáže, pričom budú preskúšané mechanické funkcie jednotlivých zariadení. Počas individuálnych skúšok budú prevádzané i odborné prehliadky a odborné skúšky (východzie revízie) elektro zariadení.</w:t>
      </w:r>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Komplexné vyskúšanie elektrických zariadení</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Komplexné vyskúšanie predstavuje overenie, že zmontované zariadenia nevykazujú nedostatky, že z funkčného hľadiska splňujú požiadavky projektu a že sú schopné bezporuchovej prevádzky.</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Všetky montážne a údržbárske práce musia byť vykonávané odbornou firmou pri dodržiavaní platných STN a elektrotechnických predpisov. Pred uvedením do prevádzky sa musia vykonať komplexné skúšky a vypracovať odborná prehliadka a odborná skúška (východzia revízia). V stanovených lehotách je nutné vykonať periodické revízie elektrického zariadenia.</w:t>
      </w:r>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Postup stavebno-montážnych prác</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 xml:space="preserve">Pri montáži je nutné postupovať podľa platných noriem a predpisov (STN EN 50 110-1, STN EN 50 110-2). Zvlášť je nutné dodržiavať pokyny výrobcov jednotlivých komponentov. Pred akoukoľvek manipuláciou s FV panelmi, je nutné odpojiť celú vetvu (string) na strane DC i AC. Poistkové odpínače v DC rozvádzači </w:t>
      </w:r>
      <w:r w:rsidRPr="00CA6E4A">
        <w:rPr>
          <w:rFonts w:asciiTheme="majorHAnsi" w:hAnsiTheme="majorHAnsi" w:cstheme="majorHAnsi"/>
          <w:b/>
          <w:sz w:val="20"/>
        </w:rPr>
        <w:t xml:space="preserve">nie je možné používať ako vypínače pri prevádzke - nebezpečenstvo oblúka. </w:t>
      </w:r>
      <w:r w:rsidRPr="00CA6E4A">
        <w:rPr>
          <w:rFonts w:asciiTheme="majorHAnsi" w:hAnsiTheme="majorHAnsi" w:cstheme="majorHAnsi"/>
          <w:sz w:val="20"/>
        </w:rPr>
        <w:t>Umiestnenie elektrických zariadení a montážne práce musia byť vykonané tak, aby bola zaručená bezpečnosť nielen pri montáži, ale aj pri obsluhe a údržbe zariadení.</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Pri vykonávaní stavebno-montážnych prác musia byť</w:t>
      </w:r>
      <w:r w:rsidRPr="00CA6E4A">
        <w:rPr>
          <w:rFonts w:asciiTheme="majorHAnsi" w:hAnsiTheme="majorHAnsi" w:cstheme="majorHAnsi"/>
          <w:sz w:val="20"/>
        </w:rPr>
        <w:tab/>
        <w:t>dodržané príslušné ustanovenia nasledovných noriem:</w:t>
      </w:r>
    </w:p>
    <w:p w:rsidR="00CA6E4A" w:rsidRPr="00CA6E4A" w:rsidRDefault="00CA6E4A" w:rsidP="001E7B38">
      <w:pPr>
        <w:pStyle w:val="Odsekzoznamu"/>
        <w:widowControl w:val="0"/>
        <w:numPr>
          <w:ilvl w:val="0"/>
          <w:numId w:val="56"/>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STN 34 3100 – Bezpečnostné predpisy pre obsluhu a prácu na elektrických zariadeniach</w:t>
      </w:r>
    </w:p>
    <w:p w:rsidR="00CA6E4A" w:rsidRPr="00CA6E4A" w:rsidRDefault="00CA6E4A" w:rsidP="001E7B38">
      <w:pPr>
        <w:pStyle w:val="Odsekzoznamu"/>
        <w:widowControl w:val="0"/>
        <w:numPr>
          <w:ilvl w:val="0"/>
          <w:numId w:val="56"/>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STN 34 3101 – Bezpečnostné predpisy pre obsluhu a prácu na elektrických vedeniach</w:t>
      </w:r>
    </w:p>
    <w:p w:rsidR="00CA6E4A" w:rsidRPr="00CA6E4A" w:rsidRDefault="00CA6E4A" w:rsidP="001E7B38">
      <w:pPr>
        <w:pStyle w:val="Odsekzoznamu"/>
        <w:widowControl w:val="0"/>
        <w:numPr>
          <w:ilvl w:val="0"/>
          <w:numId w:val="56"/>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STN 34 3103 – Bezpečnostné predpisy pre obsluhu a prácu na prístrojoch a rozvádzačoch</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Všeobecne</w:t>
      </w:r>
    </w:p>
    <w:p w:rsidR="00CA6E4A" w:rsidRPr="00CA6E4A" w:rsidRDefault="00CA6E4A" w:rsidP="001E7B38">
      <w:pPr>
        <w:pStyle w:val="Odsekzoznamu"/>
        <w:widowControl w:val="0"/>
        <w:numPr>
          <w:ilvl w:val="0"/>
          <w:numId w:val="56"/>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O postupe prác pri montáži musí byť vedený montážny denník.</w:t>
      </w:r>
    </w:p>
    <w:p w:rsidR="00CA6E4A" w:rsidRPr="00CA6E4A" w:rsidRDefault="00CA6E4A" w:rsidP="001E7B38">
      <w:pPr>
        <w:pStyle w:val="Odsekzoznamu"/>
        <w:widowControl w:val="0"/>
        <w:numPr>
          <w:ilvl w:val="0"/>
          <w:numId w:val="57"/>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Montáž káblov musí byť vykonaná bez nežiadúceho pnutia.</w:t>
      </w:r>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Výstražné tabuľky a nápisy</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Elektrické zariadenia, pripadne elektrické predmety, musia byť pred uvedením do prevádzky vybavené bezpečnostnými tabuľkami a nápismi predpísanými pre tieto zariadenia príslušnými zriaďovacími alebo predmetovými normami.</w:t>
      </w:r>
    </w:p>
    <w:p w:rsidR="00CA6E4A" w:rsidRPr="00CA6E4A" w:rsidRDefault="00CA6E4A" w:rsidP="00CA6E4A">
      <w:pPr>
        <w:rPr>
          <w:rFonts w:asciiTheme="majorHAnsi" w:hAnsiTheme="majorHAnsi" w:cstheme="majorHAnsi"/>
          <w:b/>
          <w:sz w:val="20"/>
        </w:rPr>
      </w:pPr>
      <w:r w:rsidRPr="00CA6E4A">
        <w:rPr>
          <w:rFonts w:asciiTheme="majorHAnsi" w:hAnsiTheme="majorHAnsi" w:cstheme="majorHAnsi"/>
          <w:sz w:val="20"/>
        </w:rPr>
        <w:t xml:space="preserve">V rozvádzačoch RDC, RFVE a na viditeľných miestach budú okrem bežných výstražných tabuliek umiestnené aj tabuľky </w:t>
      </w:r>
      <w:r w:rsidRPr="00CA6E4A">
        <w:rPr>
          <w:rFonts w:asciiTheme="majorHAnsi" w:hAnsiTheme="majorHAnsi" w:cstheme="majorHAnsi"/>
          <w:b/>
          <w:sz w:val="20"/>
        </w:rPr>
        <w:t>„Pozor spätný prúd“.</w:t>
      </w:r>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Kvalifikácia montážnych pracovníkov a pracovníkov údržby</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Osoby poverené obsluhou a údržbou elektrického zariadenia musia mať príslušnú kvalifikáciu podľa § 19 Vyhl. MPSVaR č. 508/2009 Z.z.</w:t>
      </w:r>
    </w:p>
    <w:p w:rsidR="00CA6E4A" w:rsidRPr="00CA6E4A" w:rsidRDefault="00CA6E4A" w:rsidP="001E7B38">
      <w:pPr>
        <w:pStyle w:val="Odsekzoznamu"/>
        <w:widowControl w:val="0"/>
        <w:numPr>
          <w:ilvl w:val="0"/>
          <w:numId w:val="57"/>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 20 poučená osoba</w:t>
      </w:r>
      <w:r w:rsidRPr="00CA6E4A">
        <w:rPr>
          <w:rFonts w:asciiTheme="majorHAnsi" w:hAnsiTheme="majorHAnsi" w:cstheme="majorHAnsi"/>
          <w:sz w:val="20"/>
          <w:szCs w:val="20"/>
        </w:rPr>
        <w:tab/>
        <w:t>- obsluha elektrického zariadenia MN, NN v krytí IP 20 a vyšším</w:t>
      </w:r>
    </w:p>
    <w:p w:rsidR="00CA6E4A" w:rsidRPr="00CA6E4A" w:rsidRDefault="00CA6E4A" w:rsidP="001E7B38">
      <w:pPr>
        <w:pStyle w:val="Odsekzoznamu"/>
        <w:widowControl w:val="0"/>
        <w:numPr>
          <w:ilvl w:val="0"/>
          <w:numId w:val="57"/>
        </w:numPr>
        <w:tabs>
          <w:tab w:val="left" w:pos="567"/>
        </w:tabs>
        <w:overflowPunct w:val="0"/>
        <w:autoSpaceDE w:val="0"/>
        <w:autoSpaceDN w:val="0"/>
        <w:adjustRightInd w:val="0"/>
        <w:jc w:val="both"/>
        <w:rPr>
          <w:rFonts w:asciiTheme="majorHAnsi" w:hAnsiTheme="majorHAnsi" w:cstheme="majorHAnsi"/>
          <w:sz w:val="20"/>
          <w:szCs w:val="20"/>
        </w:rPr>
      </w:pPr>
      <w:r w:rsidRPr="00CA6E4A">
        <w:rPr>
          <w:rFonts w:asciiTheme="majorHAnsi" w:hAnsiTheme="majorHAnsi" w:cstheme="majorHAnsi"/>
          <w:sz w:val="20"/>
          <w:szCs w:val="20"/>
        </w:rPr>
        <w:t>§ 21 elektrotechník</w:t>
      </w:r>
      <w:r w:rsidRPr="00CA6E4A">
        <w:rPr>
          <w:rFonts w:asciiTheme="majorHAnsi" w:hAnsiTheme="majorHAnsi" w:cstheme="majorHAnsi"/>
          <w:sz w:val="20"/>
          <w:szCs w:val="20"/>
        </w:rPr>
        <w:tab/>
      </w:r>
      <w:r w:rsidRPr="00CA6E4A">
        <w:rPr>
          <w:rFonts w:asciiTheme="majorHAnsi" w:hAnsiTheme="majorHAnsi" w:cstheme="majorHAnsi"/>
          <w:sz w:val="20"/>
          <w:szCs w:val="20"/>
        </w:rPr>
        <w:tab/>
        <w:t>- obsluha elektrického zariadenia MN, NN v krytí IP 1x a menším</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r>
      <w:r w:rsidRPr="00CA6E4A">
        <w:rPr>
          <w:rFonts w:asciiTheme="majorHAnsi" w:hAnsiTheme="majorHAnsi" w:cstheme="majorHAnsi"/>
          <w:sz w:val="20"/>
        </w:rPr>
        <w:tab/>
      </w:r>
      <w:r w:rsidRPr="00CA6E4A">
        <w:rPr>
          <w:rFonts w:asciiTheme="majorHAnsi" w:hAnsiTheme="majorHAnsi" w:cstheme="majorHAnsi"/>
          <w:sz w:val="20"/>
        </w:rPr>
        <w:tab/>
      </w:r>
      <w:r w:rsidRPr="00CA6E4A">
        <w:rPr>
          <w:rFonts w:asciiTheme="majorHAnsi" w:hAnsiTheme="majorHAnsi" w:cstheme="majorHAnsi"/>
          <w:sz w:val="20"/>
        </w:rPr>
        <w:tab/>
      </w:r>
      <w:r w:rsidRPr="00CA6E4A">
        <w:rPr>
          <w:rFonts w:asciiTheme="majorHAnsi" w:hAnsiTheme="majorHAnsi" w:cstheme="majorHAnsi"/>
          <w:sz w:val="20"/>
        </w:rPr>
        <w:tab/>
        <w:t>- obsluha elektrického zariadenia VN</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r>
      <w:r w:rsidRPr="00CA6E4A">
        <w:rPr>
          <w:rFonts w:asciiTheme="majorHAnsi" w:hAnsiTheme="majorHAnsi" w:cstheme="majorHAnsi"/>
          <w:sz w:val="20"/>
        </w:rPr>
        <w:tab/>
      </w:r>
      <w:r w:rsidRPr="00CA6E4A">
        <w:rPr>
          <w:rFonts w:asciiTheme="majorHAnsi" w:hAnsiTheme="majorHAnsi" w:cstheme="majorHAnsi"/>
          <w:sz w:val="20"/>
        </w:rPr>
        <w:tab/>
      </w:r>
      <w:r w:rsidRPr="00CA6E4A">
        <w:rPr>
          <w:rFonts w:asciiTheme="majorHAnsi" w:hAnsiTheme="majorHAnsi" w:cstheme="majorHAnsi"/>
          <w:sz w:val="20"/>
        </w:rPr>
        <w:tab/>
      </w:r>
      <w:r w:rsidRPr="00CA6E4A">
        <w:rPr>
          <w:rFonts w:asciiTheme="majorHAnsi" w:hAnsiTheme="majorHAnsi" w:cstheme="majorHAnsi"/>
          <w:sz w:val="20"/>
        </w:rPr>
        <w:tab/>
        <w:t>- práce na elektrických zariadeniach</w:t>
      </w:r>
    </w:p>
    <w:p w:rsidR="00CA6E4A" w:rsidRPr="00CA6E4A" w:rsidRDefault="00CA6E4A" w:rsidP="00CA6E4A">
      <w:pPr>
        <w:rPr>
          <w:rFonts w:asciiTheme="majorHAnsi" w:hAnsiTheme="majorHAnsi" w:cstheme="majorHAnsi"/>
          <w:sz w:val="20"/>
        </w:rPr>
      </w:pP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Tieto osoby musia preukázať znalosť miestnych prevádzkových a bezpečnostných predpisov, protipožiarnych opatrení, prvej pomoci pri úrazoch elektrickým prúdom a znalosť postupu a spôsobu hlásenia porúch na zverenom zariadení. Všetky práce budú vykonávané kvalifikovanými pracovníkmi dodávateľa pod odborným dohľadom špecialistu na montážne práce. Objednávateľ bude pravidelne vykonávať kontrolu prác vrátane preskúšania, aby sa presvedčil, že práce prebiehajú v súlade s technickou dokumentáciou a predpismi. Svoje prípadné pripomienky bude objednávateľ zapisovať do „Montážneho denníka dodávateľa“.</w:t>
      </w:r>
    </w:p>
    <w:p w:rsidR="00CA6E4A" w:rsidRPr="00CA6E4A" w:rsidRDefault="00CA6E4A" w:rsidP="00CA6E4A">
      <w:pPr>
        <w:rPr>
          <w:rFonts w:asciiTheme="majorHAnsi" w:hAnsiTheme="majorHAnsi" w:cstheme="majorHAnsi"/>
          <w:sz w:val="20"/>
        </w:rPr>
      </w:pP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Kontrola akosti a kompletnosti dodávaného diela bude preukázaná nasledovnými dokladmi a protokolmi:</w:t>
      </w:r>
    </w:p>
    <w:p w:rsidR="00CA6E4A" w:rsidRPr="00CA6E4A" w:rsidRDefault="00CA6E4A" w:rsidP="001E7B38">
      <w:pPr>
        <w:pStyle w:val="Odsekzoznamu"/>
        <w:widowControl w:val="0"/>
        <w:numPr>
          <w:ilvl w:val="0"/>
          <w:numId w:val="58"/>
        </w:numPr>
        <w:tabs>
          <w:tab w:val="left" w:pos="567"/>
        </w:tabs>
        <w:overflowPunct w:val="0"/>
        <w:autoSpaceDE w:val="0"/>
        <w:autoSpaceDN w:val="0"/>
        <w:adjustRightInd w:val="0"/>
        <w:ind w:hanging="2769"/>
        <w:jc w:val="both"/>
        <w:rPr>
          <w:rFonts w:asciiTheme="majorHAnsi" w:hAnsiTheme="majorHAnsi" w:cstheme="majorHAnsi"/>
          <w:sz w:val="20"/>
          <w:szCs w:val="20"/>
        </w:rPr>
      </w:pPr>
      <w:r w:rsidRPr="00CA6E4A">
        <w:rPr>
          <w:rFonts w:asciiTheme="majorHAnsi" w:hAnsiTheme="majorHAnsi" w:cstheme="majorHAnsi"/>
          <w:sz w:val="20"/>
          <w:szCs w:val="20"/>
        </w:rPr>
        <w:t>zápisy o vizuálnej kontrole, vyskúšanie funkčnosti zariadení,</w:t>
      </w:r>
    </w:p>
    <w:p w:rsidR="00CA6E4A" w:rsidRPr="00CA6E4A" w:rsidRDefault="00CA6E4A" w:rsidP="001E7B38">
      <w:pPr>
        <w:pStyle w:val="Odsekzoznamu"/>
        <w:widowControl w:val="0"/>
        <w:numPr>
          <w:ilvl w:val="0"/>
          <w:numId w:val="58"/>
        </w:numPr>
        <w:tabs>
          <w:tab w:val="left" w:pos="567"/>
        </w:tabs>
        <w:overflowPunct w:val="0"/>
        <w:autoSpaceDE w:val="0"/>
        <w:autoSpaceDN w:val="0"/>
        <w:adjustRightInd w:val="0"/>
        <w:ind w:hanging="2769"/>
        <w:jc w:val="both"/>
        <w:rPr>
          <w:rFonts w:asciiTheme="majorHAnsi" w:hAnsiTheme="majorHAnsi" w:cstheme="majorHAnsi"/>
          <w:sz w:val="20"/>
          <w:szCs w:val="20"/>
        </w:rPr>
      </w:pPr>
      <w:r w:rsidRPr="00CA6E4A">
        <w:rPr>
          <w:rFonts w:asciiTheme="majorHAnsi" w:hAnsiTheme="majorHAnsi" w:cstheme="majorHAnsi"/>
          <w:sz w:val="20"/>
          <w:szCs w:val="20"/>
        </w:rPr>
        <w:t>revízne správy,</w:t>
      </w:r>
    </w:p>
    <w:p w:rsidR="00CA6E4A" w:rsidRPr="00CA6E4A" w:rsidRDefault="00CA6E4A" w:rsidP="001E7B38">
      <w:pPr>
        <w:pStyle w:val="Odsekzoznamu"/>
        <w:widowControl w:val="0"/>
        <w:numPr>
          <w:ilvl w:val="0"/>
          <w:numId w:val="58"/>
        </w:numPr>
        <w:tabs>
          <w:tab w:val="left" w:pos="567"/>
        </w:tabs>
        <w:overflowPunct w:val="0"/>
        <w:autoSpaceDE w:val="0"/>
        <w:autoSpaceDN w:val="0"/>
        <w:adjustRightInd w:val="0"/>
        <w:ind w:hanging="2769"/>
        <w:jc w:val="both"/>
        <w:rPr>
          <w:rFonts w:asciiTheme="majorHAnsi" w:hAnsiTheme="majorHAnsi" w:cstheme="majorHAnsi"/>
          <w:sz w:val="20"/>
          <w:szCs w:val="20"/>
        </w:rPr>
      </w:pPr>
      <w:r w:rsidRPr="00CA6E4A">
        <w:rPr>
          <w:rFonts w:asciiTheme="majorHAnsi" w:hAnsiTheme="majorHAnsi" w:cstheme="majorHAnsi"/>
          <w:sz w:val="20"/>
          <w:szCs w:val="20"/>
        </w:rPr>
        <w:t>návod pre obsluhu a údržbu.</w:t>
      </w:r>
    </w:p>
    <w:p w:rsidR="00CA6E4A" w:rsidRPr="00CA6E4A" w:rsidRDefault="00CA6E4A" w:rsidP="00CA6E4A">
      <w:pPr>
        <w:pStyle w:val="Nadpis3"/>
        <w:keepLines/>
        <w:widowControl w:val="0"/>
        <w:numPr>
          <w:ilvl w:val="2"/>
          <w:numId w:val="15"/>
        </w:numPr>
        <w:tabs>
          <w:tab w:val="left" w:pos="567"/>
          <w:tab w:val="left" w:pos="851"/>
        </w:tabs>
        <w:spacing w:before="200" w:after="120"/>
        <w:jc w:val="both"/>
        <w:textAlignment w:val="auto"/>
        <w:rPr>
          <w:rFonts w:asciiTheme="majorHAnsi" w:hAnsiTheme="majorHAnsi" w:cstheme="majorHAnsi"/>
        </w:rPr>
      </w:pPr>
      <w:r w:rsidRPr="00CA6E4A">
        <w:rPr>
          <w:rFonts w:asciiTheme="majorHAnsi" w:hAnsiTheme="majorHAnsi" w:cstheme="majorHAnsi"/>
        </w:rPr>
        <w:t>Osoby bez elektrotechnickej kvalifikácie (laici)</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Osoby používajúce elektrické zariadenia musia byť oboznámené s jeho obsluhou napríklad formou návodu, alebo iným deklarovateľným spôsobom uvedeným v STN 33 1310: Bezpečnostné predpisy pre elektrické zariadenia určené na používanie osobami bez elektrotechnickej kvalifikácie.</w:t>
      </w:r>
    </w:p>
    <w:p w:rsidR="00CA6E4A" w:rsidRPr="00CA6E4A" w:rsidRDefault="00CA6E4A" w:rsidP="00165ED7">
      <w:pPr>
        <w:pStyle w:val="Nadpis1"/>
        <w:numPr>
          <w:ilvl w:val="0"/>
          <w:numId w:val="14"/>
        </w:numPr>
      </w:pPr>
      <w:r w:rsidRPr="00CA6E4A">
        <w:t>Údržba FV sústavy</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Výmena poškodených prvkov a ich opravy sú individuálne. Pri prevádzke a údržbe je nutné dodržiavať pokyny výrobcu.</w:t>
      </w:r>
    </w:p>
    <w:p w:rsidR="00CA6E4A" w:rsidRPr="00CA6E4A" w:rsidRDefault="00CA6E4A" w:rsidP="00CA6E4A">
      <w:pPr>
        <w:pStyle w:val="Odsekzoznamu"/>
        <w:keepNext/>
        <w:keepLines/>
        <w:widowControl w:val="0"/>
        <w:numPr>
          <w:ilvl w:val="0"/>
          <w:numId w:val="15"/>
        </w:numPr>
        <w:tabs>
          <w:tab w:val="left" w:pos="567"/>
        </w:tabs>
        <w:overflowPunct w:val="0"/>
        <w:autoSpaceDE w:val="0"/>
        <w:autoSpaceDN w:val="0"/>
        <w:adjustRightInd w:val="0"/>
        <w:spacing w:before="200" w:after="120"/>
        <w:contextualSpacing w:val="0"/>
        <w:jc w:val="both"/>
        <w:outlineLvl w:val="1"/>
        <w:rPr>
          <w:rFonts w:asciiTheme="majorHAnsi" w:eastAsiaTheme="majorEastAsia" w:hAnsiTheme="majorHAnsi" w:cstheme="majorHAnsi"/>
          <w:b/>
          <w:bCs/>
          <w:caps/>
          <w:vanish/>
          <w:color w:val="000000" w:themeColor="text1"/>
          <w:sz w:val="20"/>
          <w:szCs w:val="20"/>
          <w:lang w:eastAsia="en-US"/>
        </w:rPr>
      </w:pPr>
      <w:bookmarkStart w:id="113" w:name="_Toc91855850"/>
    </w:p>
    <w:bookmarkEnd w:id="113"/>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Kontrola stavu bezpečnosti elektrického zariadenia</w:t>
      </w:r>
    </w:p>
    <w:p w:rsidR="00CA6E4A" w:rsidRPr="00CA6E4A" w:rsidRDefault="00CA6E4A" w:rsidP="00CA6E4A">
      <w:pPr>
        <w:pStyle w:val="Nadpis3"/>
        <w:keepLines/>
        <w:widowControl w:val="0"/>
        <w:numPr>
          <w:ilvl w:val="2"/>
          <w:numId w:val="15"/>
        </w:numPr>
        <w:tabs>
          <w:tab w:val="left" w:pos="567"/>
          <w:tab w:val="left" w:pos="851"/>
        </w:tabs>
        <w:spacing w:before="200" w:after="120"/>
        <w:jc w:val="both"/>
        <w:textAlignment w:val="auto"/>
        <w:rPr>
          <w:rFonts w:asciiTheme="majorHAnsi" w:hAnsiTheme="majorHAnsi" w:cstheme="majorHAnsi"/>
        </w:rPr>
      </w:pPr>
      <w:r w:rsidRPr="00CA6E4A">
        <w:rPr>
          <w:rFonts w:asciiTheme="majorHAnsi" w:hAnsiTheme="majorHAnsi" w:cstheme="majorHAnsi"/>
        </w:rPr>
        <w:t>Odborná prehliadka a odborná skúška</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Odborná prehliadka a odborná skúška (východzia revízia) bude zahájená po ukončení montážnych prác. Táto práca bude vykonaná osobou s príslušným oprávnením - revíznym technikom. Predmetom odbornej prehliadky a odbornej skúšky bude zistenie, či všetky namontované a zapojené zariadenia sú v súlade s príslušnými predpismi a s príslušnou technickou dokumentáciou. Ďalej bude preverovaná okrem iného kvalita spojenia, úplnosť a správnosť označovania elektrického zariadenia. O výsledku odbornej prehliadky a odbornej skúšky sa vyhotoví správa, ktorá musí obsahovať príslušné náležitosti v zmysle Vyhl. č. 508/2009 Z.z. Odbornú prehliadku a odbornú skúšku vykoná dodávateľ montážnych prác podľa príslušnej STN a EN. Ďalšia odborná prehliadka a odborná skúška /periodická/ sa vykonáva v rozsahu a v lehotách podľa príloh č. 5 až 10 Vyhl. č. 508/2009 Z.z. a podľa bezpečnostnotechnických požiadaviek a po každej oprave vyvolanej poruchou, alebo poškodením elektrického zariadenia.</w:t>
      </w:r>
    </w:p>
    <w:p w:rsidR="00CA6E4A" w:rsidRPr="00CA6E4A" w:rsidRDefault="00CA6E4A" w:rsidP="00CA6E4A">
      <w:pPr>
        <w:pStyle w:val="Nadpis3"/>
        <w:keepLines/>
        <w:widowControl w:val="0"/>
        <w:numPr>
          <w:ilvl w:val="2"/>
          <w:numId w:val="15"/>
        </w:numPr>
        <w:tabs>
          <w:tab w:val="left" w:pos="567"/>
          <w:tab w:val="left" w:pos="851"/>
        </w:tabs>
        <w:spacing w:before="200" w:after="120"/>
        <w:jc w:val="both"/>
        <w:textAlignment w:val="auto"/>
        <w:rPr>
          <w:rFonts w:asciiTheme="majorHAnsi" w:hAnsiTheme="majorHAnsi" w:cstheme="majorHAnsi"/>
        </w:rPr>
      </w:pPr>
      <w:r w:rsidRPr="00CA6E4A">
        <w:rPr>
          <w:rFonts w:asciiTheme="majorHAnsi" w:hAnsiTheme="majorHAnsi" w:cstheme="majorHAnsi"/>
        </w:rPr>
        <w:t>Individuálne skúšky</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Po vydaní „Správy o výsledku odbornej prehliadky a odbornej skúšky" a po pripojení napájacieho napätia môžu ihneď začať individuálne skúšky. Po úspešnom vyskúšaní bude objednávateľom a dodávateľom podpísaný ..Protokol o individuálnych skúškach“. Protokol pred skúškami pripraví dodávateľ a nechá ho pripomienkovať a schváliť objednávateľom.</w:t>
      </w:r>
    </w:p>
    <w:p w:rsidR="00CA6E4A" w:rsidRPr="00CA6E4A" w:rsidRDefault="00CA6E4A" w:rsidP="00CA6E4A">
      <w:pPr>
        <w:pStyle w:val="Nadpis3"/>
        <w:keepLines/>
        <w:widowControl w:val="0"/>
        <w:numPr>
          <w:ilvl w:val="2"/>
          <w:numId w:val="15"/>
        </w:numPr>
        <w:tabs>
          <w:tab w:val="left" w:pos="567"/>
          <w:tab w:val="left" w:pos="851"/>
        </w:tabs>
        <w:spacing w:before="200" w:after="120"/>
        <w:jc w:val="both"/>
        <w:textAlignment w:val="auto"/>
        <w:rPr>
          <w:rFonts w:asciiTheme="majorHAnsi" w:hAnsiTheme="majorHAnsi" w:cstheme="majorHAnsi"/>
        </w:rPr>
      </w:pPr>
      <w:r w:rsidRPr="00CA6E4A">
        <w:rPr>
          <w:rFonts w:asciiTheme="majorHAnsi" w:hAnsiTheme="majorHAnsi" w:cstheme="majorHAnsi"/>
        </w:rPr>
        <w:t>Komplexné skúšky</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Dodávateľ je povinný vyskúšať a preveriť všetky zariadenia. Komplexné skúšky musia potvrdiť, že celý systém, ako meracie prístroje, snímače a operátorské pracovisko fungujú tak, ako boli navrhnuté a zamýšľané. Po úspešnom vyskúšaní bude objednávateľom a dodávateľom podpísaný „Protokol o komplexných skúškach“. Protokol pred skúškami pripraví dodávateľ a nechá ho pripomienkovať a schváliť objednávateľom.</w:t>
      </w:r>
    </w:p>
    <w:p w:rsidR="00CA6E4A" w:rsidRPr="00CA6E4A" w:rsidRDefault="00CA6E4A" w:rsidP="00CA6E4A">
      <w:pPr>
        <w:pStyle w:val="Nadpis2"/>
        <w:keepLines/>
        <w:widowControl w:val="0"/>
        <w:numPr>
          <w:ilvl w:val="1"/>
          <w:numId w:val="15"/>
        </w:numPr>
        <w:tabs>
          <w:tab w:val="left" w:pos="567"/>
        </w:tabs>
        <w:spacing w:before="200" w:after="120"/>
        <w:jc w:val="both"/>
        <w:textAlignment w:val="auto"/>
        <w:rPr>
          <w:rFonts w:asciiTheme="majorHAnsi" w:hAnsiTheme="majorHAnsi" w:cstheme="majorHAnsi"/>
          <w:szCs w:val="20"/>
        </w:rPr>
      </w:pPr>
      <w:r w:rsidRPr="00CA6E4A">
        <w:rPr>
          <w:rFonts w:asciiTheme="majorHAnsi" w:hAnsiTheme="majorHAnsi" w:cstheme="majorHAnsi"/>
          <w:szCs w:val="20"/>
        </w:rPr>
        <w:t>Certifikácia</w:t>
      </w:r>
    </w:p>
    <w:p w:rsidR="00CA6E4A" w:rsidRPr="00CA6E4A" w:rsidRDefault="00CA6E4A" w:rsidP="00CA6E4A">
      <w:pPr>
        <w:rPr>
          <w:rFonts w:asciiTheme="majorHAnsi" w:hAnsiTheme="majorHAnsi" w:cstheme="majorHAnsi"/>
          <w:sz w:val="20"/>
        </w:rPr>
      </w:pPr>
      <w:r w:rsidRPr="00CA6E4A">
        <w:rPr>
          <w:rFonts w:asciiTheme="majorHAnsi" w:hAnsiTheme="majorHAnsi" w:cstheme="majorHAnsi"/>
          <w:sz w:val="20"/>
        </w:rPr>
        <w:tab/>
        <w:t>Všetky výrobky, ktoré podliehajú povinnému schvaľovaniu a certifikácii v zmysle príslušných zákonov musia byť vybavené príslušnými schvaľovacími a certifikačnými protokolmi spracovanými autorizovanou skúšobňou. Bez týchto dokumentov nie je možné previesť inštaláciu týchto výrobkov.</w:t>
      </w:r>
    </w:p>
    <w:p w:rsidR="00CA6E4A" w:rsidRPr="00CA6E4A" w:rsidRDefault="00CA6E4A" w:rsidP="00165ED7">
      <w:pPr>
        <w:pStyle w:val="Nadpis1"/>
        <w:numPr>
          <w:ilvl w:val="0"/>
          <w:numId w:val="14"/>
        </w:numPr>
      </w:pPr>
      <w:r w:rsidRPr="00CA6E4A">
        <w:t>REVÍZIA</w:t>
      </w:r>
    </w:p>
    <w:p w:rsidR="00CA6E4A" w:rsidRPr="00CA6E4A" w:rsidRDefault="00CA6E4A" w:rsidP="00CA6E4A">
      <w:pPr>
        <w:spacing w:before="120" w:after="240"/>
        <w:ind w:firstLine="567"/>
        <w:rPr>
          <w:rFonts w:asciiTheme="majorHAnsi" w:hAnsiTheme="majorHAnsi" w:cstheme="majorHAnsi"/>
          <w:sz w:val="20"/>
        </w:rPr>
      </w:pPr>
      <w:r w:rsidRPr="00CA6E4A">
        <w:rPr>
          <w:rFonts w:asciiTheme="majorHAnsi" w:hAnsiTheme="majorHAnsi" w:cstheme="majorHAnsi"/>
          <w:sz w:val="20"/>
        </w:rPr>
        <w:t>Po ukončení montážnych prác musí byť vykonaná v súlade s STN 33 1500 a STN 33 2000-6 prvá odborná skúška el. inštalácie. Prevádzkovateľ je potom povinný uskutočňovať pravidelné odborné prehliadky v zmysle STN 33 1500 a vyhlášky MPSVaR 508/2009 Z.z.. Na bezpečné prevádzkovanie, vykonávanie kontrol, údržby a obsluhy elektrického zariadenia si prevádzkovateľ vypracuje prevádzkový predpis. Súčasťou prevádzkovej dokumentácie sú záznamy o vykonaných prehliadkach a skúškach elektrického zariadenia.</w:t>
      </w:r>
    </w:p>
    <w:p w:rsidR="00CA6E4A" w:rsidRPr="00CA6E4A" w:rsidRDefault="00CA6E4A" w:rsidP="00CA6E4A">
      <w:pPr>
        <w:spacing w:before="120" w:after="240"/>
        <w:ind w:firstLine="567"/>
        <w:rPr>
          <w:rFonts w:asciiTheme="majorHAnsi" w:hAnsiTheme="majorHAnsi" w:cstheme="majorHAnsi"/>
          <w:sz w:val="20"/>
        </w:rPr>
      </w:pPr>
    </w:p>
    <w:p w:rsidR="00CA6E4A" w:rsidRPr="00CA6E4A" w:rsidRDefault="00CA6E4A" w:rsidP="00165ED7">
      <w:pPr>
        <w:pStyle w:val="Nadpis1"/>
        <w:numPr>
          <w:ilvl w:val="0"/>
          <w:numId w:val="14"/>
        </w:numPr>
      </w:pPr>
      <w:bookmarkStart w:id="114" w:name="_Toc258310173"/>
      <w:r w:rsidRPr="00CA6E4A">
        <w:lastRenderedPageBreak/>
        <w:t>ZÁVER A ZHODNOTENIE</w:t>
      </w:r>
      <w:bookmarkEnd w:id="114"/>
      <w:r w:rsidRPr="00CA6E4A">
        <w:t xml:space="preserve"> </w:t>
      </w:r>
    </w:p>
    <w:p w:rsidR="00CA6E4A" w:rsidRPr="00CA6E4A" w:rsidRDefault="00CA6E4A" w:rsidP="00CA6E4A">
      <w:pPr>
        <w:spacing w:before="120" w:after="240"/>
        <w:ind w:firstLine="567"/>
        <w:rPr>
          <w:rFonts w:asciiTheme="majorHAnsi" w:hAnsiTheme="majorHAnsi" w:cstheme="majorHAnsi"/>
          <w:sz w:val="20"/>
        </w:rPr>
      </w:pPr>
      <w:r w:rsidRPr="00CA6E4A">
        <w:rPr>
          <w:rFonts w:asciiTheme="majorHAnsi" w:hAnsiTheme="majorHAnsi" w:cstheme="majorHAnsi"/>
          <w:sz w:val="20"/>
        </w:rPr>
        <w:t>Pretože objekt preberá užívateľ ako celok je potrebné oboznámenie sa s prevádzkovými vlastnosťami elektrického zariadenia. Projektová dokumentácia elektroinštalácie slúži ako doklad pre vydanie stavebného povolenia.</w:t>
      </w:r>
    </w:p>
    <w:p w:rsidR="00CA6E4A" w:rsidRPr="00CA6E4A" w:rsidRDefault="00CA6E4A" w:rsidP="00CA6E4A">
      <w:pPr>
        <w:tabs>
          <w:tab w:val="left" w:pos="8505"/>
        </w:tabs>
        <w:spacing w:before="120" w:after="240"/>
        <w:rPr>
          <w:rFonts w:asciiTheme="majorHAnsi" w:hAnsiTheme="majorHAnsi" w:cstheme="majorHAnsi"/>
          <w:sz w:val="20"/>
        </w:rPr>
      </w:pPr>
      <w:r w:rsidRPr="00CA6E4A">
        <w:rPr>
          <w:rFonts w:asciiTheme="majorHAnsi" w:hAnsiTheme="majorHAnsi" w:cstheme="majorHAnsi"/>
          <w:sz w:val="20"/>
        </w:rPr>
        <w:t>02/2020                                                                                                                    Vypracoval: Ing. Ján Kišeľa</w:t>
      </w:r>
      <w:bookmarkEnd w:id="102"/>
    </w:p>
    <w:p w:rsidR="00CA6E4A" w:rsidRPr="000D00F5" w:rsidRDefault="00CA6E4A" w:rsidP="0009245A">
      <w:pPr>
        <w:autoSpaceDE w:val="0"/>
        <w:autoSpaceDN w:val="0"/>
        <w:adjustRightInd w:val="0"/>
        <w:rPr>
          <w:rFonts w:ascii="Calibri" w:hAnsi="Calibri" w:cs="Calibri"/>
          <w:b/>
          <w:iCs/>
          <w:sz w:val="24"/>
          <w:highlight w:val="lightGray"/>
        </w:rPr>
      </w:pPr>
    </w:p>
    <w:p w:rsidR="00763F78" w:rsidRPr="00EE6A26" w:rsidRDefault="00763F78" w:rsidP="0009245A">
      <w:pPr>
        <w:autoSpaceDE w:val="0"/>
        <w:autoSpaceDN w:val="0"/>
        <w:adjustRightInd w:val="0"/>
        <w:rPr>
          <w:rFonts w:ascii="Calibri" w:hAnsi="Calibri" w:cs="Calibri"/>
          <w:b/>
          <w:iCs/>
          <w:sz w:val="24"/>
        </w:rPr>
      </w:pPr>
      <w:r w:rsidRPr="00EE6A26">
        <w:rPr>
          <w:rFonts w:ascii="Calibri" w:hAnsi="Calibri" w:cs="Calibri"/>
          <w:b/>
          <w:iCs/>
          <w:sz w:val="24"/>
        </w:rPr>
        <w:t>CHLADENIE A VETRANIE</w:t>
      </w:r>
    </w:p>
    <w:p w:rsidR="00763F78" w:rsidRPr="00EE6A26" w:rsidRDefault="00763F78" w:rsidP="0009245A">
      <w:pPr>
        <w:autoSpaceDE w:val="0"/>
        <w:autoSpaceDN w:val="0"/>
        <w:adjustRightInd w:val="0"/>
        <w:rPr>
          <w:rFonts w:asciiTheme="majorHAnsi" w:hAnsiTheme="majorHAnsi" w:cstheme="majorHAnsi"/>
          <w:b/>
          <w:iCs/>
          <w:sz w:val="20"/>
        </w:rPr>
      </w:pPr>
    </w:p>
    <w:p w:rsidR="00EE6A26" w:rsidRPr="00EE6A26" w:rsidRDefault="00EE6A26" w:rsidP="00EE6A26">
      <w:pPr>
        <w:pStyle w:val="Zkladntext"/>
        <w:rPr>
          <w:rFonts w:asciiTheme="majorHAnsi" w:hAnsiTheme="majorHAnsi" w:cstheme="majorHAnsi"/>
        </w:rPr>
      </w:pPr>
      <w:r w:rsidRPr="00EE6A26">
        <w:rPr>
          <w:rFonts w:asciiTheme="majorHAnsi" w:hAnsiTheme="majorHAnsi" w:cstheme="majorHAnsi"/>
          <w:b/>
          <w:u w:val="single"/>
        </w:rPr>
        <w:t>1. Úvod</w:t>
      </w:r>
    </w:p>
    <w:p w:rsidR="00EE6A26" w:rsidRPr="00EE6A26" w:rsidRDefault="00EE6A26" w:rsidP="00EE6A26">
      <w:pPr>
        <w:jc w:val="both"/>
        <w:rPr>
          <w:rFonts w:asciiTheme="majorHAnsi" w:hAnsiTheme="majorHAnsi" w:cstheme="majorHAnsi"/>
          <w:sz w:val="20"/>
          <w:u w:val="single"/>
        </w:rPr>
      </w:pPr>
    </w:p>
    <w:p w:rsidR="00EE6A26" w:rsidRPr="00EE6A26" w:rsidRDefault="00EE6A26" w:rsidP="00EE6A26">
      <w:pPr>
        <w:pStyle w:val="Hlavika"/>
        <w:jc w:val="both"/>
        <w:rPr>
          <w:rFonts w:asciiTheme="majorHAnsi" w:hAnsiTheme="majorHAnsi" w:cstheme="majorHAnsi"/>
        </w:rPr>
      </w:pPr>
      <w:r w:rsidRPr="00EE6A26">
        <w:rPr>
          <w:rFonts w:asciiTheme="majorHAnsi" w:hAnsiTheme="majorHAnsi" w:cstheme="majorHAnsi"/>
        </w:rPr>
        <w:t>Projekt “VINÁRSTVO S STREKOV“ rieši vetranie  a chladenie priestorov v objektoch SO01, SO02, SO03 a SO04 menovanej stavby.</w:t>
      </w:r>
    </w:p>
    <w:p w:rsidR="00EE6A26" w:rsidRPr="00EE6A26" w:rsidRDefault="00EE6A26" w:rsidP="00EE6A26">
      <w:pPr>
        <w:pStyle w:val="Hlavika"/>
        <w:ind w:firstLine="567"/>
        <w:jc w:val="both"/>
        <w:rPr>
          <w:rFonts w:asciiTheme="majorHAnsi" w:hAnsiTheme="majorHAnsi" w:cstheme="majorHAnsi"/>
        </w:rPr>
      </w:pPr>
    </w:p>
    <w:p w:rsidR="00EE6A26" w:rsidRPr="00EE6A26" w:rsidRDefault="00EE6A26" w:rsidP="00EE6A26">
      <w:pPr>
        <w:pStyle w:val="Zkladntext"/>
        <w:rPr>
          <w:rFonts w:asciiTheme="majorHAnsi" w:hAnsiTheme="majorHAnsi" w:cstheme="majorHAnsi"/>
          <w:b/>
          <w:u w:val="single"/>
        </w:rPr>
      </w:pPr>
      <w:r w:rsidRPr="00EE6A26">
        <w:rPr>
          <w:rFonts w:asciiTheme="majorHAnsi" w:hAnsiTheme="majorHAnsi" w:cstheme="majorHAnsi"/>
          <w:b/>
          <w:u w:val="single"/>
        </w:rPr>
        <w:t>1.1 Podklady pre projekt</w:t>
      </w:r>
    </w:p>
    <w:p w:rsidR="00EE6A26" w:rsidRPr="00EE6A26" w:rsidRDefault="00EE6A26" w:rsidP="00EE6A26">
      <w:pPr>
        <w:pStyle w:val="Zkladntext"/>
        <w:rPr>
          <w:rFonts w:asciiTheme="majorHAnsi" w:hAnsiTheme="majorHAnsi" w:cstheme="majorHAnsi"/>
          <w:u w:val="single"/>
        </w:rPr>
      </w:pPr>
    </w:p>
    <w:p w:rsidR="00EE6A26" w:rsidRPr="00EE6A26" w:rsidRDefault="00EE6A26" w:rsidP="00EE6A26">
      <w:pPr>
        <w:spacing w:line="360" w:lineRule="auto"/>
        <w:ind w:firstLine="567"/>
        <w:jc w:val="both"/>
        <w:rPr>
          <w:rFonts w:asciiTheme="majorHAnsi" w:hAnsiTheme="majorHAnsi" w:cstheme="majorHAnsi"/>
          <w:sz w:val="20"/>
        </w:rPr>
      </w:pPr>
      <w:r w:rsidRPr="00EE6A26">
        <w:rPr>
          <w:rFonts w:asciiTheme="majorHAnsi" w:hAnsiTheme="majorHAnsi" w:cstheme="majorHAnsi"/>
          <w:sz w:val="20"/>
        </w:rPr>
        <w:t>Projekt bol vypracovaný na základe nasledujúcich podkladov:</w:t>
      </w:r>
    </w:p>
    <w:p w:rsidR="00EE6A26" w:rsidRPr="00EE6A26" w:rsidRDefault="00EE6A26" w:rsidP="00EE6A26">
      <w:pPr>
        <w:numPr>
          <w:ilvl w:val="0"/>
          <w:numId w:val="24"/>
        </w:numPr>
        <w:spacing w:line="360" w:lineRule="auto"/>
        <w:ind w:firstLine="414"/>
        <w:jc w:val="both"/>
        <w:rPr>
          <w:rFonts w:asciiTheme="majorHAnsi" w:hAnsiTheme="majorHAnsi" w:cstheme="majorHAnsi"/>
          <w:sz w:val="20"/>
        </w:rPr>
      </w:pPr>
      <w:r w:rsidRPr="00EE6A26">
        <w:rPr>
          <w:rFonts w:asciiTheme="majorHAnsi" w:hAnsiTheme="majorHAnsi" w:cstheme="majorHAnsi"/>
          <w:sz w:val="20"/>
        </w:rPr>
        <w:t xml:space="preserve">požiadavky budúceho užívateľa objektu </w:t>
      </w:r>
    </w:p>
    <w:p w:rsidR="00EE6A26" w:rsidRPr="00EE6A26" w:rsidRDefault="00EE6A26" w:rsidP="00EE6A26">
      <w:pPr>
        <w:numPr>
          <w:ilvl w:val="0"/>
          <w:numId w:val="24"/>
        </w:numPr>
        <w:spacing w:line="360" w:lineRule="auto"/>
        <w:ind w:firstLine="414"/>
        <w:jc w:val="both"/>
        <w:rPr>
          <w:rFonts w:asciiTheme="majorHAnsi" w:hAnsiTheme="majorHAnsi" w:cstheme="majorHAnsi"/>
          <w:sz w:val="20"/>
        </w:rPr>
      </w:pPr>
      <w:r w:rsidRPr="00EE6A26">
        <w:rPr>
          <w:rFonts w:asciiTheme="majorHAnsi" w:hAnsiTheme="majorHAnsi" w:cstheme="majorHAnsi"/>
          <w:sz w:val="20"/>
        </w:rPr>
        <w:t>podklady a koordinácia s nadväznými profesiami</w:t>
      </w:r>
    </w:p>
    <w:p w:rsidR="00EE6A26" w:rsidRPr="00EE6A26" w:rsidRDefault="00EE6A26" w:rsidP="00EE6A26">
      <w:pPr>
        <w:numPr>
          <w:ilvl w:val="0"/>
          <w:numId w:val="24"/>
        </w:numPr>
        <w:spacing w:line="360" w:lineRule="auto"/>
        <w:ind w:firstLine="414"/>
        <w:jc w:val="both"/>
        <w:rPr>
          <w:rFonts w:asciiTheme="majorHAnsi" w:hAnsiTheme="majorHAnsi" w:cstheme="majorHAnsi"/>
          <w:sz w:val="20"/>
        </w:rPr>
      </w:pPr>
      <w:r w:rsidRPr="00EE6A26">
        <w:rPr>
          <w:rFonts w:asciiTheme="majorHAnsi" w:hAnsiTheme="majorHAnsi" w:cstheme="majorHAnsi"/>
          <w:sz w:val="20"/>
        </w:rPr>
        <w:t>výkresová dokumentácia projektu architektúry</w:t>
      </w:r>
    </w:p>
    <w:p w:rsidR="00EE6A26" w:rsidRPr="00EE6A26" w:rsidRDefault="00EE6A26" w:rsidP="00EE6A26">
      <w:pPr>
        <w:numPr>
          <w:ilvl w:val="0"/>
          <w:numId w:val="24"/>
        </w:numPr>
        <w:spacing w:line="360" w:lineRule="auto"/>
        <w:ind w:firstLine="414"/>
        <w:jc w:val="both"/>
        <w:rPr>
          <w:rFonts w:asciiTheme="majorHAnsi" w:hAnsiTheme="majorHAnsi" w:cstheme="majorHAnsi"/>
          <w:sz w:val="20"/>
        </w:rPr>
      </w:pPr>
      <w:r w:rsidRPr="00EE6A26">
        <w:rPr>
          <w:rFonts w:asciiTheme="majorHAnsi" w:hAnsiTheme="majorHAnsi" w:cstheme="majorHAnsi"/>
          <w:sz w:val="20"/>
        </w:rPr>
        <w:t>Vyhláška MZ SR č. 237/2009, ktorou sa ustanovujú podrobnosti o prípustných hodnotách hluku, infrazvuku a vibrácií a o požiadavkách na objektivizáciu hluku, infrazvuku a vibrácii v životnom prostredí</w:t>
      </w:r>
    </w:p>
    <w:p w:rsidR="00EE6A26" w:rsidRPr="00EE6A26" w:rsidRDefault="00EE6A26" w:rsidP="00EE6A26">
      <w:pPr>
        <w:numPr>
          <w:ilvl w:val="0"/>
          <w:numId w:val="24"/>
        </w:numPr>
        <w:spacing w:line="360" w:lineRule="auto"/>
        <w:ind w:firstLine="414"/>
        <w:jc w:val="both"/>
        <w:rPr>
          <w:rFonts w:asciiTheme="majorHAnsi" w:hAnsiTheme="majorHAnsi" w:cstheme="majorHAnsi"/>
          <w:sz w:val="20"/>
        </w:rPr>
      </w:pPr>
      <w:r w:rsidRPr="00EE6A26">
        <w:rPr>
          <w:rFonts w:asciiTheme="majorHAnsi" w:hAnsiTheme="majorHAnsi" w:cstheme="majorHAnsi"/>
          <w:bCs/>
          <w:sz w:val="20"/>
        </w:rPr>
        <w:t>Vyhláška MV SR č. 94/2004, ktorou sa stanovujú technické požiadavky na protipožiarnu bezpečnosť pri  výstavbe a pri užívaní stavieb</w:t>
      </w:r>
    </w:p>
    <w:p w:rsidR="00EE6A26" w:rsidRPr="00EE6A26" w:rsidRDefault="00EE6A26" w:rsidP="00EE6A26">
      <w:pPr>
        <w:numPr>
          <w:ilvl w:val="0"/>
          <w:numId w:val="24"/>
        </w:numPr>
        <w:spacing w:line="360" w:lineRule="auto"/>
        <w:ind w:firstLine="414"/>
        <w:jc w:val="both"/>
        <w:rPr>
          <w:rFonts w:asciiTheme="majorHAnsi" w:hAnsiTheme="majorHAnsi" w:cstheme="majorHAnsi"/>
          <w:sz w:val="20"/>
        </w:rPr>
      </w:pPr>
      <w:r w:rsidRPr="00EE6A26">
        <w:rPr>
          <w:rFonts w:asciiTheme="majorHAnsi" w:hAnsiTheme="majorHAnsi" w:cstheme="majorHAnsi"/>
          <w:sz w:val="20"/>
        </w:rPr>
        <w:t xml:space="preserve">Vyhláška MZ SR č. 259/2008 </w:t>
      </w:r>
      <w:r w:rsidRPr="00EE6A26">
        <w:rPr>
          <w:rFonts w:asciiTheme="majorHAnsi" w:hAnsiTheme="majorHAnsi" w:cstheme="majorHAnsi"/>
          <w:bCs/>
          <w:sz w:val="20"/>
        </w:rPr>
        <w:t>o podrobnostiach o požiadavkách na vnútorné prostredie budov</w:t>
      </w:r>
    </w:p>
    <w:p w:rsidR="00EE6A26" w:rsidRPr="00EE6A26" w:rsidRDefault="00EE6A26" w:rsidP="00EE6A26">
      <w:pPr>
        <w:numPr>
          <w:ilvl w:val="0"/>
          <w:numId w:val="24"/>
        </w:numPr>
        <w:spacing w:line="360" w:lineRule="auto"/>
        <w:ind w:firstLine="414"/>
        <w:jc w:val="both"/>
        <w:rPr>
          <w:rFonts w:asciiTheme="majorHAnsi" w:hAnsiTheme="majorHAnsi" w:cstheme="majorHAnsi"/>
          <w:sz w:val="20"/>
        </w:rPr>
      </w:pPr>
      <w:r w:rsidRPr="00EE6A26">
        <w:rPr>
          <w:rFonts w:asciiTheme="majorHAnsi" w:hAnsiTheme="majorHAnsi" w:cstheme="majorHAnsi"/>
          <w:sz w:val="20"/>
        </w:rPr>
        <w:t>Budovy na bývanie – STN 73 4301</w:t>
      </w:r>
    </w:p>
    <w:p w:rsidR="00EE6A26" w:rsidRPr="00EE6A26" w:rsidRDefault="00EE6A26" w:rsidP="00EE6A26">
      <w:pPr>
        <w:numPr>
          <w:ilvl w:val="0"/>
          <w:numId w:val="24"/>
        </w:numPr>
        <w:spacing w:line="360" w:lineRule="auto"/>
        <w:ind w:firstLine="414"/>
        <w:jc w:val="both"/>
        <w:rPr>
          <w:rFonts w:asciiTheme="majorHAnsi" w:hAnsiTheme="majorHAnsi" w:cstheme="majorHAnsi"/>
          <w:sz w:val="20"/>
        </w:rPr>
      </w:pPr>
      <w:r w:rsidRPr="00EE6A26">
        <w:rPr>
          <w:rFonts w:asciiTheme="majorHAnsi" w:hAnsiTheme="majorHAnsi" w:cstheme="majorHAnsi"/>
          <w:sz w:val="20"/>
        </w:rPr>
        <w:t>Výpočet tepelnej záťaže klimatizovaných priestorov - STN 73 0548</w:t>
      </w:r>
    </w:p>
    <w:p w:rsidR="00EE6A26" w:rsidRPr="00EE6A26" w:rsidRDefault="00EE6A26" w:rsidP="00EE6A26">
      <w:pPr>
        <w:numPr>
          <w:ilvl w:val="0"/>
          <w:numId w:val="24"/>
        </w:numPr>
        <w:spacing w:line="360" w:lineRule="auto"/>
        <w:ind w:firstLine="414"/>
        <w:jc w:val="both"/>
        <w:rPr>
          <w:rFonts w:asciiTheme="majorHAnsi" w:hAnsiTheme="majorHAnsi" w:cstheme="majorHAnsi"/>
          <w:sz w:val="20"/>
        </w:rPr>
      </w:pPr>
      <w:r w:rsidRPr="00EE6A26">
        <w:rPr>
          <w:rFonts w:asciiTheme="majorHAnsi" w:hAnsiTheme="majorHAnsi" w:cstheme="majorHAnsi"/>
          <w:sz w:val="20"/>
        </w:rPr>
        <w:t xml:space="preserve">Ochrana stavieb proti šíreniu požiaru vzduchotechnickým zariadením – </w:t>
      </w:r>
    </w:p>
    <w:p w:rsidR="00EE6A26" w:rsidRPr="00EE6A26" w:rsidRDefault="00EE6A26" w:rsidP="00EE6A26">
      <w:pPr>
        <w:spacing w:line="360" w:lineRule="auto"/>
        <w:ind w:left="720"/>
        <w:jc w:val="both"/>
        <w:rPr>
          <w:rFonts w:asciiTheme="majorHAnsi" w:hAnsiTheme="majorHAnsi" w:cstheme="majorHAnsi"/>
          <w:sz w:val="20"/>
        </w:rPr>
      </w:pPr>
      <w:r w:rsidRPr="00EE6A26">
        <w:rPr>
          <w:rFonts w:asciiTheme="majorHAnsi" w:hAnsiTheme="majorHAnsi" w:cstheme="majorHAnsi"/>
          <w:sz w:val="20"/>
        </w:rPr>
        <w:t>STN 730872</w:t>
      </w:r>
    </w:p>
    <w:p w:rsidR="00EE6A26" w:rsidRPr="00EE6A26" w:rsidRDefault="00EE6A26" w:rsidP="00EE6A26">
      <w:pPr>
        <w:pStyle w:val="Odsekzoznamu"/>
        <w:numPr>
          <w:ilvl w:val="0"/>
          <w:numId w:val="24"/>
        </w:numPr>
        <w:autoSpaceDE w:val="0"/>
        <w:autoSpaceDN w:val="0"/>
        <w:adjustRightInd w:val="0"/>
        <w:spacing w:line="360" w:lineRule="auto"/>
        <w:ind w:firstLine="414"/>
        <w:jc w:val="both"/>
        <w:rPr>
          <w:rFonts w:asciiTheme="majorHAnsi" w:hAnsiTheme="majorHAnsi" w:cstheme="majorHAnsi"/>
          <w:sz w:val="20"/>
          <w:szCs w:val="20"/>
        </w:rPr>
      </w:pPr>
      <w:r w:rsidRPr="00EE6A26">
        <w:rPr>
          <w:rFonts w:asciiTheme="majorHAnsi" w:hAnsiTheme="majorHAnsi" w:cstheme="majorHAnsi"/>
          <w:sz w:val="20"/>
          <w:szCs w:val="20"/>
        </w:rPr>
        <w:t>Vstupné údaje o vnútornom prostredí budov – STN EN 15251</w:t>
      </w:r>
    </w:p>
    <w:p w:rsidR="00EE6A26" w:rsidRPr="00EE6A26" w:rsidRDefault="00EE6A26" w:rsidP="00EE6A26">
      <w:pPr>
        <w:numPr>
          <w:ilvl w:val="0"/>
          <w:numId w:val="24"/>
        </w:numPr>
        <w:spacing w:line="360" w:lineRule="auto"/>
        <w:ind w:firstLine="414"/>
        <w:jc w:val="both"/>
        <w:rPr>
          <w:rFonts w:asciiTheme="majorHAnsi" w:hAnsiTheme="majorHAnsi" w:cstheme="majorHAnsi"/>
          <w:sz w:val="20"/>
          <w:lang w:val="cs-CZ"/>
        </w:rPr>
      </w:pPr>
      <w:r w:rsidRPr="00EE6A26">
        <w:rPr>
          <w:rFonts w:asciiTheme="majorHAnsi" w:hAnsiTheme="majorHAnsi" w:cstheme="majorHAnsi"/>
          <w:sz w:val="20"/>
        </w:rPr>
        <w:t xml:space="preserve">Vyhláška MPSVR č. 508/2009, </w:t>
      </w:r>
      <w:r w:rsidRPr="00EE6A26">
        <w:rPr>
          <w:rFonts w:asciiTheme="majorHAnsi" w:hAnsiTheme="majorHAnsi" w:cstheme="majorHAnsi"/>
          <w:sz w:val="20"/>
          <w:lang w:val="cs-CZ"/>
        </w:rPr>
        <w:t>ktorou sa ustanovujú podrobnosti na zaistenie bezpečnosti a ochrany zdravia pri práci s technickými zariadeniami tlakovými, zdvíhacími, elektrickými a plynovými a ktorou sa ustanovujú technické zariadenia, ktoré sa považujú za vyhradené technické zariadenia.</w:t>
      </w:r>
    </w:p>
    <w:p w:rsidR="00EE6A26" w:rsidRPr="00EE6A26" w:rsidRDefault="00EE6A26" w:rsidP="00EE6A26">
      <w:pPr>
        <w:numPr>
          <w:ilvl w:val="0"/>
          <w:numId w:val="24"/>
        </w:numPr>
        <w:spacing w:line="360" w:lineRule="auto"/>
        <w:ind w:firstLine="414"/>
        <w:jc w:val="both"/>
        <w:rPr>
          <w:rFonts w:asciiTheme="majorHAnsi" w:hAnsiTheme="majorHAnsi" w:cstheme="majorHAnsi"/>
          <w:sz w:val="20"/>
          <w:lang w:val="cs-CZ"/>
        </w:rPr>
      </w:pPr>
      <w:r w:rsidRPr="00EE6A26">
        <w:rPr>
          <w:rFonts w:asciiTheme="majorHAnsi" w:hAnsiTheme="majorHAnsi" w:cstheme="majorHAnsi"/>
          <w:sz w:val="20"/>
          <w:lang w:val="cs-CZ"/>
        </w:rPr>
        <w:t>Chladiace zariadenia a tepelné čerpadlá. Požiadavky na bezpečnosť a ochranu životného prostredia -  STN EN 378-1</w:t>
      </w:r>
    </w:p>
    <w:p w:rsidR="00EE6A26" w:rsidRPr="00EE6A26" w:rsidRDefault="00EE6A26" w:rsidP="00EE6A26">
      <w:pPr>
        <w:numPr>
          <w:ilvl w:val="0"/>
          <w:numId w:val="24"/>
        </w:numPr>
        <w:spacing w:line="360" w:lineRule="auto"/>
        <w:ind w:firstLine="414"/>
        <w:jc w:val="both"/>
        <w:rPr>
          <w:rFonts w:asciiTheme="majorHAnsi" w:hAnsiTheme="majorHAnsi" w:cstheme="majorHAnsi"/>
          <w:sz w:val="20"/>
        </w:rPr>
      </w:pPr>
      <w:r w:rsidRPr="00EE6A26">
        <w:rPr>
          <w:rFonts w:asciiTheme="majorHAnsi" w:hAnsiTheme="majorHAnsi" w:cstheme="majorHAnsi"/>
          <w:sz w:val="20"/>
        </w:rPr>
        <w:t>ostatné platné hygienické, bezpečnostné a protipožiarne predpisy týkajúce sa predmetného zariadenia</w:t>
      </w:r>
    </w:p>
    <w:p w:rsidR="00EE6A26" w:rsidRPr="00EE6A26" w:rsidRDefault="00EE6A26" w:rsidP="00EE6A26">
      <w:pPr>
        <w:numPr>
          <w:ilvl w:val="0"/>
          <w:numId w:val="24"/>
        </w:numPr>
        <w:spacing w:line="360" w:lineRule="auto"/>
        <w:ind w:firstLine="414"/>
        <w:jc w:val="both"/>
        <w:rPr>
          <w:rFonts w:asciiTheme="majorHAnsi" w:hAnsiTheme="majorHAnsi" w:cstheme="majorHAnsi"/>
          <w:sz w:val="20"/>
        </w:rPr>
      </w:pPr>
      <w:r w:rsidRPr="00EE6A26">
        <w:rPr>
          <w:rFonts w:asciiTheme="majorHAnsi" w:hAnsiTheme="majorHAnsi" w:cstheme="majorHAnsi"/>
          <w:sz w:val="20"/>
        </w:rPr>
        <w:t>podklady dodávateľov VZT zariadení a elementov uvažovaných v projekte</w:t>
      </w:r>
    </w:p>
    <w:p w:rsidR="00EE6A26" w:rsidRPr="00EE6A26" w:rsidRDefault="00EE6A26" w:rsidP="00EE6A26">
      <w:pPr>
        <w:spacing w:line="360" w:lineRule="auto"/>
        <w:jc w:val="both"/>
        <w:rPr>
          <w:rFonts w:asciiTheme="majorHAnsi" w:hAnsiTheme="majorHAnsi" w:cstheme="majorHAnsi"/>
          <w:sz w:val="20"/>
          <w:highlight w:val="yellow"/>
        </w:rPr>
      </w:pPr>
    </w:p>
    <w:p w:rsidR="00EE6A26" w:rsidRPr="00EE6A26" w:rsidRDefault="00EE6A26" w:rsidP="00EE6A26">
      <w:pPr>
        <w:rPr>
          <w:rFonts w:asciiTheme="majorHAnsi" w:hAnsiTheme="majorHAnsi" w:cstheme="majorHAnsi"/>
          <w:b/>
          <w:sz w:val="20"/>
          <w:u w:val="single"/>
        </w:rPr>
      </w:pPr>
      <w:r w:rsidRPr="00EE6A26">
        <w:rPr>
          <w:rFonts w:asciiTheme="majorHAnsi" w:hAnsiTheme="majorHAnsi" w:cstheme="majorHAnsi"/>
          <w:b/>
          <w:sz w:val="20"/>
          <w:u w:val="single"/>
        </w:rPr>
        <w:t>1.2 Výpočtové parametre</w:t>
      </w:r>
    </w:p>
    <w:p w:rsidR="00EE6A26" w:rsidRPr="00EE6A26" w:rsidRDefault="00EE6A26" w:rsidP="00EE6A26">
      <w:pPr>
        <w:rPr>
          <w:rFonts w:asciiTheme="majorHAnsi" w:hAnsiTheme="majorHAnsi" w:cstheme="majorHAnsi"/>
          <w:b/>
          <w:sz w:val="20"/>
          <w:u w:val="single"/>
        </w:rPr>
      </w:pPr>
    </w:p>
    <w:p w:rsidR="00EE6A26" w:rsidRPr="00EE6A26" w:rsidRDefault="00EE6A26" w:rsidP="00EE6A26">
      <w:pPr>
        <w:numPr>
          <w:ilvl w:val="0"/>
          <w:numId w:val="29"/>
        </w:numPr>
        <w:tabs>
          <w:tab w:val="clear" w:pos="360"/>
        </w:tabs>
        <w:jc w:val="both"/>
        <w:rPr>
          <w:rFonts w:asciiTheme="majorHAnsi" w:hAnsiTheme="majorHAnsi" w:cstheme="majorHAnsi"/>
          <w:sz w:val="20"/>
        </w:rPr>
      </w:pPr>
      <w:r w:rsidRPr="00EE6A26">
        <w:rPr>
          <w:rFonts w:asciiTheme="majorHAnsi" w:hAnsiTheme="majorHAnsi" w:cstheme="majorHAnsi"/>
          <w:sz w:val="20"/>
          <w:u w:val="single"/>
        </w:rPr>
        <w:t>Teplota vonkajšieho vzduchu pre danú lokalitu</w:t>
      </w:r>
      <w:r w:rsidRPr="00EE6A26">
        <w:rPr>
          <w:rFonts w:asciiTheme="majorHAnsi" w:hAnsiTheme="majorHAnsi" w:cstheme="majorHAnsi"/>
          <w:sz w:val="20"/>
        </w:rPr>
        <w:t xml:space="preserve">:  </w:t>
      </w:r>
    </w:p>
    <w:p w:rsidR="00EE6A26" w:rsidRPr="00EE6A26" w:rsidRDefault="00EE6A26" w:rsidP="00EE6A26">
      <w:pPr>
        <w:ind w:left="360"/>
        <w:jc w:val="both"/>
        <w:rPr>
          <w:rFonts w:asciiTheme="majorHAnsi" w:hAnsiTheme="majorHAnsi" w:cstheme="majorHAnsi"/>
          <w:sz w:val="20"/>
        </w:rPr>
      </w:pPr>
      <w:r w:rsidRPr="00EE6A26">
        <w:rPr>
          <w:rFonts w:asciiTheme="majorHAnsi" w:hAnsiTheme="majorHAnsi" w:cstheme="majorHAnsi"/>
          <w:sz w:val="20"/>
        </w:rPr>
        <w:t>a/ zima t</w:t>
      </w:r>
      <w:r w:rsidRPr="00EE6A26">
        <w:rPr>
          <w:rFonts w:asciiTheme="majorHAnsi" w:hAnsiTheme="majorHAnsi" w:cstheme="majorHAnsi"/>
          <w:sz w:val="20"/>
          <w:vertAlign w:val="subscript"/>
        </w:rPr>
        <w:t>e</w:t>
      </w:r>
      <w:r w:rsidRPr="00EE6A26">
        <w:rPr>
          <w:rFonts w:asciiTheme="majorHAnsi" w:hAnsiTheme="majorHAnsi" w:cstheme="majorHAnsi"/>
          <w:sz w:val="20"/>
        </w:rPr>
        <w:t xml:space="preserve"> = - 11 °C</w:t>
      </w:r>
    </w:p>
    <w:p w:rsidR="00EE6A26" w:rsidRPr="00EE6A26" w:rsidRDefault="00EE6A26" w:rsidP="00EE6A26">
      <w:pPr>
        <w:ind w:left="360"/>
        <w:jc w:val="both"/>
        <w:rPr>
          <w:rFonts w:asciiTheme="majorHAnsi" w:hAnsiTheme="majorHAnsi" w:cstheme="majorHAnsi"/>
          <w:sz w:val="20"/>
        </w:rPr>
      </w:pPr>
      <w:r w:rsidRPr="00EE6A26">
        <w:rPr>
          <w:rFonts w:asciiTheme="majorHAnsi" w:hAnsiTheme="majorHAnsi" w:cstheme="majorHAnsi"/>
          <w:sz w:val="20"/>
        </w:rPr>
        <w:lastRenderedPageBreak/>
        <w:t>b/ leto  t</w:t>
      </w:r>
      <w:r w:rsidRPr="00EE6A26">
        <w:rPr>
          <w:rFonts w:asciiTheme="majorHAnsi" w:hAnsiTheme="majorHAnsi" w:cstheme="majorHAnsi"/>
          <w:sz w:val="20"/>
          <w:vertAlign w:val="subscript"/>
        </w:rPr>
        <w:t>e</w:t>
      </w:r>
      <w:r w:rsidRPr="00EE6A26">
        <w:rPr>
          <w:rFonts w:asciiTheme="majorHAnsi" w:hAnsiTheme="majorHAnsi" w:cstheme="majorHAnsi"/>
          <w:sz w:val="20"/>
        </w:rPr>
        <w:t xml:space="preserve"> =    33 °C</w:t>
      </w:r>
    </w:p>
    <w:p w:rsidR="00EE6A26" w:rsidRPr="00EE6A26" w:rsidRDefault="00EE6A26" w:rsidP="00EE6A26">
      <w:pPr>
        <w:ind w:left="360"/>
        <w:jc w:val="both"/>
        <w:rPr>
          <w:rFonts w:asciiTheme="majorHAnsi" w:hAnsiTheme="majorHAnsi" w:cstheme="majorHAnsi"/>
          <w:sz w:val="20"/>
        </w:rPr>
      </w:pPr>
    </w:p>
    <w:p w:rsidR="00EE6A26" w:rsidRPr="00EE6A26" w:rsidRDefault="00EE6A26" w:rsidP="00EE6A26">
      <w:pPr>
        <w:numPr>
          <w:ilvl w:val="0"/>
          <w:numId w:val="29"/>
        </w:numPr>
        <w:jc w:val="both"/>
        <w:rPr>
          <w:rFonts w:asciiTheme="majorHAnsi" w:hAnsiTheme="majorHAnsi" w:cstheme="majorHAnsi"/>
          <w:sz w:val="20"/>
        </w:rPr>
      </w:pPr>
      <w:r w:rsidRPr="00EE6A26">
        <w:rPr>
          <w:rFonts w:asciiTheme="majorHAnsi" w:hAnsiTheme="majorHAnsi" w:cstheme="majorHAnsi"/>
          <w:sz w:val="20"/>
          <w:u w:val="single"/>
        </w:rPr>
        <w:t>Relatívna vlhkosť vonkajšieho vzduchu</w:t>
      </w:r>
      <w:r w:rsidRPr="00EE6A26">
        <w:rPr>
          <w:rFonts w:asciiTheme="majorHAnsi" w:hAnsiTheme="majorHAnsi" w:cstheme="majorHAnsi"/>
          <w:sz w:val="20"/>
        </w:rPr>
        <w:t xml:space="preserve"> :           </w:t>
      </w:r>
    </w:p>
    <w:p w:rsidR="00EE6A26" w:rsidRPr="00EE6A26" w:rsidRDefault="00EE6A26" w:rsidP="00EE6A26">
      <w:pPr>
        <w:ind w:left="360"/>
        <w:jc w:val="both"/>
        <w:rPr>
          <w:rFonts w:asciiTheme="majorHAnsi" w:hAnsiTheme="majorHAnsi" w:cstheme="majorHAnsi"/>
          <w:sz w:val="20"/>
        </w:rPr>
      </w:pPr>
      <w:r w:rsidRPr="00EE6A26">
        <w:rPr>
          <w:rFonts w:asciiTheme="majorHAnsi" w:hAnsiTheme="majorHAnsi" w:cstheme="majorHAnsi"/>
          <w:sz w:val="20"/>
        </w:rPr>
        <w:t>a/ zima  90%</w:t>
      </w:r>
    </w:p>
    <w:p w:rsidR="00EE6A26" w:rsidRPr="00EE6A26" w:rsidRDefault="00EE6A26" w:rsidP="00EE6A26">
      <w:pPr>
        <w:ind w:left="360"/>
        <w:jc w:val="both"/>
        <w:rPr>
          <w:rFonts w:asciiTheme="majorHAnsi" w:hAnsiTheme="majorHAnsi" w:cstheme="majorHAnsi"/>
          <w:sz w:val="20"/>
        </w:rPr>
      </w:pPr>
      <w:r w:rsidRPr="00EE6A26">
        <w:rPr>
          <w:rFonts w:asciiTheme="majorHAnsi" w:hAnsiTheme="majorHAnsi" w:cstheme="majorHAnsi"/>
          <w:sz w:val="20"/>
        </w:rPr>
        <w:t>b/ leto  35%</w:t>
      </w:r>
    </w:p>
    <w:p w:rsidR="00EE6A26" w:rsidRPr="00EE6A26" w:rsidRDefault="00EE6A26" w:rsidP="00EE6A26">
      <w:pPr>
        <w:jc w:val="both"/>
        <w:rPr>
          <w:rFonts w:asciiTheme="majorHAnsi" w:hAnsiTheme="majorHAnsi" w:cstheme="majorHAnsi"/>
          <w:b/>
          <w:sz w:val="20"/>
          <w:u w:val="single"/>
        </w:rPr>
      </w:pPr>
    </w:p>
    <w:p w:rsidR="00EE6A26" w:rsidRPr="00EE6A26" w:rsidRDefault="00EE6A26" w:rsidP="00EE6A26">
      <w:pPr>
        <w:numPr>
          <w:ilvl w:val="0"/>
          <w:numId w:val="29"/>
        </w:numPr>
        <w:jc w:val="both"/>
        <w:rPr>
          <w:rFonts w:asciiTheme="majorHAnsi" w:hAnsiTheme="majorHAnsi" w:cstheme="majorHAnsi"/>
          <w:sz w:val="20"/>
        </w:rPr>
      </w:pPr>
      <w:r w:rsidRPr="00EE6A26">
        <w:rPr>
          <w:rFonts w:asciiTheme="majorHAnsi" w:hAnsiTheme="majorHAnsi" w:cstheme="majorHAnsi"/>
          <w:sz w:val="20"/>
          <w:u w:val="single"/>
        </w:rPr>
        <w:t>Entalpia</w:t>
      </w:r>
      <w:r w:rsidRPr="00EE6A26">
        <w:rPr>
          <w:rFonts w:asciiTheme="majorHAnsi" w:hAnsiTheme="majorHAnsi" w:cstheme="majorHAnsi"/>
          <w:sz w:val="20"/>
        </w:rPr>
        <w:t xml:space="preserve"> :      </w:t>
      </w:r>
    </w:p>
    <w:p w:rsidR="00EE6A26" w:rsidRPr="00EE6A26" w:rsidRDefault="00EE6A26" w:rsidP="00EE6A26">
      <w:pPr>
        <w:ind w:left="360"/>
        <w:jc w:val="both"/>
        <w:rPr>
          <w:rFonts w:asciiTheme="majorHAnsi" w:hAnsiTheme="majorHAnsi" w:cstheme="majorHAnsi"/>
          <w:sz w:val="20"/>
        </w:rPr>
      </w:pPr>
      <w:r w:rsidRPr="00EE6A26">
        <w:rPr>
          <w:rFonts w:asciiTheme="majorHAnsi" w:hAnsiTheme="majorHAnsi" w:cstheme="majorHAnsi"/>
          <w:sz w:val="20"/>
        </w:rPr>
        <w:t>a/ leto  59,41 kJ kg</w:t>
      </w:r>
      <w:r w:rsidRPr="00EE6A26">
        <w:rPr>
          <w:rFonts w:asciiTheme="majorHAnsi" w:hAnsiTheme="majorHAnsi" w:cstheme="majorHAnsi"/>
          <w:sz w:val="20"/>
          <w:vertAlign w:val="superscript"/>
        </w:rPr>
        <w:t>-1</w:t>
      </w:r>
      <w:r w:rsidRPr="00EE6A26">
        <w:rPr>
          <w:rFonts w:asciiTheme="majorHAnsi" w:hAnsiTheme="majorHAnsi" w:cstheme="majorHAnsi"/>
          <w:sz w:val="20"/>
        </w:rPr>
        <w:t xml:space="preserve"> s.v.</w:t>
      </w:r>
    </w:p>
    <w:p w:rsidR="00EE6A26" w:rsidRPr="00EE6A26" w:rsidRDefault="00EE6A26" w:rsidP="00EE6A26">
      <w:pPr>
        <w:tabs>
          <w:tab w:val="left" w:pos="4253"/>
          <w:tab w:val="left" w:pos="5670"/>
          <w:tab w:val="right" w:pos="5812"/>
        </w:tabs>
        <w:rPr>
          <w:rFonts w:asciiTheme="majorHAnsi" w:hAnsiTheme="majorHAnsi" w:cstheme="majorHAnsi"/>
          <w:sz w:val="20"/>
        </w:rPr>
      </w:pPr>
      <w:r w:rsidRPr="00EE6A26">
        <w:rPr>
          <w:rFonts w:asciiTheme="majorHAnsi" w:hAnsiTheme="majorHAnsi" w:cstheme="majorHAnsi"/>
          <w:sz w:val="20"/>
        </w:rPr>
        <w:t xml:space="preserve">      b/ zima  -9,2 kJ kg</w:t>
      </w:r>
      <w:r w:rsidRPr="00EE6A26">
        <w:rPr>
          <w:rFonts w:asciiTheme="majorHAnsi" w:hAnsiTheme="majorHAnsi" w:cstheme="majorHAnsi"/>
          <w:sz w:val="20"/>
          <w:vertAlign w:val="superscript"/>
        </w:rPr>
        <w:t>-1</w:t>
      </w:r>
      <w:r w:rsidRPr="00EE6A26">
        <w:rPr>
          <w:rFonts w:asciiTheme="majorHAnsi" w:hAnsiTheme="majorHAnsi" w:cstheme="majorHAnsi"/>
          <w:sz w:val="20"/>
        </w:rPr>
        <w:t xml:space="preserve"> s.v.</w:t>
      </w:r>
    </w:p>
    <w:p w:rsidR="00EE6A26" w:rsidRPr="00EE6A26" w:rsidRDefault="00EE6A26" w:rsidP="00EE6A26">
      <w:pPr>
        <w:jc w:val="both"/>
        <w:rPr>
          <w:rFonts w:asciiTheme="majorHAnsi" w:hAnsiTheme="majorHAnsi" w:cstheme="majorHAnsi"/>
          <w:b/>
          <w:sz w:val="20"/>
          <w:highlight w:val="yellow"/>
          <w:u w:val="single"/>
        </w:rPr>
      </w:pPr>
    </w:p>
    <w:p w:rsidR="00EE6A26" w:rsidRPr="00EE6A26" w:rsidRDefault="00EE6A26" w:rsidP="00EE6A26">
      <w:pPr>
        <w:numPr>
          <w:ilvl w:val="0"/>
          <w:numId w:val="29"/>
        </w:numPr>
        <w:jc w:val="both"/>
        <w:rPr>
          <w:rFonts w:asciiTheme="majorHAnsi" w:hAnsiTheme="majorHAnsi" w:cstheme="majorHAnsi"/>
          <w:sz w:val="20"/>
        </w:rPr>
      </w:pPr>
      <w:r w:rsidRPr="00EE6A26">
        <w:rPr>
          <w:rFonts w:asciiTheme="majorHAnsi" w:hAnsiTheme="majorHAnsi" w:cstheme="majorHAnsi"/>
          <w:sz w:val="20"/>
          <w:u w:val="single"/>
        </w:rPr>
        <w:t>Dávka vzduchu na zariaďovací predmet</w:t>
      </w:r>
      <w:r w:rsidRPr="00EE6A26">
        <w:rPr>
          <w:rFonts w:asciiTheme="majorHAnsi" w:hAnsiTheme="majorHAnsi" w:cstheme="majorHAnsi"/>
          <w:sz w:val="20"/>
        </w:rPr>
        <w:t xml:space="preserve">:            </w:t>
      </w:r>
    </w:p>
    <w:p w:rsidR="00EE6A26" w:rsidRPr="00EE6A26" w:rsidRDefault="00EE6A26" w:rsidP="00EE6A26">
      <w:pPr>
        <w:ind w:left="360"/>
        <w:jc w:val="both"/>
        <w:rPr>
          <w:rFonts w:asciiTheme="majorHAnsi" w:hAnsiTheme="majorHAnsi" w:cstheme="majorHAnsi"/>
          <w:sz w:val="20"/>
        </w:rPr>
      </w:pPr>
      <w:r w:rsidRPr="00EE6A26">
        <w:rPr>
          <w:rFonts w:asciiTheme="majorHAnsi" w:hAnsiTheme="majorHAnsi" w:cstheme="majorHAnsi"/>
          <w:sz w:val="20"/>
        </w:rPr>
        <w:t>WC – 50m</w:t>
      </w:r>
      <w:r w:rsidRPr="00EE6A26">
        <w:rPr>
          <w:rFonts w:asciiTheme="majorHAnsi" w:hAnsiTheme="majorHAnsi" w:cstheme="majorHAnsi"/>
          <w:sz w:val="20"/>
          <w:vertAlign w:val="superscript"/>
        </w:rPr>
        <w:t>3</w:t>
      </w:r>
      <w:r w:rsidRPr="00EE6A26">
        <w:rPr>
          <w:rFonts w:asciiTheme="majorHAnsi" w:hAnsiTheme="majorHAnsi" w:cstheme="majorHAnsi"/>
          <w:sz w:val="20"/>
        </w:rPr>
        <w:t xml:space="preserve">/h; </w:t>
      </w:r>
    </w:p>
    <w:p w:rsidR="00EE6A26" w:rsidRPr="00EE6A26" w:rsidRDefault="00EE6A26" w:rsidP="00EE6A26">
      <w:pPr>
        <w:ind w:left="360"/>
        <w:jc w:val="both"/>
        <w:rPr>
          <w:rFonts w:asciiTheme="majorHAnsi" w:hAnsiTheme="majorHAnsi" w:cstheme="majorHAnsi"/>
          <w:sz w:val="20"/>
        </w:rPr>
      </w:pPr>
      <w:r w:rsidRPr="00EE6A26">
        <w:rPr>
          <w:rFonts w:asciiTheme="majorHAnsi" w:hAnsiTheme="majorHAnsi" w:cstheme="majorHAnsi"/>
          <w:sz w:val="20"/>
        </w:rPr>
        <w:t>Umývadlo, výlevka – 30m</w:t>
      </w:r>
      <w:r w:rsidRPr="00EE6A26">
        <w:rPr>
          <w:rFonts w:asciiTheme="majorHAnsi" w:hAnsiTheme="majorHAnsi" w:cstheme="majorHAnsi"/>
          <w:sz w:val="20"/>
          <w:vertAlign w:val="superscript"/>
        </w:rPr>
        <w:t>3</w:t>
      </w:r>
      <w:r w:rsidRPr="00EE6A26">
        <w:rPr>
          <w:rFonts w:asciiTheme="majorHAnsi" w:hAnsiTheme="majorHAnsi" w:cstheme="majorHAnsi"/>
          <w:sz w:val="20"/>
        </w:rPr>
        <w:t xml:space="preserve">/h; </w:t>
      </w:r>
    </w:p>
    <w:p w:rsidR="00EE6A26" w:rsidRPr="00EE6A26" w:rsidRDefault="00EE6A26" w:rsidP="00EE6A26">
      <w:pPr>
        <w:ind w:left="360"/>
        <w:jc w:val="both"/>
        <w:rPr>
          <w:rFonts w:asciiTheme="majorHAnsi" w:hAnsiTheme="majorHAnsi" w:cstheme="majorHAnsi"/>
          <w:sz w:val="20"/>
        </w:rPr>
      </w:pPr>
      <w:r w:rsidRPr="00EE6A26">
        <w:rPr>
          <w:rFonts w:asciiTheme="majorHAnsi" w:hAnsiTheme="majorHAnsi" w:cstheme="majorHAnsi"/>
          <w:sz w:val="20"/>
        </w:rPr>
        <w:t>Sprcha –100m</w:t>
      </w:r>
      <w:r w:rsidRPr="00EE6A26">
        <w:rPr>
          <w:rFonts w:asciiTheme="majorHAnsi" w:hAnsiTheme="majorHAnsi" w:cstheme="majorHAnsi"/>
          <w:sz w:val="20"/>
          <w:vertAlign w:val="superscript"/>
        </w:rPr>
        <w:t>3</w:t>
      </w:r>
      <w:r w:rsidRPr="00EE6A26">
        <w:rPr>
          <w:rFonts w:asciiTheme="majorHAnsi" w:hAnsiTheme="majorHAnsi" w:cstheme="majorHAnsi"/>
          <w:sz w:val="20"/>
        </w:rPr>
        <w:t>/h;</w:t>
      </w:r>
    </w:p>
    <w:p w:rsidR="00EE6A26" w:rsidRPr="00EE6A26" w:rsidRDefault="00EE6A26" w:rsidP="00EE6A26">
      <w:pPr>
        <w:jc w:val="both"/>
        <w:rPr>
          <w:rFonts w:asciiTheme="majorHAnsi" w:hAnsiTheme="majorHAnsi" w:cstheme="majorHAnsi"/>
          <w:sz w:val="20"/>
        </w:rPr>
      </w:pPr>
    </w:p>
    <w:p w:rsidR="00EE6A26" w:rsidRPr="00EE6A26" w:rsidRDefault="00EE6A26" w:rsidP="00EE6A26">
      <w:pPr>
        <w:numPr>
          <w:ilvl w:val="0"/>
          <w:numId w:val="29"/>
        </w:numPr>
        <w:jc w:val="both"/>
        <w:rPr>
          <w:rFonts w:asciiTheme="majorHAnsi" w:hAnsiTheme="majorHAnsi" w:cstheme="majorHAnsi"/>
          <w:sz w:val="20"/>
        </w:rPr>
      </w:pPr>
      <w:r w:rsidRPr="00EE6A26">
        <w:rPr>
          <w:rFonts w:asciiTheme="majorHAnsi" w:hAnsiTheme="majorHAnsi" w:cstheme="majorHAnsi"/>
          <w:sz w:val="20"/>
          <w:u w:val="single"/>
        </w:rPr>
        <w:t>Intenzity výmeny vzduchu</w:t>
      </w:r>
      <w:r w:rsidRPr="00EE6A26">
        <w:rPr>
          <w:rFonts w:asciiTheme="majorHAnsi" w:hAnsiTheme="majorHAnsi" w:cstheme="majorHAnsi"/>
          <w:sz w:val="20"/>
        </w:rPr>
        <w:t xml:space="preserve">:                                </w:t>
      </w:r>
    </w:p>
    <w:p w:rsidR="00EE6A26" w:rsidRPr="00EE6A26" w:rsidRDefault="00EE6A26" w:rsidP="00EE6A26">
      <w:pPr>
        <w:ind w:left="357"/>
        <w:jc w:val="both"/>
        <w:rPr>
          <w:rFonts w:asciiTheme="majorHAnsi" w:hAnsiTheme="majorHAnsi" w:cstheme="majorHAnsi"/>
          <w:sz w:val="20"/>
        </w:rPr>
      </w:pPr>
      <w:r w:rsidRPr="00EE6A26">
        <w:rPr>
          <w:rFonts w:asciiTheme="majorHAnsi" w:hAnsiTheme="majorHAnsi" w:cstheme="majorHAnsi"/>
          <w:sz w:val="20"/>
        </w:rPr>
        <w:t>Sklady – 2x/h</w:t>
      </w:r>
    </w:p>
    <w:p w:rsidR="00EE6A26" w:rsidRPr="00EE6A26" w:rsidRDefault="00EE6A26" w:rsidP="00EE6A26">
      <w:pPr>
        <w:ind w:left="357"/>
        <w:jc w:val="both"/>
        <w:rPr>
          <w:rFonts w:asciiTheme="majorHAnsi" w:hAnsiTheme="majorHAnsi" w:cstheme="majorHAnsi"/>
          <w:sz w:val="20"/>
        </w:rPr>
      </w:pPr>
      <w:r w:rsidRPr="00EE6A26">
        <w:rPr>
          <w:rFonts w:asciiTheme="majorHAnsi" w:hAnsiTheme="majorHAnsi" w:cstheme="majorHAnsi"/>
          <w:sz w:val="20"/>
        </w:rPr>
        <w:t>Technické miestnosti / Elektrorozvodňa – 2x/h</w:t>
      </w:r>
    </w:p>
    <w:p w:rsidR="00EE6A26" w:rsidRPr="00EE6A26" w:rsidRDefault="00EE6A26" w:rsidP="00EE6A26">
      <w:pPr>
        <w:ind w:left="357"/>
        <w:jc w:val="both"/>
        <w:rPr>
          <w:rFonts w:asciiTheme="majorHAnsi" w:hAnsiTheme="majorHAnsi" w:cstheme="majorHAnsi"/>
          <w:sz w:val="20"/>
        </w:rPr>
      </w:pPr>
      <w:r w:rsidRPr="00EE6A26">
        <w:rPr>
          <w:rFonts w:asciiTheme="majorHAnsi" w:hAnsiTheme="majorHAnsi" w:cstheme="majorHAnsi"/>
          <w:sz w:val="20"/>
        </w:rPr>
        <w:t>Sklad/Odpady – 10x/h</w:t>
      </w:r>
    </w:p>
    <w:p w:rsidR="00EE6A26" w:rsidRPr="00EE6A26" w:rsidRDefault="00EE6A26" w:rsidP="00EE6A26">
      <w:pPr>
        <w:pStyle w:val="Zkladntext"/>
        <w:tabs>
          <w:tab w:val="left" w:pos="426"/>
        </w:tabs>
        <w:jc w:val="left"/>
        <w:rPr>
          <w:rFonts w:asciiTheme="majorHAnsi" w:hAnsiTheme="majorHAnsi" w:cstheme="majorHAnsi"/>
          <w:highlight w:val="yellow"/>
        </w:rPr>
      </w:pPr>
    </w:p>
    <w:p w:rsidR="00EE6A26" w:rsidRPr="00EE6A26" w:rsidRDefault="00EE6A26" w:rsidP="00EE6A26">
      <w:pPr>
        <w:tabs>
          <w:tab w:val="left" w:pos="4253"/>
          <w:tab w:val="left" w:pos="5670"/>
          <w:tab w:val="right" w:pos="5812"/>
        </w:tabs>
        <w:jc w:val="both"/>
        <w:rPr>
          <w:rFonts w:asciiTheme="majorHAnsi" w:hAnsiTheme="majorHAnsi" w:cstheme="majorHAnsi"/>
          <w:b/>
          <w:sz w:val="20"/>
          <w:u w:val="single"/>
        </w:rPr>
      </w:pPr>
      <w:r w:rsidRPr="00EE6A26">
        <w:rPr>
          <w:rFonts w:asciiTheme="majorHAnsi" w:hAnsiTheme="majorHAnsi" w:cstheme="majorHAnsi"/>
          <w:b/>
          <w:sz w:val="20"/>
          <w:u w:val="single"/>
        </w:rPr>
        <w:t xml:space="preserve">2. Popis navrhovaných zariadení </w:t>
      </w:r>
    </w:p>
    <w:p w:rsidR="00EE6A26" w:rsidRPr="00EE6A26" w:rsidRDefault="00EE6A26" w:rsidP="00EE6A26">
      <w:pPr>
        <w:ind w:right="-284" w:firstLine="851"/>
        <w:jc w:val="both"/>
        <w:rPr>
          <w:rFonts w:asciiTheme="majorHAnsi" w:hAnsiTheme="majorHAnsi" w:cstheme="majorHAnsi"/>
          <w:sz w:val="20"/>
        </w:rPr>
      </w:pPr>
    </w:p>
    <w:p w:rsidR="00EE6A26" w:rsidRPr="00EE6A26" w:rsidRDefault="00EE6A26" w:rsidP="00EE6A26">
      <w:pPr>
        <w:ind w:right="-284"/>
        <w:jc w:val="both"/>
        <w:rPr>
          <w:rFonts w:asciiTheme="majorHAnsi" w:hAnsiTheme="majorHAnsi" w:cstheme="majorHAnsi"/>
          <w:sz w:val="20"/>
          <w:u w:val="single"/>
        </w:rPr>
      </w:pPr>
      <w:r w:rsidRPr="00EE6A26">
        <w:rPr>
          <w:rFonts w:asciiTheme="majorHAnsi" w:hAnsiTheme="majorHAnsi" w:cstheme="majorHAnsi"/>
          <w:b/>
          <w:sz w:val="20"/>
        </w:rPr>
        <w:t>Zariadenie č.1 – Chladenie v objekte SO01 (m.č.1.01, 1.05, 2.02, 2.04)</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 xml:space="preserve">Na chladenie m.č.1.01 - Showroom, m.č.1.05 - Spálňa, m.č.2.02 - Izba a m.č. 2.04 – Izba je navrhnuté zariadenie typu MULTISPLIT. Navrhnutý systém tvorí vonkajšia kondenzačná jednotka MXZ-5E102VA, vnútorné nástenné jednotky MSZ-EF50VGW (zar.č. 1.02-01), MSZ-EF18VGW (zar.č. 1.03-01), MSZ-EF22VGW (zar.č. 1.04-01) a MSZ-EF25VGW  (zar.č. 1.05-01). Vonkajšia jednotka bude umiestnená pod terénom vo francúzskom dvorci na betónovom základe, resp. oceľovom ráme. Vnútorné nástenné jednotky budú umiestnené na stenách, resp. priečkach podľa výkresovej dokumentácie. </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Všetky vnútorné jednotky budú s vonkajšou jednotkou prepojené komunikačným káblom a dvojicou Cu potrubia s tvarovkami.  V Cu potrubí bude obiehať chladivo R410A. Rozvody chladiva budú izolované, zasekané v stropoch, stenách, resp. priečkach. Potrubie na odvod kondenzátu od vnútorných nástenných jednotiek rieši profesia ZTI.</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Navrhnuté jednotky umožňujú dohrev vzduchu v zimnom období.</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Každá vnútorná jednotka bude vybavená samostatným diaľkovým ovládačom.</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Elektrické napojenie kondenzačnej jednotky zabezpečí profesia elektro.</w:t>
      </w:r>
    </w:p>
    <w:p w:rsidR="00EE6A26" w:rsidRPr="00EE6A26" w:rsidRDefault="00EE6A26" w:rsidP="00EE6A26">
      <w:pPr>
        <w:ind w:right="-284"/>
        <w:jc w:val="both"/>
        <w:rPr>
          <w:rFonts w:asciiTheme="majorHAnsi" w:hAnsiTheme="majorHAnsi" w:cstheme="majorHAnsi"/>
          <w:b/>
          <w:sz w:val="20"/>
          <w:highlight w:val="yellow"/>
        </w:rPr>
      </w:pPr>
    </w:p>
    <w:p w:rsidR="00EE6A26" w:rsidRPr="00EE6A26" w:rsidRDefault="00EE6A26" w:rsidP="00EE6A26">
      <w:pPr>
        <w:ind w:right="-284"/>
        <w:jc w:val="both"/>
        <w:rPr>
          <w:rFonts w:asciiTheme="majorHAnsi" w:hAnsiTheme="majorHAnsi" w:cstheme="majorHAnsi"/>
          <w:b/>
          <w:sz w:val="20"/>
        </w:rPr>
      </w:pPr>
      <w:r w:rsidRPr="00EE6A26">
        <w:rPr>
          <w:rFonts w:asciiTheme="majorHAnsi" w:hAnsiTheme="majorHAnsi" w:cstheme="majorHAnsi"/>
          <w:b/>
          <w:sz w:val="20"/>
        </w:rPr>
        <w:t>Zariadenie č.2 – Vetranie hygienických zariadení a upratovacích komôr – m.č.1.03, 1.06, 1.07,1.08 a 2.03 v objekte SO01; m.č. 1.20 a 1.21 v objekte SO02</w:t>
      </w:r>
    </w:p>
    <w:p w:rsidR="00EE6A26" w:rsidRPr="00EE6A26" w:rsidRDefault="00EE6A26" w:rsidP="00EE6A26">
      <w:pPr>
        <w:ind w:right="-284"/>
        <w:jc w:val="both"/>
        <w:rPr>
          <w:rFonts w:asciiTheme="majorHAnsi" w:hAnsiTheme="majorHAnsi" w:cstheme="majorHAnsi"/>
          <w:sz w:val="20"/>
        </w:rPr>
      </w:pPr>
      <w:r w:rsidRPr="00EE6A26">
        <w:rPr>
          <w:rFonts w:asciiTheme="majorHAnsi" w:hAnsiTheme="majorHAnsi" w:cstheme="majorHAnsi"/>
          <w:b/>
          <w:sz w:val="20"/>
        </w:rPr>
        <w:t xml:space="preserve"> </w:t>
      </w:r>
      <w:r w:rsidRPr="00EE6A26">
        <w:rPr>
          <w:rFonts w:asciiTheme="majorHAnsi" w:hAnsiTheme="majorHAnsi" w:cstheme="majorHAnsi"/>
          <w:b/>
          <w:sz w:val="20"/>
        </w:rPr>
        <w:tab/>
      </w:r>
      <w:r w:rsidRPr="00EE6A26">
        <w:rPr>
          <w:rFonts w:asciiTheme="majorHAnsi" w:hAnsiTheme="majorHAnsi" w:cstheme="majorHAnsi"/>
          <w:sz w:val="20"/>
        </w:rPr>
        <w:t>V hygienických zariadeniach a upratovacích komorách je navrhnuté nútené podtlakové vetranie.</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 xml:space="preserve">Objemový prietok vzduchu je určený na základe dávky vzduchu na zariaďovací predmet. Odsávanie budú zabezpečovať radiálne ventilátory </w:t>
      </w:r>
      <w:r w:rsidRPr="00EE6A26">
        <w:rPr>
          <w:rFonts w:asciiTheme="majorHAnsi" w:hAnsiTheme="majorHAnsi" w:cstheme="majorHAnsi"/>
          <w:color w:val="000000" w:themeColor="text1"/>
          <w:sz w:val="20"/>
        </w:rPr>
        <w:t>QX100T</w:t>
      </w:r>
      <w:r w:rsidRPr="00EE6A26">
        <w:rPr>
          <w:rFonts w:asciiTheme="majorHAnsi" w:hAnsiTheme="majorHAnsi" w:cstheme="majorHAnsi"/>
          <w:sz w:val="20"/>
        </w:rPr>
        <w:t>. Ide o 2-rýchlostný radiálny ventilátor s dobehom.</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Ventilátory budú ovládané na svetlo, resp. budú spúšťané samostatným vypínačom. Náhrada odsávaného vzduchu bude prisávaním z okolitých priestorov cez  bezprahové dvere.</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Ventilátory budú vybavené spätnou klapkou a časovačom dobehu po vypnutí (súčasť dodávky ventilátora).</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 xml:space="preserve"> Ventilátory v objektoch SO01 a SO02 budú napojené na kruhové spiro potrubie, ktoré bude vyvedené min. 600 mm nad strechu a bude ukončené výfukovou strieškou.</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Stúpacie potrubia budú na spodnej časti ukončené vodotesne zaslepeným T-kusom. Odvodné potrubie je potrebné izolovať tepelnou kaučukovou izoláciou hr. 15 mm v dĺžke 3m smerom od strechy do interiéru.</w:t>
      </w:r>
    </w:p>
    <w:p w:rsidR="00EE6A26" w:rsidRPr="00EE6A26" w:rsidRDefault="00EE6A26" w:rsidP="00EE6A26">
      <w:pPr>
        <w:pStyle w:val="normlny11"/>
        <w:numPr>
          <w:ilvl w:val="0"/>
          <w:numId w:val="0"/>
        </w:numPr>
        <w:tabs>
          <w:tab w:val="left" w:pos="720"/>
        </w:tabs>
        <w:ind w:right="-284" w:firstLine="567"/>
        <w:rPr>
          <w:rFonts w:asciiTheme="majorHAnsi" w:hAnsiTheme="majorHAnsi" w:cstheme="majorHAnsi"/>
          <w:sz w:val="20"/>
          <w:szCs w:val="20"/>
        </w:rPr>
      </w:pPr>
      <w:r w:rsidRPr="00EE6A26">
        <w:rPr>
          <w:rFonts w:asciiTheme="majorHAnsi" w:hAnsiTheme="majorHAnsi" w:cstheme="majorHAnsi"/>
          <w:sz w:val="20"/>
          <w:szCs w:val="20"/>
        </w:rPr>
        <w:t>Elektrické napojenie ventilátorov a ich ovládanie zabezpečí profesia elektro.</w:t>
      </w:r>
    </w:p>
    <w:p w:rsidR="00EE6A26" w:rsidRPr="00EE6A26" w:rsidRDefault="00EE6A26" w:rsidP="00EE6A26">
      <w:pPr>
        <w:pStyle w:val="normlny11"/>
        <w:numPr>
          <w:ilvl w:val="0"/>
          <w:numId w:val="0"/>
        </w:numPr>
        <w:tabs>
          <w:tab w:val="left" w:pos="720"/>
        </w:tabs>
        <w:rPr>
          <w:rFonts w:asciiTheme="majorHAnsi" w:hAnsiTheme="majorHAnsi" w:cstheme="majorHAnsi"/>
          <w:sz w:val="20"/>
          <w:szCs w:val="20"/>
          <w:highlight w:val="yellow"/>
        </w:rPr>
      </w:pPr>
    </w:p>
    <w:p w:rsidR="00EE6A26" w:rsidRPr="00EE6A26" w:rsidRDefault="00EE6A26" w:rsidP="00EE6A26">
      <w:pPr>
        <w:ind w:right="-284"/>
        <w:jc w:val="both"/>
        <w:rPr>
          <w:rFonts w:asciiTheme="majorHAnsi" w:hAnsiTheme="majorHAnsi" w:cstheme="majorHAnsi"/>
          <w:sz w:val="20"/>
          <w:u w:val="single"/>
        </w:rPr>
      </w:pPr>
      <w:r w:rsidRPr="00EE6A26">
        <w:rPr>
          <w:rFonts w:asciiTheme="majorHAnsi" w:hAnsiTheme="majorHAnsi" w:cstheme="majorHAnsi"/>
          <w:b/>
          <w:sz w:val="20"/>
        </w:rPr>
        <w:t>Zariadenie č.3 – Nútené vetranie m.č.0.03 – Nerezové nádrže a m.č. 1.13 – Lisovňa/fľaškovňa v objekte SO02</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V m.č. 0.03 a 1.13 je navrhnuté nútené podtlakové vetranie. Intenzita výmeny vzduchu bola stanovená na základe tvorby škodliviny – CO</w:t>
      </w:r>
      <w:r w:rsidRPr="00EE6A26">
        <w:rPr>
          <w:rFonts w:asciiTheme="majorHAnsi" w:hAnsiTheme="majorHAnsi" w:cstheme="majorHAnsi"/>
          <w:sz w:val="20"/>
          <w:szCs w:val="20"/>
          <w:vertAlign w:val="subscript"/>
        </w:rPr>
        <w:t xml:space="preserve">2 </w:t>
      </w:r>
      <w:r w:rsidRPr="00EE6A26">
        <w:rPr>
          <w:rFonts w:asciiTheme="majorHAnsi" w:hAnsiTheme="majorHAnsi" w:cstheme="majorHAnsi"/>
          <w:sz w:val="20"/>
          <w:szCs w:val="20"/>
        </w:rPr>
        <w:t>v množstve 5 kg/hod. Potrebné množstvo vzduchu je 556 m</w:t>
      </w:r>
      <w:r w:rsidRPr="00EE6A26">
        <w:rPr>
          <w:rFonts w:asciiTheme="majorHAnsi" w:hAnsiTheme="majorHAnsi" w:cstheme="majorHAnsi"/>
          <w:sz w:val="20"/>
          <w:szCs w:val="20"/>
          <w:vertAlign w:val="superscript"/>
        </w:rPr>
        <w:t>3</w:t>
      </w:r>
      <w:r w:rsidRPr="00EE6A26">
        <w:rPr>
          <w:rFonts w:asciiTheme="majorHAnsi" w:hAnsiTheme="majorHAnsi" w:cstheme="majorHAnsi"/>
          <w:sz w:val="20"/>
          <w:szCs w:val="20"/>
        </w:rPr>
        <w:t>/hod pre oba priestory spolu.</w:t>
      </w:r>
    </w:p>
    <w:p w:rsidR="00EE6A26" w:rsidRPr="00EE6A26" w:rsidRDefault="00EE6A26" w:rsidP="00EE6A26">
      <w:pPr>
        <w:jc w:val="both"/>
        <w:rPr>
          <w:rFonts w:asciiTheme="majorHAnsi" w:hAnsiTheme="majorHAnsi" w:cstheme="majorHAnsi"/>
          <w:sz w:val="20"/>
        </w:rPr>
      </w:pPr>
      <w:r w:rsidRPr="00EE6A26">
        <w:rPr>
          <w:rFonts w:asciiTheme="majorHAnsi" w:hAnsiTheme="majorHAnsi" w:cstheme="majorHAnsi"/>
          <w:sz w:val="20"/>
        </w:rPr>
        <w:t xml:space="preserve">V každej miestnosti je osadený odvodný radiálny ventilátor do kruhového potrubia K 160 XL Sileo. Ventilátor je osadený pod stropom a ako distribučné prvky na odvod vzduchu sú navrhnuté jednoradové žalúziové výustky do </w:t>
      </w:r>
      <w:r w:rsidRPr="00EE6A26">
        <w:rPr>
          <w:rFonts w:asciiTheme="majorHAnsi" w:hAnsiTheme="majorHAnsi" w:cstheme="majorHAnsi"/>
          <w:sz w:val="20"/>
        </w:rPr>
        <w:lastRenderedPageBreak/>
        <w:t>kruhového potrubia, ktoré sú osadené priamo na potrubí, vo výške 250mm nad podlahou. Odvodné potrubia sú vyvedené nad strechu budovy, ukončené výfukovou hlavicou. Odvodné potrubie je potrebné izolovať tepelnou kaučukovou izoláciou hr. 15 mm v dĺžke 3m smerom od strechy do interiéru.</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Náhrada odsávaného vzduchu bude z exteriéru kruhovým potrubím, ktoré bude ukončené 90° kolenom so sitom osadeným 250mm nad podlahou. Na fasáde bude potrubie ukončené krycími mriežkami. Potrubie bude izolované tepelnou kaučukovou izoláciou hr. 15 mm po celej dĺžke.</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 xml:space="preserve">Celý systém bude spúšťaný manuálne po zatlačení spínačov, ktoré budú umiestnené v oboch miestnostiach. </w:t>
      </w:r>
    </w:p>
    <w:p w:rsidR="00EE6A26" w:rsidRPr="00EE6A26" w:rsidRDefault="00EE6A26" w:rsidP="00EE6A26">
      <w:pPr>
        <w:rPr>
          <w:rFonts w:asciiTheme="majorHAnsi" w:hAnsiTheme="majorHAnsi" w:cstheme="majorHAnsi"/>
          <w:sz w:val="20"/>
        </w:rPr>
      </w:pPr>
      <w:r w:rsidRPr="00EE6A26">
        <w:rPr>
          <w:rFonts w:asciiTheme="majorHAnsi" w:hAnsiTheme="majorHAnsi" w:cstheme="majorHAnsi"/>
          <w:sz w:val="20"/>
        </w:rPr>
        <w:t>Systém bude využívaný v troch režimoch:</w:t>
      </w:r>
    </w:p>
    <w:p w:rsidR="00EE6A26" w:rsidRPr="00EE6A26" w:rsidRDefault="00EE6A26" w:rsidP="00EE6A26">
      <w:pPr>
        <w:pStyle w:val="Odsekzoznamu"/>
        <w:numPr>
          <w:ilvl w:val="0"/>
          <w:numId w:val="30"/>
        </w:numPr>
        <w:spacing w:after="200" w:line="276" w:lineRule="auto"/>
        <w:rPr>
          <w:rFonts w:asciiTheme="majorHAnsi" w:hAnsiTheme="majorHAnsi" w:cstheme="majorHAnsi"/>
          <w:sz w:val="20"/>
          <w:szCs w:val="20"/>
        </w:rPr>
      </w:pPr>
      <w:r w:rsidRPr="00EE6A26">
        <w:rPr>
          <w:rFonts w:asciiTheme="majorHAnsi" w:hAnsiTheme="majorHAnsi" w:cstheme="majorHAnsi"/>
          <w:sz w:val="20"/>
          <w:szCs w:val="20"/>
        </w:rPr>
        <w:t>Kampaň – ktorá predstavuje približne časový horizont 2 mesiace. Systém bude v prevádzke nepretržite.</w:t>
      </w:r>
    </w:p>
    <w:p w:rsidR="00EE6A26" w:rsidRPr="00EE6A26" w:rsidRDefault="00EE6A26" w:rsidP="00EE6A26">
      <w:pPr>
        <w:pStyle w:val="Odsekzoznamu"/>
        <w:numPr>
          <w:ilvl w:val="0"/>
          <w:numId w:val="30"/>
        </w:numPr>
        <w:spacing w:after="200" w:line="276" w:lineRule="auto"/>
        <w:rPr>
          <w:rFonts w:asciiTheme="majorHAnsi" w:hAnsiTheme="majorHAnsi" w:cstheme="majorHAnsi"/>
          <w:sz w:val="20"/>
          <w:szCs w:val="20"/>
        </w:rPr>
      </w:pPr>
      <w:r w:rsidRPr="00EE6A26">
        <w:rPr>
          <w:rFonts w:asciiTheme="majorHAnsi" w:hAnsiTheme="majorHAnsi" w:cstheme="majorHAnsi"/>
          <w:sz w:val="20"/>
          <w:szCs w:val="20"/>
        </w:rPr>
        <w:t>Obdobie mimo kampane</w:t>
      </w:r>
    </w:p>
    <w:p w:rsidR="00EE6A26" w:rsidRPr="00EE6A26" w:rsidRDefault="00EE6A26" w:rsidP="00EE6A26">
      <w:pPr>
        <w:pStyle w:val="Odsekzoznamu"/>
        <w:numPr>
          <w:ilvl w:val="2"/>
          <w:numId w:val="30"/>
        </w:numPr>
        <w:spacing w:after="200" w:line="276" w:lineRule="auto"/>
        <w:rPr>
          <w:rFonts w:asciiTheme="majorHAnsi" w:hAnsiTheme="majorHAnsi" w:cstheme="majorHAnsi"/>
          <w:sz w:val="20"/>
          <w:szCs w:val="20"/>
        </w:rPr>
      </w:pPr>
      <w:r w:rsidRPr="00EE6A26">
        <w:rPr>
          <w:rFonts w:asciiTheme="majorHAnsi" w:hAnsiTheme="majorHAnsi" w:cstheme="majorHAnsi"/>
          <w:sz w:val="20"/>
          <w:szCs w:val="20"/>
        </w:rPr>
        <w:t xml:space="preserve">kedy bude možné systém aktivovať manuálne po zopnutí spínača na základe potreby užívateľa. </w:t>
      </w:r>
    </w:p>
    <w:p w:rsidR="00EE6A26" w:rsidRPr="00EE6A26" w:rsidRDefault="00EE6A26" w:rsidP="00EE6A26">
      <w:pPr>
        <w:pStyle w:val="Odsekzoznamu"/>
        <w:numPr>
          <w:ilvl w:val="2"/>
          <w:numId w:val="30"/>
        </w:numPr>
        <w:spacing w:after="200" w:line="276" w:lineRule="auto"/>
        <w:rPr>
          <w:rFonts w:asciiTheme="majorHAnsi" w:hAnsiTheme="majorHAnsi" w:cstheme="majorHAnsi"/>
          <w:sz w:val="20"/>
          <w:szCs w:val="20"/>
        </w:rPr>
      </w:pPr>
      <w:r w:rsidRPr="00EE6A26">
        <w:rPr>
          <w:rFonts w:asciiTheme="majorHAnsi" w:hAnsiTheme="majorHAnsi" w:cstheme="majorHAnsi"/>
          <w:sz w:val="20"/>
          <w:szCs w:val="20"/>
        </w:rPr>
        <w:t>Priestory 0.03 a 1.13 budú vybavené priestorovým snímačom koncentrácie CO</w:t>
      </w:r>
      <w:r w:rsidRPr="00EE6A26">
        <w:rPr>
          <w:rFonts w:asciiTheme="majorHAnsi" w:hAnsiTheme="majorHAnsi" w:cstheme="majorHAnsi"/>
          <w:sz w:val="20"/>
          <w:szCs w:val="20"/>
          <w:vertAlign w:val="subscript"/>
        </w:rPr>
        <w:t>2</w:t>
      </w:r>
      <w:r w:rsidRPr="00EE6A26">
        <w:rPr>
          <w:rFonts w:asciiTheme="majorHAnsi" w:hAnsiTheme="majorHAnsi" w:cstheme="majorHAnsi"/>
          <w:sz w:val="20"/>
          <w:szCs w:val="20"/>
        </w:rPr>
        <w:t>. V prípade dosiahnutia kritickej koncentrácie bude systém vetrania spustený automaticky.</w:t>
      </w:r>
    </w:p>
    <w:p w:rsidR="00EE6A26" w:rsidRPr="00EE6A26" w:rsidRDefault="00EE6A26" w:rsidP="00EE6A26">
      <w:pPr>
        <w:ind w:right="-284"/>
        <w:jc w:val="both"/>
        <w:rPr>
          <w:rFonts w:asciiTheme="majorHAnsi" w:hAnsiTheme="majorHAnsi" w:cstheme="majorHAnsi"/>
          <w:b/>
          <w:sz w:val="20"/>
        </w:rPr>
      </w:pPr>
      <w:r w:rsidRPr="00EE6A26">
        <w:rPr>
          <w:rFonts w:asciiTheme="majorHAnsi" w:hAnsiTheme="majorHAnsi" w:cstheme="majorHAnsi"/>
          <w:b/>
          <w:sz w:val="20"/>
        </w:rPr>
        <w:t>Zariadenie č.4 – Vetranie pivníc na 1.PP v objektoch SO02 (m.č. 0.04) a SO04 (m.č. 0.05)</w:t>
      </w:r>
    </w:p>
    <w:p w:rsidR="00EE6A26" w:rsidRPr="00EE6A26" w:rsidRDefault="00EE6A26" w:rsidP="00EE6A26">
      <w:pPr>
        <w:pStyle w:val="Zkladntext"/>
        <w:ind w:right="-284" w:firstLine="567"/>
        <w:rPr>
          <w:rFonts w:asciiTheme="majorHAnsi" w:hAnsiTheme="majorHAnsi" w:cstheme="majorHAnsi"/>
        </w:rPr>
      </w:pPr>
      <w:r w:rsidRPr="00EE6A26">
        <w:rPr>
          <w:rFonts w:asciiTheme="majorHAnsi" w:hAnsiTheme="majorHAnsi" w:cstheme="majorHAnsi"/>
        </w:rPr>
        <w:t>Vetranie m.č. 0.04 v objekte SO02 – „Drevené sudy“ bude prirodzené a zabezpečí ho dvojica kruhových potrubí, ktoré budú vyvedené min. 600mm nad strechu a ukončené kruhovou strieškou so sitom. Na strane interiéru bude potrubie ukončené krycími mriežkami osadenými na strope. Potrubie bude izolované tepelnou kaučukovou izoláciou hr. 15 mm po celej dĺžke.</w:t>
      </w:r>
    </w:p>
    <w:p w:rsidR="00EE6A26" w:rsidRPr="00EE6A26" w:rsidRDefault="00EE6A26" w:rsidP="00EE6A26">
      <w:pPr>
        <w:pStyle w:val="Zkladntext"/>
        <w:ind w:right="-284" w:firstLine="567"/>
        <w:rPr>
          <w:rFonts w:asciiTheme="majorHAnsi" w:hAnsiTheme="majorHAnsi" w:cstheme="majorHAnsi"/>
        </w:rPr>
      </w:pPr>
      <w:r w:rsidRPr="00EE6A26">
        <w:rPr>
          <w:rFonts w:asciiTheme="majorHAnsi" w:hAnsiTheme="majorHAnsi" w:cstheme="majorHAnsi"/>
        </w:rPr>
        <w:t>Vetranie m.č. 0.05 v objekte SO04 – „Jestvujúca pivnica“ zabezpečuje dvojica pôvodných, jestvujúcich potrubí. Na lepšie prevetranie odľahlého kúta bude osadené ďalšie kruhové potrubie, vyvedené do exteriéru a min. 600mm nad terénom ukončené kruhovou hlavicou so sitom. Na strane interiéru bude potrubie ukončené krycími mriežkami osadenými na strope. Potrubie bude izolované tepelnou kaučukovou izoláciou hr. 15 mm po celej dĺžke.</w:t>
      </w:r>
    </w:p>
    <w:p w:rsidR="00EE6A26" w:rsidRPr="00EE6A26" w:rsidRDefault="00EE6A26" w:rsidP="00EE6A26">
      <w:pPr>
        <w:pStyle w:val="normlny11"/>
        <w:numPr>
          <w:ilvl w:val="0"/>
          <w:numId w:val="0"/>
        </w:numPr>
        <w:tabs>
          <w:tab w:val="left" w:pos="720"/>
        </w:tabs>
        <w:ind w:right="-284"/>
        <w:rPr>
          <w:rFonts w:asciiTheme="majorHAnsi" w:hAnsiTheme="majorHAnsi" w:cstheme="majorHAnsi"/>
          <w:sz w:val="20"/>
          <w:szCs w:val="20"/>
        </w:rPr>
      </w:pPr>
    </w:p>
    <w:p w:rsidR="00EE6A26" w:rsidRPr="00EE6A26" w:rsidRDefault="00EE6A26" w:rsidP="00EE6A26">
      <w:pPr>
        <w:pStyle w:val="normlny11"/>
        <w:numPr>
          <w:ilvl w:val="0"/>
          <w:numId w:val="0"/>
        </w:numPr>
        <w:tabs>
          <w:tab w:val="left" w:pos="720"/>
        </w:tabs>
        <w:ind w:right="-284"/>
        <w:rPr>
          <w:rFonts w:asciiTheme="majorHAnsi" w:hAnsiTheme="majorHAnsi" w:cstheme="majorHAnsi"/>
          <w:b/>
          <w:sz w:val="20"/>
          <w:szCs w:val="20"/>
        </w:rPr>
      </w:pPr>
      <w:r w:rsidRPr="00EE6A26">
        <w:rPr>
          <w:rFonts w:asciiTheme="majorHAnsi" w:hAnsiTheme="majorHAnsi" w:cstheme="majorHAnsi"/>
          <w:b/>
          <w:color w:val="000000"/>
          <w:sz w:val="20"/>
          <w:szCs w:val="20"/>
        </w:rPr>
        <w:t xml:space="preserve">Zariadenie č.5 – </w:t>
      </w:r>
      <w:r w:rsidRPr="00EE6A26">
        <w:rPr>
          <w:rFonts w:asciiTheme="majorHAnsi" w:hAnsiTheme="majorHAnsi" w:cstheme="majorHAnsi"/>
          <w:b/>
          <w:sz w:val="20"/>
          <w:szCs w:val="20"/>
        </w:rPr>
        <w:t>Vetranie m.č. 1.11 - Elektrorozvodňa a m.č. 1.17 – Sklad v objekte SO02</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V m.č. 1.11 a 1.17 je navrhnuté nútené podtlakové vetranie.</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 xml:space="preserve">Odsávanie budú zabezpečovať radiálne ventilátory </w:t>
      </w:r>
      <w:r w:rsidRPr="00EE6A26">
        <w:rPr>
          <w:rFonts w:asciiTheme="majorHAnsi" w:hAnsiTheme="majorHAnsi" w:cstheme="majorHAnsi"/>
          <w:color w:val="000000" w:themeColor="text1"/>
          <w:sz w:val="20"/>
        </w:rPr>
        <w:t>QX100T</w:t>
      </w:r>
      <w:r w:rsidRPr="00EE6A26">
        <w:rPr>
          <w:rFonts w:asciiTheme="majorHAnsi" w:hAnsiTheme="majorHAnsi" w:cstheme="majorHAnsi"/>
          <w:sz w:val="20"/>
        </w:rPr>
        <w:t>. Ide o 2-rýchlostný radiálny ventilátor s dobehom.</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Ventilátory budú ovládané časovým spínačom pre prevetranie priestorov 2x za deň počas 1 hodiny, resp. bude možné aj manuálne zapnutie samostatným vypínačom. Náhrada odsávaného vzduchu bude prisávaním z okolitých priestorov cez  bezprahové dvere.</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Ventilátory budú vybavené spätnou klapkou a časovačom dobehu po vypnutí (súčasť dodávky ventilátora).</w:t>
      </w:r>
    </w:p>
    <w:p w:rsidR="00EE6A26" w:rsidRPr="00EE6A26" w:rsidRDefault="00EE6A26" w:rsidP="00EE6A26">
      <w:pPr>
        <w:pStyle w:val="normlny11"/>
        <w:numPr>
          <w:ilvl w:val="0"/>
          <w:numId w:val="0"/>
        </w:numPr>
        <w:tabs>
          <w:tab w:val="left" w:pos="720"/>
        </w:tabs>
        <w:ind w:right="-284" w:firstLine="567"/>
        <w:rPr>
          <w:rFonts w:asciiTheme="majorHAnsi" w:hAnsiTheme="majorHAnsi" w:cstheme="majorHAnsi"/>
          <w:color w:val="FF0000"/>
          <w:sz w:val="20"/>
          <w:szCs w:val="20"/>
        </w:rPr>
      </w:pPr>
      <w:r w:rsidRPr="00EE6A26">
        <w:rPr>
          <w:rFonts w:asciiTheme="majorHAnsi" w:hAnsiTheme="majorHAnsi" w:cstheme="majorHAnsi"/>
          <w:sz w:val="20"/>
          <w:szCs w:val="20"/>
        </w:rPr>
        <w:t xml:space="preserve"> Ventilátory budú napojené na kruhové spiro potrubie, ktoré bude v exteriéri na fasáde ukončené krycou mriežkou.</w:t>
      </w:r>
    </w:p>
    <w:p w:rsidR="00EE6A26" w:rsidRPr="00EE6A26" w:rsidRDefault="00EE6A26" w:rsidP="00EE6A26">
      <w:pPr>
        <w:pStyle w:val="normlny11"/>
        <w:numPr>
          <w:ilvl w:val="0"/>
          <w:numId w:val="0"/>
        </w:numPr>
        <w:tabs>
          <w:tab w:val="left" w:pos="720"/>
        </w:tabs>
        <w:ind w:right="-284" w:firstLine="567"/>
        <w:rPr>
          <w:rFonts w:asciiTheme="majorHAnsi" w:hAnsiTheme="majorHAnsi" w:cstheme="majorHAnsi"/>
          <w:sz w:val="20"/>
          <w:szCs w:val="20"/>
        </w:rPr>
      </w:pPr>
      <w:r w:rsidRPr="00EE6A26">
        <w:rPr>
          <w:rFonts w:asciiTheme="majorHAnsi" w:hAnsiTheme="majorHAnsi" w:cstheme="majorHAnsi"/>
          <w:sz w:val="20"/>
          <w:szCs w:val="20"/>
        </w:rPr>
        <w:t>Elektrické napojenie ventilátorov a ich ovládanie zabezpečí profesia elektro.</w:t>
      </w:r>
    </w:p>
    <w:p w:rsidR="00EE6A26" w:rsidRPr="00EE6A26" w:rsidRDefault="00EE6A26" w:rsidP="00EE6A26">
      <w:pPr>
        <w:pStyle w:val="normlny11"/>
        <w:numPr>
          <w:ilvl w:val="0"/>
          <w:numId w:val="0"/>
        </w:numPr>
        <w:tabs>
          <w:tab w:val="left" w:pos="720"/>
        </w:tabs>
        <w:ind w:right="-284"/>
        <w:rPr>
          <w:rFonts w:asciiTheme="majorHAnsi" w:hAnsiTheme="majorHAnsi" w:cstheme="majorHAnsi"/>
          <w:sz w:val="20"/>
          <w:szCs w:val="20"/>
          <w:highlight w:val="yellow"/>
        </w:rPr>
      </w:pPr>
    </w:p>
    <w:p w:rsidR="00EE6A26" w:rsidRPr="00EE6A26" w:rsidRDefault="00EE6A26" w:rsidP="00EE6A26">
      <w:pPr>
        <w:pStyle w:val="Zkladntext2"/>
        <w:ind w:right="-284"/>
        <w:jc w:val="both"/>
        <w:rPr>
          <w:rFonts w:asciiTheme="majorHAnsi" w:hAnsiTheme="majorHAnsi" w:cstheme="majorHAnsi"/>
          <w:b/>
          <w:sz w:val="20"/>
        </w:rPr>
      </w:pPr>
      <w:r w:rsidRPr="00EE6A26">
        <w:rPr>
          <w:rFonts w:asciiTheme="majorHAnsi" w:hAnsiTheme="majorHAnsi" w:cstheme="majorHAnsi"/>
          <w:b/>
          <w:sz w:val="20"/>
        </w:rPr>
        <w:t>Zariadenie č.6 – Prirodzené vetranie m.č. 1.01 v objekte SO01, m.č. 1.10, 1.12 a 2.05 v objekte SO02</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Na prívod vzduchu do krbu v m.č. 1.01 v objekte SO01 je navrhnuté kruhové spiro potrubie, ktoré je vedené v podlahe vo vrstve TI a je ukončené priamo v krbe sitom. Na strane exteriéru je potrubie ukončené krycou mriežkou na fasáde.</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M.č. 1.10 a 2.05 – Sklady v objekte SO02 sú vetrané prirodzene dvojicou kruhových spiro potrubí. Potrubie na prívod vzduchu je vedené nad podlahu m.č. 1.10. Na strane interiéru aj exteriéru je potrubie ukončené krycou mriežkou. Odvod vzduchu je riešený potrubím ukončeným kolenom so sitom (resp. krycou mriežkou) pod strechou v m.č. 2.06. Potrubie je vyvedené min.600mm nad strechu objektu a ukončené výfukovou hlavicou.</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V m.č. 1.12 – Výroba chladu je podľa požiadaviek technológa otvor v obvodovej stene o rozmeroch 630x800mm. Zo strany interiéru je otvor, resp. potrubie opatrené sitom a na strane exteriéru je osadená protidažďová žalúzia.</w:t>
      </w:r>
    </w:p>
    <w:p w:rsidR="00EE6A26" w:rsidRPr="00EE6A26" w:rsidRDefault="00EE6A26" w:rsidP="00EE6A26">
      <w:pPr>
        <w:pStyle w:val="normlny11"/>
        <w:numPr>
          <w:ilvl w:val="0"/>
          <w:numId w:val="0"/>
        </w:numPr>
        <w:tabs>
          <w:tab w:val="left" w:pos="720"/>
        </w:tabs>
        <w:ind w:right="-284"/>
        <w:rPr>
          <w:rFonts w:asciiTheme="majorHAnsi" w:hAnsiTheme="majorHAnsi" w:cstheme="majorHAnsi"/>
          <w:sz w:val="20"/>
          <w:szCs w:val="20"/>
          <w:highlight w:val="yellow"/>
        </w:rPr>
      </w:pPr>
    </w:p>
    <w:p w:rsidR="00EE6A26" w:rsidRPr="00EE6A26" w:rsidRDefault="00EE6A26" w:rsidP="00EE6A26">
      <w:pPr>
        <w:pStyle w:val="normlny11"/>
        <w:numPr>
          <w:ilvl w:val="0"/>
          <w:numId w:val="0"/>
        </w:numPr>
        <w:tabs>
          <w:tab w:val="left" w:pos="720"/>
        </w:tabs>
        <w:ind w:right="-284"/>
        <w:rPr>
          <w:rFonts w:asciiTheme="majorHAnsi" w:hAnsiTheme="majorHAnsi" w:cstheme="majorHAnsi"/>
          <w:b/>
          <w:sz w:val="20"/>
          <w:szCs w:val="20"/>
        </w:rPr>
      </w:pPr>
      <w:r w:rsidRPr="00EE6A26">
        <w:rPr>
          <w:rFonts w:asciiTheme="majorHAnsi" w:hAnsiTheme="majorHAnsi" w:cstheme="majorHAnsi"/>
          <w:b/>
          <w:sz w:val="20"/>
          <w:szCs w:val="20"/>
        </w:rPr>
        <w:t>Zariadenie č.7 – Vetranie skladov (m.č. 1.25 a 1.27) v objekte SO03</w:t>
      </w:r>
    </w:p>
    <w:p w:rsidR="00EE6A26" w:rsidRPr="00EE6A26" w:rsidRDefault="00EE6A26" w:rsidP="00EE6A26">
      <w:pPr>
        <w:pStyle w:val="normlny11"/>
        <w:numPr>
          <w:ilvl w:val="0"/>
          <w:numId w:val="0"/>
        </w:numPr>
        <w:tabs>
          <w:tab w:val="left" w:pos="720"/>
        </w:tabs>
        <w:ind w:right="-284"/>
        <w:rPr>
          <w:rFonts w:asciiTheme="majorHAnsi" w:hAnsiTheme="majorHAnsi" w:cstheme="majorHAnsi"/>
          <w:sz w:val="20"/>
          <w:szCs w:val="20"/>
        </w:rPr>
      </w:pPr>
      <w:r w:rsidRPr="00EE6A26">
        <w:rPr>
          <w:rFonts w:asciiTheme="majorHAnsi" w:hAnsiTheme="majorHAnsi" w:cstheme="majorHAnsi"/>
          <w:b/>
          <w:sz w:val="20"/>
          <w:szCs w:val="20"/>
        </w:rPr>
        <w:tab/>
      </w:r>
      <w:r w:rsidRPr="00EE6A26">
        <w:rPr>
          <w:rFonts w:asciiTheme="majorHAnsi" w:hAnsiTheme="majorHAnsi" w:cstheme="majorHAnsi"/>
          <w:sz w:val="20"/>
          <w:szCs w:val="20"/>
        </w:rPr>
        <w:t>Vetranie skladu chemikálií (m.č. 1.25) je prirodzené. Vo fasáde je dvojica otvorov nad podlahou a pod stropom, ktoré sú opatrené zo strany exteriéru protidažďovou žalúziou a zo strany interiéru sitom.</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lastRenderedPageBreak/>
        <w:t>Vetranie m.č. 1.27 – Sklad/Odpady je nútené podtlakové.</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Objemový prietok vzduchu je určený na základe násobnosti výmeny vzduchu 10xh</w:t>
      </w:r>
      <w:r w:rsidRPr="00EE6A26">
        <w:rPr>
          <w:rFonts w:asciiTheme="majorHAnsi" w:hAnsiTheme="majorHAnsi" w:cstheme="majorHAnsi"/>
          <w:sz w:val="20"/>
          <w:vertAlign w:val="superscript"/>
        </w:rPr>
        <w:t>-1</w:t>
      </w:r>
      <w:r w:rsidRPr="00EE6A26">
        <w:rPr>
          <w:rFonts w:asciiTheme="majorHAnsi" w:hAnsiTheme="majorHAnsi" w:cstheme="majorHAnsi"/>
          <w:sz w:val="20"/>
        </w:rPr>
        <w:t xml:space="preserve">. Odsávanie zabezpečí radiálny ventilátor </w:t>
      </w:r>
      <w:r w:rsidRPr="00EE6A26">
        <w:rPr>
          <w:rFonts w:asciiTheme="majorHAnsi" w:hAnsiTheme="majorHAnsi" w:cstheme="majorHAnsi"/>
          <w:color w:val="000000" w:themeColor="text1"/>
          <w:sz w:val="20"/>
        </w:rPr>
        <w:t>QX100T</w:t>
      </w:r>
      <w:r w:rsidRPr="00EE6A26">
        <w:rPr>
          <w:rFonts w:asciiTheme="majorHAnsi" w:hAnsiTheme="majorHAnsi" w:cstheme="majorHAnsi"/>
          <w:sz w:val="20"/>
        </w:rPr>
        <w:t>. Ide o 2-rýchlostný radiálny ventilátor s dobehom.</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Ventilátor bude ovládaný časovým spínačom, resp. bude možné aj manuálne zapnutie samostatným vypínačom. Náhrada odsávaného vzduchu bude prisávaním z okolitých priestorov cez  netesnosti v stavebných konštrukciách.</w:t>
      </w:r>
    </w:p>
    <w:p w:rsidR="00EE6A26" w:rsidRPr="00EE6A26" w:rsidRDefault="00EE6A26" w:rsidP="00EE6A26">
      <w:pPr>
        <w:ind w:right="-284" w:firstLine="567"/>
        <w:jc w:val="both"/>
        <w:rPr>
          <w:rFonts w:asciiTheme="majorHAnsi" w:hAnsiTheme="majorHAnsi" w:cstheme="majorHAnsi"/>
          <w:sz w:val="20"/>
        </w:rPr>
      </w:pPr>
      <w:r w:rsidRPr="00EE6A26">
        <w:rPr>
          <w:rFonts w:asciiTheme="majorHAnsi" w:hAnsiTheme="majorHAnsi" w:cstheme="majorHAnsi"/>
          <w:sz w:val="20"/>
        </w:rPr>
        <w:t>Ventilátor je vybavený spätnou klapkou a časovačom dobehu po vypnutí (súčasť dodávky ventilátora).</w:t>
      </w:r>
    </w:p>
    <w:p w:rsidR="00EE6A26" w:rsidRPr="00EE6A26" w:rsidRDefault="00EE6A26" w:rsidP="00EE6A26">
      <w:pPr>
        <w:pStyle w:val="normlny11"/>
        <w:numPr>
          <w:ilvl w:val="0"/>
          <w:numId w:val="0"/>
        </w:numPr>
        <w:tabs>
          <w:tab w:val="left" w:pos="720"/>
        </w:tabs>
        <w:ind w:right="-284" w:firstLine="567"/>
        <w:rPr>
          <w:rFonts w:asciiTheme="majorHAnsi" w:hAnsiTheme="majorHAnsi" w:cstheme="majorHAnsi"/>
          <w:sz w:val="20"/>
          <w:szCs w:val="20"/>
        </w:rPr>
      </w:pPr>
      <w:r w:rsidRPr="00EE6A26">
        <w:rPr>
          <w:rFonts w:asciiTheme="majorHAnsi" w:hAnsiTheme="majorHAnsi" w:cstheme="majorHAnsi"/>
          <w:sz w:val="20"/>
          <w:szCs w:val="20"/>
        </w:rPr>
        <w:t xml:space="preserve"> Ventilátor je napojený na kruhové spiro potrubie, ktoré bude vyvedené cez fasádu objektu do exteriéru a bude ukončené krycou mriežkou.</w:t>
      </w:r>
    </w:p>
    <w:p w:rsidR="00EE6A26" w:rsidRPr="00EE6A26" w:rsidRDefault="00EE6A26" w:rsidP="00EE6A26">
      <w:pPr>
        <w:pStyle w:val="normlny11"/>
        <w:numPr>
          <w:ilvl w:val="0"/>
          <w:numId w:val="0"/>
        </w:numPr>
        <w:tabs>
          <w:tab w:val="left" w:pos="720"/>
        </w:tabs>
        <w:ind w:right="-284" w:firstLine="567"/>
        <w:rPr>
          <w:rFonts w:asciiTheme="majorHAnsi" w:hAnsiTheme="majorHAnsi" w:cstheme="majorHAnsi"/>
          <w:sz w:val="20"/>
          <w:szCs w:val="20"/>
        </w:rPr>
      </w:pPr>
      <w:r w:rsidRPr="00EE6A26">
        <w:rPr>
          <w:rFonts w:asciiTheme="majorHAnsi" w:hAnsiTheme="majorHAnsi" w:cstheme="majorHAnsi"/>
          <w:sz w:val="20"/>
          <w:szCs w:val="20"/>
        </w:rPr>
        <w:t>Elektrické napojenie ventilátora a jeho ovládanie zabezpečí profesia elektro.</w:t>
      </w:r>
    </w:p>
    <w:p w:rsidR="00EE6A26" w:rsidRPr="00EE6A26" w:rsidRDefault="00EE6A26" w:rsidP="00EE6A26">
      <w:pPr>
        <w:pStyle w:val="normlny11"/>
        <w:numPr>
          <w:ilvl w:val="0"/>
          <w:numId w:val="0"/>
        </w:numPr>
        <w:tabs>
          <w:tab w:val="left" w:pos="720"/>
        </w:tabs>
        <w:ind w:right="-284"/>
        <w:rPr>
          <w:rFonts w:asciiTheme="majorHAnsi" w:hAnsiTheme="majorHAnsi" w:cstheme="majorHAnsi"/>
          <w:sz w:val="20"/>
          <w:szCs w:val="20"/>
        </w:rPr>
      </w:pPr>
    </w:p>
    <w:p w:rsidR="00EE6A26" w:rsidRPr="00EE6A26" w:rsidRDefault="00EE6A26" w:rsidP="00EE6A26">
      <w:pPr>
        <w:pStyle w:val="normlny11"/>
        <w:numPr>
          <w:ilvl w:val="0"/>
          <w:numId w:val="0"/>
        </w:numPr>
        <w:tabs>
          <w:tab w:val="left" w:pos="720"/>
        </w:tabs>
        <w:ind w:left="397" w:right="-284" w:hanging="397"/>
        <w:rPr>
          <w:rFonts w:asciiTheme="majorHAnsi" w:hAnsiTheme="majorHAnsi" w:cstheme="majorHAnsi"/>
          <w:sz w:val="20"/>
          <w:szCs w:val="20"/>
        </w:rPr>
      </w:pPr>
      <w:r w:rsidRPr="00EE6A26">
        <w:rPr>
          <w:rFonts w:asciiTheme="majorHAnsi" w:hAnsiTheme="majorHAnsi" w:cstheme="majorHAnsi"/>
          <w:b/>
          <w:sz w:val="20"/>
          <w:szCs w:val="20"/>
        </w:rPr>
        <w:t>Zariadenie č.8 – Vetranie skladu Fotovoltiky (m.č. 1.26) v objekte SO03</w:t>
      </w:r>
    </w:p>
    <w:p w:rsidR="00EE6A26" w:rsidRPr="00EE6A26" w:rsidRDefault="00EE6A26" w:rsidP="00EE6A26">
      <w:pPr>
        <w:pStyle w:val="Zkladntext"/>
        <w:ind w:right="-284" w:firstLine="567"/>
        <w:rPr>
          <w:rFonts w:asciiTheme="majorHAnsi" w:hAnsiTheme="majorHAnsi" w:cstheme="majorHAnsi"/>
        </w:rPr>
      </w:pPr>
      <w:r w:rsidRPr="00EE6A26">
        <w:rPr>
          <w:rFonts w:asciiTheme="majorHAnsi" w:hAnsiTheme="majorHAnsi" w:cstheme="majorHAnsi"/>
        </w:rPr>
        <w:t>Na vetranie skladu fotovoltiky je navrhnutá lokálna rekuperačná jednotka QUANTUM HR 150. Ide o viacrýchlostnú jednotku s regeneračným typom výmenníka s keramickým jadrom a čistiteľným prachovým filtrom. Jednotka je osadená na obvodovej stene a zo strany exteriéru je ukončená akusticky izolovaným krytom so sieťkou proti hmyzu. Celkové množstvo vetracieho vzduchu je stanovené na základe intenzity výmeny vzduchu v priestore.</w:t>
      </w:r>
    </w:p>
    <w:p w:rsidR="00EE6A26" w:rsidRPr="00EE6A26" w:rsidRDefault="00EE6A26" w:rsidP="00EE6A26">
      <w:pPr>
        <w:pStyle w:val="normlny11"/>
        <w:numPr>
          <w:ilvl w:val="0"/>
          <w:numId w:val="0"/>
        </w:numPr>
        <w:tabs>
          <w:tab w:val="left" w:pos="720"/>
        </w:tabs>
        <w:ind w:right="-284" w:firstLine="567"/>
        <w:rPr>
          <w:rFonts w:asciiTheme="majorHAnsi" w:hAnsiTheme="majorHAnsi" w:cstheme="majorHAnsi"/>
          <w:sz w:val="20"/>
          <w:szCs w:val="20"/>
        </w:rPr>
      </w:pPr>
      <w:r w:rsidRPr="00EE6A26">
        <w:rPr>
          <w:rFonts w:asciiTheme="majorHAnsi" w:hAnsiTheme="majorHAnsi" w:cstheme="majorHAnsi"/>
          <w:sz w:val="20"/>
          <w:szCs w:val="20"/>
        </w:rPr>
        <w:t>Jednotka bude v prevádzke nepretržite počas vykurovacej sezóny, kedy je priestor technickej miestnosti temperovaný (rieši profesia vykurovanie) a v ostatnom období podľa potreby. Jednotka je ovládaná ručne, ovládačom osadeným na stene priamo v miestnosti.</w:t>
      </w:r>
    </w:p>
    <w:p w:rsidR="00EE6A26" w:rsidRPr="00EE6A26" w:rsidRDefault="00EE6A26" w:rsidP="00EE6A26">
      <w:pPr>
        <w:pStyle w:val="normlny11"/>
        <w:numPr>
          <w:ilvl w:val="0"/>
          <w:numId w:val="0"/>
        </w:numPr>
        <w:tabs>
          <w:tab w:val="left" w:pos="720"/>
        </w:tabs>
        <w:ind w:right="-284" w:firstLine="567"/>
        <w:rPr>
          <w:rFonts w:asciiTheme="majorHAnsi" w:hAnsiTheme="majorHAnsi" w:cstheme="majorHAnsi"/>
          <w:sz w:val="20"/>
          <w:szCs w:val="20"/>
        </w:rPr>
      </w:pPr>
      <w:r w:rsidRPr="00EE6A26">
        <w:rPr>
          <w:rFonts w:asciiTheme="majorHAnsi" w:hAnsiTheme="majorHAnsi" w:cstheme="majorHAnsi"/>
          <w:sz w:val="20"/>
          <w:szCs w:val="20"/>
        </w:rPr>
        <w:t>El. napojenie jednotky a prekáblovanie s ovládačom zabezpečí profesia elektro.</w:t>
      </w:r>
    </w:p>
    <w:p w:rsidR="00EE6A26" w:rsidRPr="00EE6A26" w:rsidRDefault="00EE6A26" w:rsidP="00EE6A26">
      <w:pPr>
        <w:pStyle w:val="normlny11"/>
        <w:numPr>
          <w:ilvl w:val="0"/>
          <w:numId w:val="0"/>
        </w:numPr>
        <w:tabs>
          <w:tab w:val="left" w:pos="720"/>
        </w:tabs>
        <w:ind w:right="-284" w:firstLine="567"/>
        <w:rPr>
          <w:rFonts w:asciiTheme="majorHAnsi" w:hAnsiTheme="majorHAnsi" w:cstheme="majorHAnsi"/>
          <w:sz w:val="20"/>
          <w:szCs w:val="20"/>
        </w:rPr>
      </w:pPr>
    </w:p>
    <w:p w:rsidR="00EE6A26" w:rsidRPr="00EE6A26" w:rsidRDefault="00EE6A26" w:rsidP="00EE6A26">
      <w:pPr>
        <w:ind w:right="-284"/>
        <w:jc w:val="both"/>
        <w:rPr>
          <w:rFonts w:asciiTheme="majorHAnsi" w:hAnsiTheme="majorHAnsi" w:cstheme="majorHAnsi"/>
          <w:sz w:val="20"/>
          <w:u w:val="single"/>
        </w:rPr>
      </w:pPr>
      <w:r w:rsidRPr="00EE6A26">
        <w:rPr>
          <w:rFonts w:asciiTheme="majorHAnsi" w:hAnsiTheme="majorHAnsi" w:cstheme="majorHAnsi"/>
          <w:b/>
          <w:sz w:val="20"/>
        </w:rPr>
        <w:t>Zariadenie č.9 – Príprava pre chladenie podstrešných priestorov v objekte SO02 (m.č. 2.05 a 2.06)</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Na chladenie podstrešných priestorov (m.č.2.05 a 2.06) je navrhnuté zariadenie typu MULTISPLIT. Navrhnutý systém tvorí vonkajšia kondenzačná jednotka MXZ-5E102VA a 2 vnútorné nástenné jednotky (MSZ-EF50VGW a MSZ-EF42VGW). Vonkajšia jednotka bude umiestnená na teréne na betónovom základe, resp. oceľovom ráme. Vnútorné nástenné jednotky budú umiestnené na stenách nad oknami podľa výkresovej dokumentácie.</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Pri realizácii stavby sa zatiaľ pripravia iba medené rozvody s komunikačným káblom a potrubia na odvod kondenzátu od vnútorných nástenných jednotiek (profesia ZTI). Profesia elektro zabezpečí prípravu silového kábla pre napojenie vonkajšej kondenzačnej jednotky.</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Pri neskoršej montáži MULTISPLIT systému sa obe vnútorné jednotky a kondenzačná jednotka napoja na pripravené rozvody.  V Cu potrubí bude obiehať chladivo R410A. Rozvody chladiva budú izolované, zasekané v stropoch, stenách, resp. priečkach.</w:t>
      </w:r>
    </w:p>
    <w:p w:rsidR="00EE6A26" w:rsidRPr="00EE6A26" w:rsidRDefault="00EE6A26" w:rsidP="00EE6A26">
      <w:pPr>
        <w:pStyle w:val="normlny11"/>
        <w:numPr>
          <w:ilvl w:val="0"/>
          <w:numId w:val="0"/>
        </w:numPr>
        <w:tabs>
          <w:tab w:val="left" w:pos="720"/>
        </w:tabs>
        <w:ind w:firstLine="567"/>
        <w:rPr>
          <w:rFonts w:asciiTheme="majorHAnsi" w:hAnsiTheme="majorHAnsi" w:cstheme="majorHAnsi"/>
          <w:sz w:val="20"/>
          <w:szCs w:val="20"/>
        </w:rPr>
      </w:pPr>
      <w:r w:rsidRPr="00EE6A26">
        <w:rPr>
          <w:rFonts w:asciiTheme="majorHAnsi" w:hAnsiTheme="majorHAnsi" w:cstheme="majorHAnsi"/>
          <w:sz w:val="20"/>
          <w:szCs w:val="20"/>
        </w:rPr>
        <w:t>Navrhnuté jednotky umožnia dohrev vzduchu v zimnom období.</w:t>
      </w:r>
    </w:p>
    <w:p w:rsidR="00EE6A26" w:rsidRPr="00EE6A26" w:rsidRDefault="00EE6A26" w:rsidP="00EE6A26">
      <w:pPr>
        <w:pStyle w:val="normlny11"/>
        <w:numPr>
          <w:ilvl w:val="0"/>
          <w:numId w:val="0"/>
        </w:numPr>
        <w:tabs>
          <w:tab w:val="left" w:pos="720"/>
        </w:tabs>
        <w:ind w:right="-284" w:firstLine="567"/>
        <w:rPr>
          <w:rFonts w:asciiTheme="majorHAnsi" w:hAnsiTheme="majorHAnsi" w:cstheme="majorHAnsi"/>
          <w:sz w:val="20"/>
          <w:szCs w:val="20"/>
        </w:rPr>
      </w:pPr>
    </w:p>
    <w:p w:rsidR="00EE6A26" w:rsidRPr="00EE6A26" w:rsidRDefault="00EE6A26" w:rsidP="00EE6A26">
      <w:pPr>
        <w:pStyle w:val="normlny11"/>
        <w:numPr>
          <w:ilvl w:val="0"/>
          <w:numId w:val="0"/>
        </w:numPr>
        <w:tabs>
          <w:tab w:val="left" w:pos="720"/>
        </w:tabs>
        <w:ind w:right="-284"/>
        <w:rPr>
          <w:rFonts w:asciiTheme="majorHAnsi" w:hAnsiTheme="majorHAnsi" w:cstheme="majorHAnsi"/>
          <w:sz w:val="20"/>
          <w:szCs w:val="20"/>
        </w:rPr>
      </w:pPr>
    </w:p>
    <w:p w:rsidR="00EE6A26" w:rsidRPr="00EE6A26" w:rsidRDefault="00EE6A26" w:rsidP="00EE6A26">
      <w:pPr>
        <w:pStyle w:val="Zarkazkladnhotextu"/>
        <w:ind w:left="0" w:right="-284"/>
        <w:jc w:val="both"/>
        <w:rPr>
          <w:rFonts w:asciiTheme="majorHAnsi" w:hAnsiTheme="majorHAnsi" w:cstheme="majorHAnsi"/>
          <w:b/>
          <w:sz w:val="20"/>
          <w:u w:val="single"/>
        </w:rPr>
      </w:pPr>
      <w:r w:rsidRPr="00EE6A26">
        <w:rPr>
          <w:rFonts w:asciiTheme="majorHAnsi" w:hAnsiTheme="majorHAnsi" w:cstheme="majorHAnsi"/>
          <w:b/>
          <w:sz w:val="20"/>
          <w:u w:val="single"/>
        </w:rPr>
        <w:t>3. Ochrana proti hluku</w:t>
      </w:r>
    </w:p>
    <w:p w:rsidR="00EE6A26" w:rsidRPr="00EE6A26" w:rsidRDefault="00EE6A26" w:rsidP="00EE6A26">
      <w:pPr>
        <w:pStyle w:val="Zarkazkladnhotextu"/>
        <w:ind w:left="0" w:right="-284"/>
        <w:jc w:val="both"/>
        <w:rPr>
          <w:rFonts w:asciiTheme="majorHAnsi" w:hAnsiTheme="majorHAnsi" w:cstheme="majorHAnsi"/>
          <w:b/>
          <w:sz w:val="20"/>
          <w:u w:val="single"/>
        </w:rPr>
      </w:pPr>
    </w:p>
    <w:p w:rsidR="00EE6A26" w:rsidRPr="00EE6A26" w:rsidRDefault="00EE6A26" w:rsidP="00EE6A26">
      <w:pPr>
        <w:pStyle w:val="Zkladntext"/>
        <w:ind w:right="-284" w:firstLine="851"/>
        <w:rPr>
          <w:rFonts w:asciiTheme="majorHAnsi" w:hAnsiTheme="majorHAnsi" w:cstheme="majorHAnsi"/>
        </w:rPr>
      </w:pPr>
      <w:r w:rsidRPr="00EE6A26">
        <w:rPr>
          <w:rFonts w:asciiTheme="majorHAnsi" w:hAnsiTheme="majorHAnsi" w:cstheme="majorHAnsi"/>
        </w:rPr>
        <w:t>Na zamedzenie šírenia hluku a vibrácií sú navrhnuté nasledujúce opatrenia:</w:t>
      </w:r>
    </w:p>
    <w:p w:rsidR="00EE6A26" w:rsidRPr="00EE6A26" w:rsidRDefault="00EE6A26" w:rsidP="001E7B38">
      <w:pPr>
        <w:pStyle w:val="Zkladntext"/>
        <w:widowControl/>
        <w:numPr>
          <w:ilvl w:val="0"/>
          <w:numId w:val="59"/>
        </w:numPr>
        <w:overflowPunct/>
        <w:autoSpaceDE/>
        <w:autoSpaceDN/>
        <w:adjustRightInd/>
        <w:ind w:right="-284"/>
        <w:textAlignment w:val="auto"/>
        <w:rPr>
          <w:rFonts w:asciiTheme="majorHAnsi" w:hAnsiTheme="majorHAnsi" w:cstheme="majorHAnsi"/>
        </w:rPr>
      </w:pPr>
      <w:r w:rsidRPr="00EE6A26">
        <w:rPr>
          <w:rFonts w:asciiTheme="majorHAnsi" w:hAnsiTheme="majorHAnsi" w:cstheme="majorHAnsi"/>
        </w:rPr>
        <w:t>Potrubie je na závesoch podložené tlmiacou gumou.</w:t>
      </w:r>
    </w:p>
    <w:p w:rsidR="00EE6A26" w:rsidRPr="00EE6A26" w:rsidRDefault="00EE6A26" w:rsidP="001E7B38">
      <w:pPr>
        <w:pStyle w:val="Zkladntext"/>
        <w:widowControl/>
        <w:numPr>
          <w:ilvl w:val="0"/>
          <w:numId w:val="59"/>
        </w:numPr>
        <w:overflowPunct/>
        <w:autoSpaceDE/>
        <w:autoSpaceDN/>
        <w:adjustRightInd/>
        <w:ind w:right="-284"/>
        <w:textAlignment w:val="auto"/>
        <w:rPr>
          <w:rFonts w:asciiTheme="majorHAnsi" w:hAnsiTheme="majorHAnsi" w:cstheme="majorHAnsi"/>
        </w:rPr>
      </w:pPr>
      <w:r w:rsidRPr="00EE6A26">
        <w:rPr>
          <w:rFonts w:asciiTheme="majorHAnsi" w:hAnsiTheme="majorHAnsi" w:cstheme="majorHAnsi"/>
        </w:rPr>
        <w:t>V potrubiach sú osadené tlmiče hluku. Zabraňujú nadmernému šíreniu hluku od ventilátorov v jednotke do vetraných miestností.</w:t>
      </w:r>
    </w:p>
    <w:p w:rsidR="00EE6A26" w:rsidRPr="00EE6A26" w:rsidRDefault="00EE6A26" w:rsidP="001E7B38">
      <w:pPr>
        <w:pStyle w:val="Zkladntext"/>
        <w:widowControl/>
        <w:numPr>
          <w:ilvl w:val="0"/>
          <w:numId w:val="59"/>
        </w:numPr>
        <w:overflowPunct/>
        <w:autoSpaceDE/>
        <w:autoSpaceDN/>
        <w:adjustRightInd/>
        <w:ind w:right="-284"/>
        <w:textAlignment w:val="auto"/>
        <w:rPr>
          <w:rFonts w:asciiTheme="majorHAnsi" w:hAnsiTheme="majorHAnsi" w:cstheme="majorHAnsi"/>
        </w:rPr>
      </w:pPr>
      <w:r w:rsidRPr="00EE6A26">
        <w:rPr>
          <w:rFonts w:asciiTheme="majorHAnsi" w:hAnsiTheme="majorHAnsi" w:cstheme="majorHAnsi"/>
        </w:rPr>
        <w:t>Vzduchotechnické zariadenia budú napojené na potrubnú sieť pomocou pružného napojenia.</w:t>
      </w:r>
    </w:p>
    <w:p w:rsidR="00EE6A26" w:rsidRPr="00EE6A26" w:rsidRDefault="00EE6A26" w:rsidP="00EE6A26">
      <w:pPr>
        <w:pStyle w:val="Zkladntext"/>
        <w:ind w:right="-284"/>
        <w:rPr>
          <w:rFonts w:asciiTheme="majorHAnsi" w:hAnsiTheme="majorHAnsi" w:cstheme="majorHAnsi"/>
          <w:b/>
          <w:u w:val="single"/>
        </w:rPr>
      </w:pPr>
    </w:p>
    <w:p w:rsidR="00EE6A26" w:rsidRPr="00EE6A26" w:rsidRDefault="00EE6A26" w:rsidP="00EE6A26">
      <w:pPr>
        <w:pStyle w:val="Zkladntext"/>
        <w:ind w:right="-284"/>
        <w:jc w:val="left"/>
        <w:rPr>
          <w:rFonts w:asciiTheme="majorHAnsi" w:hAnsiTheme="majorHAnsi" w:cstheme="majorHAnsi"/>
          <w:b/>
          <w:u w:val="single"/>
        </w:rPr>
      </w:pPr>
      <w:r w:rsidRPr="00EE6A26">
        <w:rPr>
          <w:rFonts w:asciiTheme="majorHAnsi" w:hAnsiTheme="majorHAnsi" w:cstheme="majorHAnsi"/>
          <w:b/>
          <w:u w:val="single"/>
        </w:rPr>
        <w:t>4. Povrchová ochrana, izolácie</w:t>
      </w:r>
    </w:p>
    <w:p w:rsidR="00EE6A26" w:rsidRPr="00EE6A26" w:rsidRDefault="00EE6A26" w:rsidP="00EE6A26">
      <w:pPr>
        <w:pStyle w:val="Zkladntext"/>
        <w:ind w:right="-284"/>
        <w:jc w:val="left"/>
        <w:rPr>
          <w:rFonts w:asciiTheme="majorHAnsi" w:hAnsiTheme="majorHAnsi" w:cstheme="majorHAnsi"/>
          <w:b/>
          <w:u w:val="single"/>
        </w:rPr>
      </w:pPr>
    </w:p>
    <w:p w:rsidR="00EE6A26" w:rsidRPr="00EE6A26" w:rsidRDefault="00EE6A26" w:rsidP="00EE6A26">
      <w:pPr>
        <w:pStyle w:val="Zkladntext"/>
        <w:ind w:right="-284" w:firstLine="851"/>
        <w:rPr>
          <w:rFonts w:asciiTheme="majorHAnsi" w:hAnsiTheme="majorHAnsi" w:cstheme="majorHAnsi"/>
        </w:rPr>
      </w:pPr>
      <w:r w:rsidRPr="00EE6A26">
        <w:rPr>
          <w:rFonts w:asciiTheme="majorHAnsi" w:hAnsiTheme="majorHAnsi" w:cstheme="majorHAnsi"/>
        </w:rPr>
        <w:t xml:space="preserve">Vzduchotechnické potrubia v interiéri budú z pozinkovaného plechu bez povrchovej úpravy. </w:t>
      </w:r>
    </w:p>
    <w:p w:rsidR="00EE6A26" w:rsidRPr="00EE6A26" w:rsidRDefault="00EE6A26" w:rsidP="00EE6A26">
      <w:pPr>
        <w:pStyle w:val="Zkladntext"/>
        <w:ind w:right="-284" w:firstLine="851"/>
        <w:rPr>
          <w:rFonts w:asciiTheme="majorHAnsi" w:hAnsiTheme="majorHAnsi" w:cstheme="majorHAnsi"/>
        </w:rPr>
      </w:pPr>
      <w:r w:rsidRPr="00EE6A26">
        <w:rPr>
          <w:rFonts w:asciiTheme="majorHAnsi" w:hAnsiTheme="majorHAnsi" w:cstheme="majorHAnsi"/>
        </w:rPr>
        <w:t>Potrubia slúžiace na úhradu vzduchu z exteriériu budú proti orosovaniu zaizolované tepelnou samolepiacou kaučukovou izoláciou hr.15mm s povrchovou úpravou.</w:t>
      </w:r>
    </w:p>
    <w:p w:rsidR="00EE6A26" w:rsidRPr="00EE6A26" w:rsidRDefault="00EE6A26" w:rsidP="00EE6A26">
      <w:pPr>
        <w:pStyle w:val="Zkladntext"/>
        <w:ind w:right="-284" w:firstLine="851"/>
        <w:rPr>
          <w:rFonts w:asciiTheme="majorHAnsi" w:hAnsiTheme="majorHAnsi" w:cstheme="majorHAnsi"/>
        </w:rPr>
      </w:pPr>
      <w:r w:rsidRPr="00EE6A26">
        <w:rPr>
          <w:rFonts w:asciiTheme="majorHAnsi" w:hAnsiTheme="majorHAnsi" w:cstheme="majorHAnsi"/>
        </w:rPr>
        <w:t>Horná časť stúpacích potrubí bude zaizolovaná samolepiacou kaučukovou izoláciou s hliníkovou fóliou hr.15mm. Túto izoláciu je potrebné realizovať na dĺžke min. 3m od strešnej konštrukcie smerom do interiéru.</w:t>
      </w:r>
    </w:p>
    <w:p w:rsidR="00EE6A26" w:rsidRPr="00EE6A26" w:rsidRDefault="00EE6A26" w:rsidP="00EE6A26">
      <w:pPr>
        <w:pStyle w:val="Zkladntext"/>
        <w:ind w:right="-284" w:firstLine="851"/>
        <w:rPr>
          <w:rFonts w:asciiTheme="majorHAnsi" w:hAnsiTheme="majorHAnsi" w:cstheme="majorHAnsi"/>
        </w:rPr>
      </w:pPr>
      <w:r w:rsidRPr="00EE6A26">
        <w:rPr>
          <w:rFonts w:asciiTheme="majorHAnsi" w:hAnsiTheme="majorHAnsi" w:cstheme="majorHAnsi"/>
        </w:rPr>
        <w:t>Rozvody chladiva budú proti orosovaniu zaizolované kaučukovou izoláciou hr.9mm.</w:t>
      </w:r>
    </w:p>
    <w:p w:rsidR="00EE6A26" w:rsidRPr="00EE6A26" w:rsidRDefault="00EE6A26" w:rsidP="00EE6A26">
      <w:pPr>
        <w:pStyle w:val="Zarkazkladnhotextu"/>
        <w:ind w:left="0"/>
        <w:rPr>
          <w:rFonts w:asciiTheme="majorHAnsi" w:hAnsiTheme="majorHAnsi" w:cstheme="majorHAnsi"/>
          <w:b/>
          <w:sz w:val="20"/>
          <w:highlight w:val="yellow"/>
          <w:u w:val="single"/>
        </w:rPr>
      </w:pPr>
    </w:p>
    <w:p w:rsidR="00EE6A26" w:rsidRPr="00EE6A26" w:rsidRDefault="00EE6A26" w:rsidP="00EE6A26">
      <w:pPr>
        <w:pStyle w:val="Zarkazkladnhotextu"/>
        <w:ind w:left="0"/>
        <w:jc w:val="both"/>
        <w:rPr>
          <w:rFonts w:asciiTheme="majorHAnsi" w:hAnsiTheme="majorHAnsi" w:cstheme="majorHAnsi"/>
          <w:b/>
          <w:sz w:val="20"/>
          <w:u w:val="single"/>
        </w:rPr>
      </w:pPr>
      <w:r w:rsidRPr="00EE6A26">
        <w:rPr>
          <w:rFonts w:asciiTheme="majorHAnsi" w:hAnsiTheme="majorHAnsi" w:cstheme="majorHAnsi"/>
          <w:b/>
          <w:sz w:val="20"/>
          <w:u w:val="single"/>
        </w:rPr>
        <w:lastRenderedPageBreak/>
        <w:t>5. Požiadavky na nadväzné profesie</w:t>
      </w:r>
    </w:p>
    <w:p w:rsidR="00EE6A26" w:rsidRPr="00EE6A26" w:rsidRDefault="00EE6A26" w:rsidP="00EE6A26">
      <w:pPr>
        <w:pStyle w:val="Zarkazkladnhotextu"/>
        <w:ind w:left="0"/>
        <w:jc w:val="both"/>
        <w:rPr>
          <w:rFonts w:asciiTheme="majorHAnsi" w:hAnsiTheme="majorHAnsi" w:cstheme="majorHAnsi"/>
          <w:b/>
          <w:sz w:val="20"/>
        </w:rPr>
      </w:pPr>
    </w:p>
    <w:p w:rsidR="00EE6A26" w:rsidRPr="00EE6A26" w:rsidRDefault="00EE6A26" w:rsidP="00EE6A26">
      <w:pPr>
        <w:pStyle w:val="Zarkazkladnhotextu"/>
        <w:ind w:left="0"/>
        <w:jc w:val="both"/>
        <w:rPr>
          <w:rFonts w:asciiTheme="majorHAnsi" w:hAnsiTheme="majorHAnsi" w:cstheme="majorHAnsi"/>
          <w:b/>
          <w:sz w:val="20"/>
        </w:rPr>
      </w:pPr>
      <w:r w:rsidRPr="00EE6A26">
        <w:rPr>
          <w:rFonts w:asciiTheme="majorHAnsi" w:hAnsiTheme="majorHAnsi" w:cstheme="majorHAnsi"/>
          <w:b/>
          <w:sz w:val="20"/>
        </w:rPr>
        <w:t>5.1 Požiadavky na stavebné úpravy</w:t>
      </w:r>
    </w:p>
    <w:p w:rsidR="00EE6A26" w:rsidRPr="00EE6A26" w:rsidRDefault="00EE6A26" w:rsidP="00EE6A26">
      <w:pPr>
        <w:ind w:left="708"/>
        <w:jc w:val="both"/>
        <w:rPr>
          <w:rFonts w:asciiTheme="majorHAnsi" w:hAnsiTheme="majorHAnsi" w:cstheme="majorHAnsi"/>
          <w:sz w:val="20"/>
        </w:rPr>
      </w:pPr>
      <w:r w:rsidRPr="00EE6A26">
        <w:rPr>
          <w:rFonts w:asciiTheme="majorHAnsi" w:hAnsiTheme="majorHAnsi" w:cstheme="majorHAnsi"/>
          <w:sz w:val="20"/>
        </w:rPr>
        <w:t>- Pripraviť prierazy cez stavebné konštrukcie pre vedenie VZT a Cu potrubí a ich  začistenie po montáži. Stavebná konštrukcia nesmie zaťažovať steny potrubia, aby ich nedeformovala.</w:t>
      </w:r>
    </w:p>
    <w:p w:rsidR="00EE6A26" w:rsidRPr="00EE6A26" w:rsidRDefault="00EE6A26" w:rsidP="00EE6A26">
      <w:pPr>
        <w:ind w:left="708"/>
        <w:jc w:val="both"/>
        <w:rPr>
          <w:rFonts w:asciiTheme="majorHAnsi" w:hAnsiTheme="majorHAnsi" w:cstheme="majorHAnsi"/>
          <w:sz w:val="20"/>
        </w:rPr>
      </w:pPr>
      <w:r w:rsidRPr="00EE6A26">
        <w:rPr>
          <w:rFonts w:asciiTheme="majorHAnsi" w:hAnsiTheme="majorHAnsi" w:cstheme="majorHAnsi"/>
          <w:sz w:val="20"/>
        </w:rPr>
        <w:t>-Zabezpečiť francúzsky dvorec a betónové základy pre osadenie vonkajších kondenzačných jednotiek</w:t>
      </w:r>
    </w:p>
    <w:p w:rsidR="00EE6A26" w:rsidRPr="00EE6A26" w:rsidRDefault="00EE6A26" w:rsidP="00EE6A26">
      <w:pPr>
        <w:ind w:left="708"/>
        <w:jc w:val="both"/>
        <w:rPr>
          <w:rFonts w:asciiTheme="majorHAnsi" w:hAnsiTheme="majorHAnsi" w:cstheme="majorHAnsi"/>
          <w:sz w:val="20"/>
        </w:rPr>
      </w:pPr>
      <w:r w:rsidRPr="00EE6A26">
        <w:rPr>
          <w:rFonts w:asciiTheme="majorHAnsi" w:hAnsiTheme="majorHAnsi" w:cstheme="majorHAnsi"/>
          <w:sz w:val="20"/>
        </w:rPr>
        <w:t>- Pripraviť kanál pre rozvody chladiva a komunikačný kábel ku uvažovanej kondenzačnej jednotke.</w:t>
      </w:r>
    </w:p>
    <w:p w:rsidR="00EE6A26" w:rsidRPr="00EE6A26" w:rsidRDefault="00EE6A26" w:rsidP="00EE6A26">
      <w:pPr>
        <w:ind w:left="708" w:firstLine="12"/>
        <w:jc w:val="both"/>
        <w:rPr>
          <w:rFonts w:asciiTheme="majorHAnsi" w:hAnsiTheme="majorHAnsi" w:cstheme="majorHAnsi"/>
          <w:sz w:val="20"/>
        </w:rPr>
      </w:pPr>
      <w:r w:rsidRPr="00EE6A26">
        <w:rPr>
          <w:rFonts w:asciiTheme="majorHAnsi" w:hAnsiTheme="majorHAnsi" w:cstheme="majorHAnsi"/>
          <w:sz w:val="20"/>
        </w:rPr>
        <w:t xml:space="preserve">-Je nutné skoordinovať montáž vzduchotechniky s montážou ostatných  potrubí, najmä so stúpacími potrubiami kanalizácie a ostatných zdravotechnických potrubí. </w:t>
      </w:r>
    </w:p>
    <w:p w:rsidR="00EE6A26" w:rsidRPr="00EE6A26" w:rsidRDefault="00EE6A26" w:rsidP="00EE6A26">
      <w:pPr>
        <w:ind w:left="708" w:firstLine="12"/>
        <w:jc w:val="both"/>
        <w:rPr>
          <w:rFonts w:asciiTheme="majorHAnsi" w:hAnsiTheme="majorHAnsi" w:cstheme="majorHAnsi"/>
          <w:sz w:val="20"/>
        </w:rPr>
      </w:pPr>
      <w:r w:rsidRPr="00EE6A26">
        <w:rPr>
          <w:rFonts w:asciiTheme="majorHAnsi" w:hAnsiTheme="majorHAnsi" w:cstheme="majorHAnsi"/>
          <w:sz w:val="20"/>
        </w:rPr>
        <w:t>- Podľa výkresovej dokumentácie osadiť bezprahové dvere (BD).</w:t>
      </w:r>
    </w:p>
    <w:p w:rsidR="00EE6A26" w:rsidRPr="00EE6A26" w:rsidRDefault="00EE6A26" w:rsidP="00EE6A26">
      <w:pPr>
        <w:ind w:left="708" w:firstLine="12"/>
        <w:jc w:val="both"/>
        <w:rPr>
          <w:rFonts w:asciiTheme="majorHAnsi" w:hAnsiTheme="majorHAnsi" w:cstheme="majorHAnsi"/>
          <w:sz w:val="20"/>
        </w:rPr>
      </w:pPr>
      <w:r w:rsidRPr="00EE6A26">
        <w:rPr>
          <w:rFonts w:asciiTheme="majorHAnsi" w:hAnsiTheme="majorHAnsi" w:cstheme="majorHAnsi"/>
          <w:sz w:val="20"/>
        </w:rPr>
        <w:t>- Pripraviť prierazy cez stavebné konštrukcie pre vetracie mriežky a protidažďové žalúzie a ich začistenie po montáži.</w:t>
      </w:r>
    </w:p>
    <w:p w:rsidR="00EE6A26" w:rsidRPr="00EE6A26" w:rsidRDefault="00EE6A26" w:rsidP="00EE6A26">
      <w:pPr>
        <w:ind w:left="708" w:firstLine="12"/>
        <w:jc w:val="both"/>
        <w:rPr>
          <w:rFonts w:asciiTheme="majorHAnsi" w:hAnsiTheme="majorHAnsi" w:cstheme="majorHAnsi"/>
          <w:sz w:val="20"/>
        </w:rPr>
      </w:pPr>
      <w:r w:rsidRPr="00EE6A26">
        <w:rPr>
          <w:rFonts w:asciiTheme="majorHAnsi" w:hAnsiTheme="majorHAnsi" w:cstheme="majorHAnsi"/>
          <w:sz w:val="20"/>
        </w:rPr>
        <w:t>- Zaizolovanie a oplechovanie prestupov VZT cez strechu.</w:t>
      </w:r>
    </w:p>
    <w:p w:rsidR="00EE6A26" w:rsidRPr="00EE6A26" w:rsidRDefault="00EE6A26" w:rsidP="00EE6A26">
      <w:pPr>
        <w:jc w:val="both"/>
        <w:rPr>
          <w:rFonts w:asciiTheme="majorHAnsi" w:hAnsiTheme="majorHAnsi" w:cstheme="majorHAnsi"/>
          <w:sz w:val="20"/>
        </w:rPr>
      </w:pPr>
    </w:p>
    <w:p w:rsidR="00EE6A26" w:rsidRPr="00EE6A26" w:rsidRDefault="00EE6A26" w:rsidP="00EE6A26">
      <w:pPr>
        <w:pStyle w:val="Zarkazkladnhotextu"/>
        <w:ind w:left="0"/>
        <w:jc w:val="both"/>
        <w:rPr>
          <w:rFonts w:asciiTheme="majorHAnsi" w:hAnsiTheme="majorHAnsi" w:cstheme="majorHAnsi"/>
          <w:b/>
          <w:sz w:val="20"/>
        </w:rPr>
      </w:pPr>
      <w:r w:rsidRPr="00EE6A26">
        <w:rPr>
          <w:rFonts w:asciiTheme="majorHAnsi" w:hAnsiTheme="majorHAnsi" w:cstheme="majorHAnsi"/>
          <w:b/>
          <w:sz w:val="20"/>
        </w:rPr>
        <w:t>5.2 Požiadavky na ZTI</w:t>
      </w:r>
    </w:p>
    <w:p w:rsidR="00EE6A26" w:rsidRPr="00EE6A26" w:rsidRDefault="00EE6A26" w:rsidP="00EE6A26">
      <w:pPr>
        <w:pStyle w:val="Zarkazkladnhotextu"/>
        <w:ind w:left="0" w:firstLine="705"/>
        <w:jc w:val="both"/>
        <w:rPr>
          <w:rFonts w:asciiTheme="majorHAnsi" w:hAnsiTheme="majorHAnsi" w:cstheme="majorHAnsi"/>
          <w:b/>
          <w:sz w:val="20"/>
        </w:rPr>
      </w:pPr>
      <w:r w:rsidRPr="00EE6A26">
        <w:rPr>
          <w:rFonts w:asciiTheme="majorHAnsi" w:hAnsiTheme="majorHAnsi" w:cstheme="majorHAnsi"/>
          <w:b/>
          <w:sz w:val="20"/>
        </w:rPr>
        <w:tab/>
      </w:r>
    </w:p>
    <w:p w:rsidR="00EE6A26" w:rsidRPr="00EE6A26" w:rsidRDefault="00EE6A26" w:rsidP="00EE6A26">
      <w:pPr>
        <w:pStyle w:val="Zarkazkladnhotextu"/>
        <w:ind w:left="0" w:firstLine="708"/>
        <w:jc w:val="both"/>
        <w:rPr>
          <w:rFonts w:asciiTheme="majorHAnsi" w:hAnsiTheme="majorHAnsi" w:cstheme="majorHAnsi"/>
          <w:sz w:val="20"/>
        </w:rPr>
      </w:pPr>
      <w:r w:rsidRPr="00EE6A26">
        <w:rPr>
          <w:rFonts w:asciiTheme="majorHAnsi" w:hAnsiTheme="majorHAnsi" w:cstheme="majorHAnsi"/>
          <w:sz w:val="20"/>
        </w:rPr>
        <w:t>Kondenzátne potrubie zaústiť do vnútornej kanalizácie cez zápachovú uzávierku. Potrubie na odvod kondenzátu viesť v spáde min. 1%.</w:t>
      </w:r>
    </w:p>
    <w:p w:rsidR="00EE6A26" w:rsidRPr="00EE6A26" w:rsidRDefault="00EE6A26" w:rsidP="00EE6A26">
      <w:pPr>
        <w:pStyle w:val="Zarkazkladnhotextu"/>
        <w:ind w:left="0" w:firstLine="851"/>
        <w:jc w:val="both"/>
        <w:rPr>
          <w:rFonts w:asciiTheme="majorHAnsi" w:hAnsiTheme="majorHAnsi" w:cstheme="majorHAnsi"/>
          <w:sz w:val="20"/>
          <w:u w:val="single"/>
        </w:rPr>
      </w:pPr>
    </w:p>
    <w:p w:rsidR="00EE6A26" w:rsidRPr="00EE6A26" w:rsidRDefault="00EE6A26" w:rsidP="00EE6A26">
      <w:pPr>
        <w:ind w:right="-284"/>
        <w:jc w:val="both"/>
        <w:rPr>
          <w:rFonts w:asciiTheme="majorHAnsi" w:hAnsiTheme="majorHAnsi" w:cstheme="majorHAnsi"/>
          <w:bCs/>
          <w:sz w:val="20"/>
          <w:u w:val="single"/>
        </w:rPr>
      </w:pPr>
      <w:r w:rsidRPr="00EE6A26">
        <w:rPr>
          <w:rFonts w:asciiTheme="majorHAnsi" w:hAnsiTheme="majorHAnsi" w:cstheme="majorHAnsi"/>
          <w:color w:val="000000"/>
          <w:sz w:val="20"/>
          <w:u w:val="single"/>
        </w:rPr>
        <w:t xml:space="preserve">Zariadenie č.1– </w:t>
      </w:r>
      <w:r w:rsidRPr="00EE6A26">
        <w:rPr>
          <w:rFonts w:asciiTheme="majorHAnsi" w:hAnsiTheme="majorHAnsi" w:cstheme="majorHAnsi"/>
          <w:bCs/>
          <w:sz w:val="20"/>
          <w:u w:val="single"/>
        </w:rPr>
        <w:t>Chladenie v objekte SO01 (m.č.1.01, 1.05, 2.02, 2.04)</w:t>
      </w:r>
    </w:p>
    <w:p w:rsidR="00EE6A26" w:rsidRPr="00EE6A26" w:rsidRDefault="00EE6A26" w:rsidP="00EE6A26">
      <w:pPr>
        <w:ind w:right="-426"/>
        <w:jc w:val="both"/>
        <w:rPr>
          <w:rFonts w:asciiTheme="majorHAnsi" w:hAnsiTheme="majorHAnsi" w:cstheme="majorHAnsi"/>
          <w:color w:val="000000"/>
          <w:sz w:val="20"/>
          <w:u w:val="single"/>
        </w:rPr>
      </w:pPr>
    </w:p>
    <w:p w:rsidR="00EE6A26" w:rsidRPr="00EE6A26" w:rsidRDefault="00EE6A26" w:rsidP="00EE6A26">
      <w:pPr>
        <w:pStyle w:val="Zarkazkladnhotextu"/>
        <w:ind w:left="0" w:firstLine="708"/>
        <w:jc w:val="both"/>
        <w:rPr>
          <w:rFonts w:asciiTheme="majorHAnsi" w:hAnsiTheme="majorHAnsi" w:cstheme="majorHAnsi"/>
          <w:sz w:val="20"/>
        </w:rPr>
      </w:pPr>
      <w:r w:rsidRPr="00EE6A26">
        <w:rPr>
          <w:rFonts w:asciiTheme="majorHAnsi" w:hAnsiTheme="majorHAnsi" w:cstheme="majorHAnsi"/>
          <w:sz w:val="20"/>
        </w:rPr>
        <w:t>Odviesť skondenzovanú vodu z vnútorných nástenných klimatizačných jednotiek:</w:t>
      </w:r>
    </w:p>
    <w:p w:rsidR="00EE6A26" w:rsidRPr="00EE6A26" w:rsidRDefault="00EE6A26" w:rsidP="00EE6A26">
      <w:pPr>
        <w:pStyle w:val="Zarkazkladnhotextu"/>
        <w:ind w:left="0"/>
        <w:jc w:val="both"/>
        <w:rPr>
          <w:rFonts w:asciiTheme="majorHAnsi" w:hAnsiTheme="majorHAnsi" w:cstheme="majorHAnsi"/>
          <w:sz w:val="20"/>
        </w:rPr>
      </w:pPr>
      <w:r w:rsidRPr="00EE6A26">
        <w:rPr>
          <w:rFonts w:asciiTheme="majorHAnsi" w:hAnsiTheme="majorHAnsi" w:cstheme="majorHAnsi"/>
          <w:sz w:val="20"/>
        </w:rPr>
        <w:t>MSZ-EF50VGW (zar.č. 1.02-01) – 1ks</w:t>
      </w:r>
    </w:p>
    <w:p w:rsidR="00EE6A26" w:rsidRPr="00EE6A26" w:rsidRDefault="00EE6A26" w:rsidP="00EE6A26">
      <w:pPr>
        <w:pStyle w:val="Zarkazkladnhotextu"/>
        <w:ind w:left="0"/>
        <w:jc w:val="both"/>
        <w:rPr>
          <w:rFonts w:asciiTheme="majorHAnsi" w:hAnsiTheme="majorHAnsi" w:cstheme="majorHAnsi"/>
          <w:sz w:val="20"/>
        </w:rPr>
      </w:pPr>
      <w:r w:rsidRPr="00EE6A26">
        <w:rPr>
          <w:rFonts w:asciiTheme="majorHAnsi" w:hAnsiTheme="majorHAnsi" w:cstheme="majorHAnsi"/>
          <w:sz w:val="20"/>
        </w:rPr>
        <w:t>MSZ-EF18VGW (zar.č. 1.03-01) – 2ks</w:t>
      </w:r>
    </w:p>
    <w:p w:rsidR="00EE6A26" w:rsidRPr="00EE6A26" w:rsidRDefault="00EE6A26" w:rsidP="00EE6A26">
      <w:pPr>
        <w:pStyle w:val="Zarkazkladnhotextu"/>
        <w:ind w:left="0"/>
        <w:jc w:val="both"/>
        <w:rPr>
          <w:rFonts w:asciiTheme="majorHAnsi" w:hAnsiTheme="majorHAnsi" w:cstheme="majorHAnsi"/>
          <w:sz w:val="20"/>
        </w:rPr>
      </w:pPr>
      <w:r w:rsidRPr="00EE6A26">
        <w:rPr>
          <w:rFonts w:asciiTheme="majorHAnsi" w:hAnsiTheme="majorHAnsi" w:cstheme="majorHAnsi"/>
          <w:sz w:val="20"/>
        </w:rPr>
        <w:t>MSZ-EF22VGW (zar.č. 1.04-01) – 1ks</w:t>
      </w:r>
    </w:p>
    <w:p w:rsidR="00EE6A26" w:rsidRPr="00EE6A26" w:rsidRDefault="00EE6A26" w:rsidP="00EE6A26">
      <w:pPr>
        <w:pStyle w:val="Zarkazkladnhotextu"/>
        <w:ind w:left="0"/>
        <w:jc w:val="both"/>
        <w:rPr>
          <w:rFonts w:asciiTheme="majorHAnsi" w:hAnsiTheme="majorHAnsi" w:cstheme="majorHAnsi"/>
          <w:sz w:val="20"/>
        </w:rPr>
      </w:pPr>
      <w:r w:rsidRPr="00EE6A26">
        <w:rPr>
          <w:rFonts w:asciiTheme="majorHAnsi" w:hAnsiTheme="majorHAnsi" w:cstheme="majorHAnsi"/>
          <w:sz w:val="20"/>
        </w:rPr>
        <w:t>MSZ-EF25VGW  (zar.č. 1.05-01) – 1ks</w:t>
      </w:r>
    </w:p>
    <w:p w:rsidR="00EE6A26" w:rsidRPr="00EE6A26" w:rsidRDefault="00EE6A26" w:rsidP="00EE6A26">
      <w:pPr>
        <w:pStyle w:val="Zarkazkladnhotextu"/>
        <w:ind w:left="0" w:firstLine="708"/>
        <w:jc w:val="both"/>
        <w:rPr>
          <w:rFonts w:asciiTheme="majorHAnsi" w:hAnsiTheme="majorHAnsi" w:cstheme="majorHAnsi"/>
          <w:sz w:val="20"/>
        </w:rPr>
      </w:pPr>
    </w:p>
    <w:p w:rsidR="00EE6A26" w:rsidRPr="00EE6A26" w:rsidRDefault="00EE6A26" w:rsidP="00EE6A26">
      <w:pPr>
        <w:pStyle w:val="Zarkazkladnhotextu"/>
        <w:ind w:left="0" w:firstLine="708"/>
        <w:jc w:val="both"/>
        <w:rPr>
          <w:rFonts w:asciiTheme="majorHAnsi" w:hAnsiTheme="majorHAnsi" w:cstheme="majorHAnsi"/>
          <w:sz w:val="20"/>
        </w:rPr>
      </w:pPr>
      <w:r w:rsidRPr="00EE6A26">
        <w:rPr>
          <w:rFonts w:asciiTheme="majorHAnsi" w:hAnsiTheme="majorHAnsi" w:cstheme="majorHAnsi"/>
          <w:sz w:val="20"/>
        </w:rPr>
        <w:t>Potrubie na odvod kondenzátu zaústiť do vnútornej kanalizácie cez zápachovú uzávierku (napr.HL136 al. HL21) a viesť ho v spáde min. 1%.</w:t>
      </w:r>
    </w:p>
    <w:p w:rsidR="00EE6A26" w:rsidRPr="00EE6A26" w:rsidRDefault="00EE6A26" w:rsidP="00EE6A26">
      <w:pPr>
        <w:pStyle w:val="Zarkazkladnhotextu"/>
        <w:ind w:left="0"/>
        <w:jc w:val="both"/>
        <w:rPr>
          <w:rFonts w:asciiTheme="majorHAnsi" w:hAnsiTheme="majorHAnsi" w:cstheme="majorHAnsi"/>
          <w:sz w:val="20"/>
        </w:rPr>
      </w:pPr>
    </w:p>
    <w:p w:rsidR="00EE6A26" w:rsidRPr="00EE6A26" w:rsidRDefault="00EE6A26" w:rsidP="00EE6A26">
      <w:pPr>
        <w:ind w:right="-284"/>
        <w:jc w:val="both"/>
        <w:rPr>
          <w:rFonts w:asciiTheme="majorHAnsi" w:hAnsiTheme="majorHAnsi" w:cstheme="majorHAnsi"/>
          <w:bCs/>
          <w:sz w:val="20"/>
          <w:u w:val="single"/>
        </w:rPr>
      </w:pPr>
      <w:r w:rsidRPr="00EE6A26">
        <w:rPr>
          <w:rFonts w:asciiTheme="majorHAnsi" w:hAnsiTheme="majorHAnsi" w:cstheme="majorHAnsi"/>
          <w:bCs/>
          <w:sz w:val="20"/>
          <w:u w:val="single"/>
        </w:rPr>
        <w:t>Zariadenie č.9 – Príprava pre chladenie podstrešných priestorov v objekte SO02 (m.č. 2.05 a 2.06)</w:t>
      </w:r>
    </w:p>
    <w:p w:rsidR="00EE6A26" w:rsidRPr="00EE6A26" w:rsidRDefault="00EE6A26" w:rsidP="00EE6A26">
      <w:pPr>
        <w:ind w:right="-284"/>
        <w:jc w:val="both"/>
        <w:rPr>
          <w:rFonts w:asciiTheme="majorHAnsi" w:hAnsiTheme="majorHAnsi" w:cstheme="majorHAnsi"/>
          <w:bCs/>
          <w:sz w:val="20"/>
        </w:rPr>
      </w:pPr>
    </w:p>
    <w:p w:rsidR="00EE6A26" w:rsidRPr="00EE6A26" w:rsidRDefault="00EE6A26" w:rsidP="00EE6A26">
      <w:pPr>
        <w:pStyle w:val="Zarkazkladnhotextu"/>
        <w:ind w:left="0" w:firstLine="708"/>
        <w:jc w:val="both"/>
        <w:rPr>
          <w:rFonts w:asciiTheme="majorHAnsi" w:hAnsiTheme="majorHAnsi" w:cstheme="majorHAnsi"/>
          <w:sz w:val="20"/>
        </w:rPr>
      </w:pPr>
      <w:r w:rsidRPr="00EE6A26">
        <w:rPr>
          <w:rFonts w:asciiTheme="majorHAnsi" w:hAnsiTheme="majorHAnsi" w:cstheme="majorHAnsi"/>
          <w:sz w:val="20"/>
        </w:rPr>
        <w:t>Pripraviť rozvody pre odvod skondenzovanej vody pre možnosť osadenia vnútorných nástenných klimatizačných jednotiek:</w:t>
      </w:r>
    </w:p>
    <w:p w:rsidR="00EE6A26" w:rsidRPr="00EE6A26" w:rsidRDefault="00EE6A26" w:rsidP="00EE6A26">
      <w:pPr>
        <w:pStyle w:val="Zarkazkladnhotextu"/>
        <w:ind w:left="0"/>
        <w:jc w:val="both"/>
        <w:rPr>
          <w:rFonts w:asciiTheme="majorHAnsi" w:hAnsiTheme="majorHAnsi" w:cstheme="majorHAnsi"/>
          <w:sz w:val="20"/>
        </w:rPr>
      </w:pPr>
      <w:r w:rsidRPr="00EE6A26">
        <w:rPr>
          <w:rFonts w:asciiTheme="majorHAnsi" w:hAnsiTheme="majorHAnsi" w:cstheme="majorHAnsi"/>
          <w:sz w:val="20"/>
        </w:rPr>
        <w:t>MSZ-EF50VGW (uvažované zariadenie pre chladenie m.č.2.05) – 1ks</w:t>
      </w:r>
    </w:p>
    <w:p w:rsidR="00EE6A26" w:rsidRPr="00EE6A26" w:rsidRDefault="00EE6A26" w:rsidP="00EE6A26">
      <w:pPr>
        <w:pStyle w:val="Zarkazkladnhotextu"/>
        <w:ind w:left="0"/>
        <w:jc w:val="both"/>
        <w:rPr>
          <w:rFonts w:asciiTheme="majorHAnsi" w:hAnsiTheme="majorHAnsi" w:cstheme="majorHAnsi"/>
          <w:sz w:val="20"/>
        </w:rPr>
      </w:pPr>
      <w:r w:rsidRPr="00EE6A26">
        <w:rPr>
          <w:rFonts w:asciiTheme="majorHAnsi" w:hAnsiTheme="majorHAnsi" w:cstheme="majorHAnsi"/>
          <w:sz w:val="20"/>
        </w:rPr>
        <w:t>MSZ-EF42VGW (uvažované zariadenie pre chladenie m.č.2.06) – 1ks</w:t>
      </w:r>
    </w:p>
    <w:p w:rsidR="00EE6A26" w:rsidRPr="00EE6A26" w:rsidRDefault="00EE6A26" w:rsidP="00EE6A26">
      <w:pPr>
        <w:pStyle w:val="Zarkazkladnhotextu"/>
        <w:ind w:left="0" w:firstLine="708"/>
        <w:jc w:val="both"/>
        <w:rPr>
          <w:rFonts w:asciiTheme="majorHAnsi" w:hAnsiTheme="majorHAnsi" w:cstheme="majorHAnsi"/>
          <w:sz w:val="20"/>
        </w:rPr>
      </w:pPr>
    </w:p>
    <w:p w:rsidR="00EE6A26" w:rsidRPr="00EE6A26" w:rsidRDefault="00EE6A26" w:rsidP="00EE6A26">
      <w:pPr>
        <w:pStyle w:val="Zarkazkladnhotextu"/>
        <w:ind w:left="0" w:firstLine="708"/>
        <w:jc w:val="both"/>
        <w:rPr>
          <w:rFonts w:asciiTheme="majorHAnsi" w:hAnsiTheme="majorHAnsi" w:cstheme="majorHAnsi"/>
          <w:sz w:val="20"/>
        </w:rPr>
      </w:pPr>
      <w:r w:rsidRPr="00EE6A26">
        <w:rPr>
          <w:rFonts w:asciiTheme="majorHAnsi" w:hAnsiTheme="majorHAnsi" w:cstheme="majorHAnsi"/>
          <w:sz w:val="20"/>
        </w:rPr>
        <w:t>Potrubie na odvod kondenzátu zaústiť do vnútornej kanalizácie cez zápachovú uzávierku (napr.HL136 al. HL21) a viesť ho v spáde min. 1%.</w:t>
      </w:r>
    </w:p>
    <w:p w:rsidR="00EE6A26" w:rsidRPr="00EE6A26" w:rsidRDefault="00EE6A26" w:rsidP="00EE6A26">
      <w:pPr>
        <w:pStyle w:val="Zarkazkladnhotextu"/>
        <w:ind w:left="0"/>
        <w:jc w:val="both"/>
        <w:rPr>
          <w:rFonts w:asciiTheme="majorHAnsi" w:hAnsiTheme="majorHAnsi" w:cstheme="majorHAnsi"/>
          <w:sz w:val="20"/>
          <w:highlight w:val="yellow"/>
        </w:rPr>
      </w:pPr>
    </w:p>
    <w:p w:rsidR="00EE6A26" w:rsidRPr="00EE6A26" w:rsidRDefault="00EE6A26" w:rsidP="00EE6A26">
      <w:pPr>
        <w:jc w:val="both"/>
        <w:rPr>
          <w:rFonts w:asciiTheme="majorHAnsi" w:hAnsiTheme="majorHAnsi" w:cstheme="majorHAnsi"/>
          <w:b/>
          <w:bCs/>
          <w:sz w:val="20"/>
        </w:rPr>
      </w:pPr>
      <w:r w:rsidRPr="00EE6A26">
        <w:rPr>
          <w:rFonts w:asciiTheme="majorHAnsi" w:hAnsiTheme="majorHAnsi" w:cstheme="majorHAnsi"/>
          <w:b/>
          <w:bCs/>
          <w:sz w:val="20"/>
        </w:rPr>
        <w:t>5.3 Požiadavky na elektro:</w:t>
      </w:r>
    </w:p>
    <w:p w:rsidR="00EE6A26" w:rsidRPr="00EE6A26" w:rsidRDefault="00EE6A26" w:rsidP="00EE6A26">
      <w:pPr>
        <w:pStyle w:val="Zarkazkladnhotextu"/>
        <w:ind w:left="0" w:firstLine="567"/>
        <w:jc w:val="both"/>
        <w:rPr>
          <w:rFonts w:asciiTheme="majorHAnsi" w:hAnsiTheme="majorHAnsi" w:cstheme="majorHAnsi"/>
          <w:sz w:val="20"/>
        </w:rPr>
      </w:pPr>
      <w:r w:rsidRPr="00EE6A26">
        <w:rPr>
          <w:rFonts w:asciiTheme="majorHAnsi" w:hAnsiTheme="majorHAnsi" w:cstheme="majorHAnsi"/>
          <w:sz w:val="20"/>
        </w:rPr>
        <w:t xml:space="preserve">Previesť elektrické napájanie vzduchotechnických a chladiacich zariadení. </w:t>
      </w:r>
    </w:p>
    <w:p w:rsidR="00EE6A26" w:rsidRPr="00EE6A26" w:rsidRDefault="00EE6A26" w:rsidP="00EE6A26">
      <w:pPr>
        <w:pStyle w:val="Zarkazkladnhotextu"/>
        <w:ind w:left="0"/>
        <w:jc w:val="both"/>
        <w:rPr>
          <w:rFonts w:asciiTheme="majorHAnsi" w:hAnsiTheme="majorHAnsi" w:cstheme="majorHAnsi"/>
          <w:sz w:val="20"/>
          <w:u w:val="single"/>
        </w:rPr>
      </w:pPr>
    </w:p>
    <w:p w:rsidR="00EE6A26" w:rsidRPr="00EE6A26" w:rsidRDefault="00EE6A26" w:rsidP="00EE6A26">
      <w:pPr>
        <w:pStyle w:val="Zarkazkladnhotextu"/>
        <w:ind w:left="0"/>
        <w:jc w:val="both"/>
        <w:rPr>
          <w:rFonts w:asciiTheme="majorHAnsi" w:hAnsiTheme="majorHAnsi" w:cstheme="majorHAnsi"/>
          <w:sz w:val="20"/>
        </w:rPr>
      </w:pPr>
      <w:r w:rsidRPr="00EE6A26">
        <w:rPr>
          <w:rFonts w:asciiTheme="majorHAnsi" w:hAnsiTheme="majorHAnsi" w:cstheme="majorHAnsi"/>
          <w:color w:val="000000"/>
          <w:sz w:val="20"/>
          <w:u w:val="single"/>
        </w:rPr>
        <w:t xml:space="preserve">Zariadenie č.1– </w:t>
      </w:r>
      <w:r w:rsidRPr="00EE6A26">
        <w:rPr>
          <w:rFonts w:asciiTheme="majorHAnsi" w:hAnsiTheme="majorHAnsi" w:cstheme="majorHAnsi"/>
          <w:bCs/>
          <w:sz w:val="20"/>
          <w:u w:val="single"/>
        </w:rPr>
        <w:t>Chladenie v objekte SO01 (m.č.1.01, 1.05, 2.02, 2.04)</w:t>
      </w:r>
    </w:p>
    <w:p w:rsidR="00EE6A26" w:rsidRPr="00EE6A26" w:rsidRDefault="00EE6A26" w:rsidP="00EE6A26">
      <w:pPr>
        <w:ind w:right="-284"/>
        <w:jc w:val="both"/>
        <w:rPr>
          <w:rFonts w:asciiTheme="majorHAnsi" w:hAnsiTheme="majorHAnsi" w:cstheme="majorHAnsi"/>
          <w:bCs/>
          <w:sz w:val="20"/>
          <w:u w:val="single"/>
        </w:rPr>
      </w:pPr>
    </w:p>
    <w:p w:rsidR="00EE6A26" w:rsidRPr="00EE6A26" w:rsidRDefault="00EE6A26" w:rsidP="00EE6A26">
      <w:pPr>
        <w:pStyle w:val="Odsekzoznamu"/>
        <w:numPr>
          <w:ilvl w:val="0"/>
          <w:numId w:val="28"/>
        </w:numPr>
        <w:autoSpaceDE w:val="0"/>
        <w:autoSpaceDN w:val="0"/>
        <w:adjustRightInd w:val="0"/>
        <w:contextualSpacing w:val="0"/>
        <w:jc w:val="both"/>
        <w:rPr>
          <w:rFonts w:asciiTheme="majorHAnsi" w:hAnsiTheme="majorHAnsi" w:cstheme="majorHAnsi"/>
          <w:sz w:val="20"/>
          <w:szCs w:val="20"/>
        </w:rPr>
      </w:pPr>
      <w:r w:rsidRPr="00EE6A26">
        <w:rPr>
          <w:rFonts w:asciiTheme="majorHAnsi" w:hAnsiTheme="majorHAnsi" w:cstheme="majorHAnsi"/>
          <w:sz w:val="20"/>
          <w:szCs w:val="20"/>
        </w:rPr>
        <w:lastRenderedPageBreak/>
        <w:t xml:space="preserve">Zabezpečiť elektrické napojenie vonkajšej kondenzačnej jednotky: </w:t>
      </w:r>
    </w:p>
    <w:p w:rsidR="00EE6A26" w:rsidRPr="00EE6A26" w:rsidRDefault="00EE6A26" w:rsidP="00EE6A26">
      <w:pPr>
        <w:autoSpaceDE w:val="0"/>
        <w:autoSpaceDN w:val="0"/>
        <w:adjustRightInd w:val="0"/>
        <w:ind w:firstLine="567"/>
        <w:jc w:val="both"/>
        <w:rPr>
          <w:rFonts w:asciiTheme="majorHAnsi" w:hAnsiTheme="majorHAnsi" w:cstheme="majorHAnsi"/>
          <w:sz w:val="20"/>
        </w:rPr>
      </w:pPr>
      <w:r w:rsidRPr="00EE6A26">
        <w:rPr>
          <w:rFonts w:asciiTheme="majorHAnsi" w:hAnsiTheme="majorHAnsi" w:cstheme="majorHAnsi"/>
          <w:sz w:val="20"/>
        </w:rPr>
        <w:t>MXZ-5E102VA, poz.č.1.01-01 – 1ks:</w:t>
      </w:r>
    </w:p>
    <w:p w:rsidR="00EE6A26" w:rsidRPr="00EE6A26" w:rsidRDefault="00EE6A26" w:rsidP="00EE6A26">
      <w:pPr>
        <w:pStyle w:val="Zarkazkladnhotextu"/>
        <w:numPr>
          <w:ilvl w:val="0"/>
          <w:numId w:val="27"/>
        </w:numPr>
        <w:spacing w:after="0"/>
        <w:jc w:val="both"/>
        <w:rPr>
          <w:rFonts w:asciiTheme="majorHAnsi" w:hAnsiTheme="majorHAnsi" w:cstheme="majorHAnsi"/>
          <w:sz w:val="20"/>
        </w:rPr>
      </w:pPr>
      <w:r w:rsidRPr="00EE6A26">
        <w:rPr>
          <w:rFonts w:asciiTheme="majorHAnsi" w:hAnsiTheme="majorHAnsi" w:cstheme="majorHAnsi"/>
          <w:sz w:val="20"/>
        </w:rPr>
        <w:t>príkon: N=3,91 kW (1~230V/50Hz)</w:t>
      </w:r>
    </w:p>
    <w:p w:rsidR="00EE6A26" w:rsidRPr="00EE6A26" w:rsidRDefault="00EE6A26" w:rsidP="00EE6A26">
      <w:pPr>
        <w:pStyle w:val="Zarkazkladnhotextu"/>
        <w:numPr>
          <w:ilvl w:val="0"/>
          <w:numId w:val="27"/>
        </w:numPr>
        <w:spacing w:after="0"/>
        <w:jc w:val="both"/>
        <w:rPr>
          <w:rFonts w:asciiTheme="majorHAnsi" w:hAnsiTheme="majorHAnsi" w:cstheme="majorHAnsi"/>
          <w:sz w:val="20"/>
        </w:rPr>
      </w:pPr>
      <w:r w:rsidRPr="00EE6A26">
        <w:rPr>
          <w:rFonts w:asciiTheme="majorHAnsi" w:hAnsiTheme="majorHAnsi" w:cstheme="majorHAnsi"/>
          <w:sz w:val="20"/>
        </w:rPr>
        <w:t>odporúčané istenie: 25A</w:t>
      </w:r>
    </w:p>
    <w:p w:rsidR="00EE6A26" w:rsidRPr="00EE6A26" w:rsidRDefault="00EE6A26" w:rsidP="00EE6A26">
      <w:pPr>
        <w:pStyle w:val="Odsekzoznamu"/>
        <w:numPr>
          <w:ilvl w:val="0"/>
          <w:numId w:val="27"/>
        </w:numPr>
        <w:autoSpaceDE w:val="0"/>
        <w:autoSpaceDN w:val="0"/>
        <w:adjustRightInd w:val="0"/>
        <w:contextualSpacing w:val="0"/>
        <w:rPr>
          <w:rFonts w:asciiTheme="majorHAnsi" w:hAnsiTheme="majorHAnsi" w:cstheme="majorHAnsi"/>
          <w:sz w:val="20"/>
          <w:szCs w:val="20"/>
        </w:rPr>
      </w:pPr>
      <w:r w:rsidRPr="00EE6A26">
        <w:rPr>
          <w:rFonts w:asciiTheme="majorHAnsi" w:hAnsiTheme="majorHAnsi" w:cstheme="majorHAnsi"/>
          <w:sz w:val="20"/>
          <w:szCs w:val="20"/>
        </w:rPr>
        <w:t>vnútorné jednotky budú s vonkajšou prepojené komunikačným káblom, zabezpečí profesia VZT</w:t>
      </w:r>
    </w:p>
    <w:p w:rsidR="00EE6A26" w:rsidRPr="00EE6A26" w:rsidRDefault="00EE6A26" w:rsidP="00EE6A26">
      <w:pPr>
        <w:pStyle w:val="Odsekzoznamu"/>
        <w:numPr>
          <w:ilvl w:val="0"/>
          <w:numId w:val="27"/>
        </w:numPr>
        <w:autoSpaceDE w:val="0"/>
        <w:autoSpaceDN w:val="0"/>
        <w:adjustRightInd w:val="0"/>
        <w:contextualSpacing w:val="0"/>
        <w:rPr>
          <w:rFonts w:asciiTheme="majorHAnsi" w:hAnsiTheme="majorHAnsi" w:cstheme="majorHAnsi"/>
          <w:sz w:val="20"/>
          <w:szCs w:val="20"/>
        </w:rPr>
      </w:pPr>
      <w:r w:rsidRPr="00EE6A26">
        <w:rPr>
          <w:rFonts w:asciiTheme="majorHAnsi" w:hAnsiTheme="majorHAnsi" w:cstheme="majorHAnsi"/>
          <w:sz w:val="20"/>
          <w:szCs w:val="20"/>
        </w:rPr>
        <w:t>nástenné jednotky budú ovládané diaľkovým infračerveným ovládačom</w:t>
      </w:r>
    </w:p>
    <w:p w:rsidR="00EE6A26" w:rsidRPr="00EE6A26" w:rsidRDefault="00EE6A26" w:rsidP="00EE6A26">
      <w:pPr>
        <w:pStyle w:val="Zarkazkladnhotextu"/>
        <w:ind w:left="0"/>
        <w:jc w:val="both"/>
        <w:rPr>
          <w:rFonts w:asciiTheme="majorHAnsi" w:hAnsiTheme="majorHAnsi" w:cstheme="majorHAnsi"/>
          <w:sz w:val="20"/>
          <w:u w:val="single"/>
        </w:rPr>
      </w:pPr>
    </w:p>
    <w:p w:rsidR="00EE6A26" w:rsidRPr="00EE6A26" w:rsidRDefault="00EE6A26" w:rsidP="00EE6A26">
      <w:pPr>
        <w:pStyle w:val="Zarkazkladnhotextu"/>
        <w:ind w:left="0"/>
        <w:jc w:val="both"/>
        <w:rPr>
          <w:rFonts w:asciiTheme="majorHAnsi" w:hAnsiTheme="majorHAnsi" w:cstheme="majorHAnsi"/>
          <w:bCs/>
          <w:sz w:val="20"/>
          <w:u w:val="single"/>
        </w:rPr>
      </w:pPr>
      <w:r w:rsidRPr="00EE6A26">
        <w:rPr>
          <w:rFonts w:asciiTheme="majorHAnsi" w:hAnsiTheme="majorHAnsi" w:cstheme="majorHAnsi"/>
          <w:sz w:val="20"/>
          <w:u w:val="single"/>
        </w:rPr>
        <w:t xml:space="preserve">Zariadenie č.2 – </w:t>
      </w:r>
      <w:r w:rsidRPr="00EE6A26">
        <w:rPr>
          <w:rFonts w:asciiTheme="majorHAnsi" w:hAnsiTheme="majorHAnsi" w:cstheme="majorHAnsi"/>
          <w:bCs/>
          <w:sz w:val="20"/>
          <w:u w:val="single"/>
        </w:rPr>
        <w:t>Vetranie hygienických zariadení a upratovacích komôr – m.č.1.03, 1.06, 1.07,1.08 a 2.03 v objekte SO01; m.č. 1.20 a 1.21 v objekte SO02</w:t>
      </w:r>
    </w:p>
    <w:p w:rsidR="00EE6A26" w:rsidRPr="00EE6A26" w:rsidRDefault="00EE6A26" w:rsidP="00EE6A26">
      <w:pPr>
        <w:autoSpaceDE w:val="0"/>
        <w:autoSpaceDN w:val="0"/>
        <w:adjustRightInd w:val="0"/>
        <w:ind w:left="708"/>
        <w:jc w:val="both"/>
        <w:rPr>
          <w:rFonts w:asciiTheme="majorHAnsi" w:hAnsiTheme="majorHAnsi" w:cstheme="majorHAnsi"/>
          <w:sz w:val="20"/>
        </w:rPr>
      </w:pPr>
      <w:bookmarkStart w:id="115" w:name="_Hlk2084020"/>
      <w:r w:rsidRPr="00EE6A26">
        <w:rPr>
          <w:rFonts w:asciiTheme="majorHAnsi" w:hAnsiTheme="majorHAnsi" w:cstheme="majorHAnsi"/>
          <w:sz w:val="20"/>
        </w:rPr>
        <w:t xml:space="preserve">1.  Zabezpečiť elektrické napojenie a ovládanie odvodných radiálnych ventilátorov QX100T,    poz.č.2.01-01, 2.01-02 a 2.01-05 – </w:t>
      </w:r>
      <w:r w:rsidRPr="00EE6A26">
        <w:rPr>
          <w:rFonts w:asciiTheme="majorHAnsi" w:hAnsiTheme="majorHAnsi" w:cstheme="majorHAnsi"/>
          <w:color w:val="000000" w:themeColor="text1"/>
          <w:sz w:val="20"/>
        </w:rPr>
        <w:t>8</w:t>
      </w:r>
      <w:r w:rsidRPr="00EE6A26">
        <w:rPr>
          <w:rFonts w:asciiTheme="majorHAnsi" w:hAnsiTheme="majorHAnsi" w:cstheme="majorHAnsi"/>
          <w:sz w:val="20"/>
        </w:rPr>
        <w:t>ks:</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 xml:space="preserve">N=28W </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(1~230V/50Hz)</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Ventilátor bude spúšťaný samostatným nástenným vypínačom, resp. bude ovládaný na svetlo</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 xml:space="preserve">Ventilátor bude s časovým dobehom </w:t>
      </w:r>
      <w:r w:rsidRPr="00EE6A26">
        <w:rPr>
          <w:rFonts w:asciiTheme="majorHAnsi" w:hAnsiTheme="majorHAnsi" w:cstheme="majorHAnsi"/>
          <w:sz w:val="20"/>
          <w:szCs w:val="20"/>
          <w:lang w:val="en-US"/>
        </w:rPr>
        <w:t>(</w:t>
      </w:r>
      <w:r w:rsidRPr="00EE6A26">
        <w:rPr>
          <w:rFonts w:asciiTheme="majorHAnsi" w:hAnsiTheme="majorHAnsi" w:cstheme="majorHAnsi"/>
          <w:sz w:val="20"/>
          <w:szCs w:val="20"/>
        </w:rPr>
        <w:t>súčasť dodávky ventilátora</w:t>
      </w:r>
      <w:r w:rsidRPr="00EE6A26">
        <w:rPr>
          <w:rFonts w:asciiTheme="majorHAnsi" w:hAnsiTheme="majorHAnsi" w:cstheme="majorHAnsi"/>
          <w:sz w:val="20"/>
          <w:szCs w:val="20"/>
          <w:lang w:val="en-US"/>
        </w:rPr>
        <w:t>)</w:t>
      </w:r>
    </w:p>
    <w:bookmarkEnd w:id="115"/>
    <w:p w:rsidR="00EE6A26" w:rsidRPr="00EE6A26" w:rsidRDefault="00EE6A26" w:rsidP="00EE6A26">
      <w:pPr>
        <w:pStyle w:val="Zarkazkladnhotextu"/>
        <w:ind w:left="0"/>
        <w:jc w:val="both"/>
        <w:rPr>
          <w:rFonts w:asciiTheme="majorHAnsi" w:hAnsiTheme="majorHAnsi" w:cstheme="majorHAnsi"/>
          <w:sz w:val="20"/>
          <w:highlight w:val="yellow"/>
          <w:u w:val="single"/>
        </w:rPr>
      </w:pPr>
    </w:p>
    <w:p w:rsidR="00EE6A26" w:rsidRPr="00EE6A26" w:rsidRDefault="00EE6A26" w:rsidP="00EE6A26">
      <w:pPr>
        <w:ind w:right="-284"/>
        <w:jc w:val="both"/>
        <w:rPr>
          <w:rFonts w:asciiTheme="majorHAnsi" w:hAnsiTheme="majorHAnsi" w:cstheme="majorHAnsi"/>
          <w:sz w:val="20"/>
          <w:u w:val="single"/>
        </w:rPr>
      </w:pPr>
      <w:r w:rsidRPr="00EE6A26">
        <w:rPr>
          <w:rFonts w:asciiTheme="majorHAnsi" w:hAnsiTheme="majorHAnsi" w:cstheme="majorHAnsi"/>
          <w:sz w:val="20"/>
          <w:u w:val="single"/>
        </w:rPr>
        <w:t xml:space="preserve">Zariadenie č.3 – </w:t>
      </w:r>
      <w:r w:rsidRPr="00EE6A26">
        <w:rPr>
          <w:rFonts w:asciiTheme="majorHAnsi" w:hAnsiTheme="majorHAnsi" w:cstheme="majorHAnsi"/>
          <w:bCs/>
          <w:sz w:val="20"/>
          <w:u w:val="single"/>
        </w:rPr>
        <w:t>Nútené vetranie m.č.0.03 – Nerezové nádrže a m.č. 1.13 – Lisovňa/fľaškovňa v objekte SO02</w:t>
      </w:r>
    </w:p>
    <w:p w:rsidR="00EE6A26" w:rsidRPr="00EE6A26" w:rsidRDefault="00EE6A26" w:rsidP="00EE6A26">
      <w:pPr>
        <w:pStyle w:val="Zarkazkladnhotextu"/>
        <w:ind w:left="0"/>
        <w:jc w:val="both"/>
        <w:rPr>
          <w:rFonts w:asciiTheme="majorHAnsi" w:hAnsiTheme="majorHAnsi" w:cstheme="majorHAnsi"/>
          <w:sz w:val="20"/>
          <w:u w:val="single"/>
        </w:rPr>
      </w:pPr>
    </w:p>
    <w:p w:rsidR="00EE6A26" w:rsidRPr="00EE6A26" w:rsidRDefault="00EE6A26" w:rsidP="00EE6A26">
      <w:pPr>
        <w:pStyle w:val="Odsekzoznamu"/>
        <w:numPr>
          <w:ilvl w:val="0"/>
          <w:numId w:val="31"/>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Zabezpečiť elektrické napojenie a ovládanie odvodných radiálnych ventilátorov „K 160 XL Sileo“, poz.č.3.01-02 - 2ks:</w:t>
      </w:r>
    </w:p>
    <w:p w:rsidR="00EE6A26" w:rsidRPr="00EE6A26" w:rsidRDefault="00EE6A26" w:rsidP="00EE6A26">
      <w:pPr>
        <w:pStyle w:val="Zarkazkladnhotextu"/>
        <w:numPr>
          <w:ilvl w:val="0"/>
          <w:numId w:val="27"/>
        </w:numPr>
        <w:spacing w:after="0"/>
        <w:jc w:val="both"/>
        <w:rPr>
          <w:rFonts w:asciiTheme="majorHAnsi" w:hAnsiTheme="majorHAnsi" w:cstheme="majorHAnsi"/>
          <w:sz w:val="20"/>
        </w:rPr>
      </w:pPr>
      <w:r w:rsidRPr="00EE6A26">
        <w:rPr>
          <w:rFonts w:asciiTheme="majorHAnsi" w:hAnsiTheme="majorHAnsi" w:cstheme="majorHAnsi"/>
          <w:sz w:val="20"/>
        </w:rPr>
        <w:t>príkon: N=100 W (1~230V/50Hz)</w:t>
      </w:r>
    </w:p>
    <w:p w:rsidR="00EE6A26" w:rsidRPr="00EE6A26" w:rsidRDefault="00EE6A26" w:rsidP="00EE6A26">
      <w:pPr>
        <w:pStyle w:val="Odsekzoznamu"/>
        <w:numPr>
          <w:ilvl w:val="0"/>
          <w:numId w:val="27"/>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Ventilátory budú spúšťané samostatným nástenným vypínačom, resp. podľa snímača CO</w:t>
      </w:r>
      <w:r w:rsidRPr="00EE6A26">
        <w:rPr>
          <w:rFonts w:asciiTheme="majorHAnsi" w:hAnsiTheme="majorHAnsi" w:cstheme="majorHAnsi"/>
          <w:sz w:val="20"/>
          <w:szCs w:val="20"/>
          <w:vertAlign w:val="subscript"/>
        </w:rPr>
        <w:t>2</w:t>
      </w:r>
    </w:p>
    <w:p w:rsidR="00EE6A26" w:rsidRPr="00EE6A26" w:rsidRDefault="00EE6A26" w:rsidP="00EE6A26">
      <w:pPr>
        <w:autoSpaceDE w:val="0"/>
        <w:autoSpaceDN w:val="0"/>
        <w:adjustRightInd w:val="0"/>
        <w:jc w:val="both"/>
        <w:rPr>
          <w:rFonts w:asciiTheme="majorHAnsi" w:hAnsiTheme="majorHAnsi" w:cstheme="majorHAnsi"/>
          <w:sz w:val="20"/>
          <w:highlight w:val="yellow"/>
        </w:rPr>
      </w:pPr>
    </w:p>
    <w:p w:rsidR="00EE6A26" w:rsidRPr="00EE6A26" w:rsidRDefault="00EE6A26" w:rsidP="00EE6A26">
      <w:pPr>
        <w:pStyle w:val="normlny11"/>
        <w:numPr>
          <w:ilvl w:val="0"/>
          <w:numId w:val="0"/>
        </w:numPr>
        <w:tabs>
          <w:tab w:val="left" w:pos="720"/>
        </w:tabs>
        <w:rPr>
          <w:rFonts w:asciiTheme="majorHAnsi" w:hAnsiTheme="majorHAnsi" w:cstheme="majorHAnsi"/>
          <w:b/>
          <w:sz w:val="20"/>
          <w:szCs w:val="20"/>
        </w:rPr>
      </w:pPr>
      <w:r w:rsidRPr="00EE6A26">
        <w:rPr>
          <w:rFonts w:asciiTheme="majorHAnsi" w:hAnsiTheme="majorHAnsi" w:cstheme="majorHAnsi"/>
          <w:sz w:val="20"/>
          <w:szCs w:val="20"/>
          <w:u w:val="single"/>
        </w:rPr>
        <w:t>Zariadenie č.5 – Vetranie m.č. 1.11 - Elektrorozvodňa a m.č. 1.17 – Sklad v objekte SO02</w:t>
      </w:r>
    </w:p>
    <w:p w:rsidR="00EE6A26" w:rsidRPr="00EE6A26" w:rsidRDefault="00EE6A26" w:rsidP="00EE6A26">
      <w:pPr>
        <w:pStyle w:val="Odsekzoznamu"/>
        <w:numPr>
          <w:ilvl w:val="0"/>
          <w:numId w:val="32"/>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Zabezpečiť elektrické napojenie a ovládanie odvodných radiálnych ventilátorov QX100T,    poz.č.5.01-02 – 2ks:</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 xml:space="preserve">N=28W </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(1~230V/50Hz)</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Ventilátory budú ovládané časovým spínačom 2x denne počas 1 hodiny (alebo podľa požiadaviek užívateľa), resp. budú spúšťané ručným nástenným vypínačom</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 xml:space="preserve">Ventilátor bude s časovým dobehom </w:t>
      </w:r>
      <w:r w:rsidRPr="00EE6A26">
        <w:rPr>
          <w:rFonts w:asciiTheme="majorHAnsi" w:hAnsiTheme="majorHAnsi" w:cstheme="majorHAnsi"/>
          <w:sz w:val="20"/>
          <w:szCs w:val="20"/>
          <w:lang w:val="en-US"/>
        </w:rPr>
        <w:t>(</w:t>
      </w:r>
      <w:r w:rsidRPr="00EE6A26">
        <w:rPr>
          <w:rFonts w:asciiTheme="majorHAnsi" w:hAnsiTheme="majorHAnsi" w:cstheme="majorHAnsi"/>
          <w:sz w:val="20"/>
          <w:szCs w:val="20"/>
        </w:rPr>
        <w:t>súčasť dodávky ventilátora</w:t>
      </w:r>
      <w:r w:rsidRPr="00EE6A26">
        <w:rPr>
          <w:rFonts w:asciiTheme="majorHAnsi" w:hAnsiTheme="majorHAnsi" w:cstheme="majorHAnsi"/>
          <w:sz w:val="20"/>
          <w:szCs w:val="20"/>
          <w:lang w:val="en-US"/>
        </w:rPr>
        <w:t>)</w:t>
      </w:r>
    </w:p>
    <w:p w:rsidR="00EE6A26" w:rsidRPr="00EE6A26" w:rsidRDefault="00EE6A26" w:rsidP="00EE6A26">
      <w:pPr>
        <w:autoSpaceDE w:val="0"/>
        <w:autoSpaceDN w:val="0"/>
        <w:adjustRightInd w:val="0"/>
        <w:jc w:val="both"/>
        <w:rPr>
          <w:rFonts w:asciiTheme="majorHAnsi" w:hAnsiTheme="majorHAnsi" w:cstheme="majorHAnsi"/>
          <w:sz w:val="20"/>
          <w:u w:val="single"/>
        </w:rPr>
      </w:pPr>
    </w:p>
    <w:p w:rsidR="00EE6A26" w:rsidRPr="00EE6A26" w:rsidRDefault="00EE6A26" w:rsidP="00EE6A26">
      <w:pPr>
        <w:pStyle w:val="normlny11"/>
        <w:numPr>
          <w:ilvl w:val="0"/>
          <w:numId w:val="0"/>
        </w:numPr>
        <w:tabs>
          <w:tab w:val="left" w:pos="720"/>
        </w:tabs>
        <w:rPr>
          <w:rFonts w:asciiTheme="majorHAnsi" w:hAnsiTheme="majorHAnsi" w:cstheme="majorHAnsi"/>
          <w:sz w:val="20"/>
          <w:szCs w:val="20"/>
          <w:u w:val="single"/>
        </w:rPr>
      </w:pPr>
      <w:r w:rsidRPr="00EE6A26">
        <w:rPr>
          <w:rFonts w:asciiTheme="majorHAnsi" w:hAnsiTheme="majorHAnsi" w:cstheme="majorHAnsi"/>
          <w:sz w:val="20"/>
          <w:szCs w:val="20"/>
          <w:u w:val="single"/>
        </w:rPr>
        <w:t>Zariadenie č.7 – Vetranie m.č. 1.27 Sklad/Odpady v objekte SO03</w:t>
      </w:r>
    </w:p>
    <w:p w:rsidR="00EE6A26" w:rsidRPr="00EE6A26" w:rsidRDefault="00EE6A26" w:rsidP="00EE6A26">
      <w:pPr>
        <w:autoSpaceDE w:val="0"/>
        <w:autoSpaceDN w:val="0"/>
        <w:adjustRightInd w:val="0"/>
        <w:ind w:left="708"/>
        <w:jc w:val="both"/>
        <w:rPr>
          <w:rFonts w:asciiTheme="majorHAnsi" w:hAnsiTheme="majorHAnsi" w:cstheme="majorHAnsi"/>
          <w:sz w:val="20"/>
        </w:rPr>
      </w:pPr>
      <w:r w:rsidRPr="00EE6A26">
        <w:rPr>
          <w:rFonts w:asciiTheme="majorHAnsi" w:hAnsiTheme="majorHAnsi" w:cstheme="majorHAnsi"/>
          <w:sz w:val="20"/>
        </w:rPr>
        <w:t>1.Zabezpečiť elektrické napojenie a ovládanie odvodného radiálneho ventilátora QX100T,    poz.č.7.03-03 – 1ks:</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 xml:space="preserve">N=28W </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(1~230V/50Hz)</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Ventilátor bude ovládaný časovým spínačom (podľa požiadaviek užívateľa)</w:t>
      </w:r>
    </w:p>
    <w:p w:rsidR="00EE6A26" w:rsidRPr="00EE6A26" w:rsidRDefault="00EE6A26" w:rsidP="00EE6A26">
      <w:pPr>
        <w:pStyle w:val="Odsekzoznamu"/>
        <w:autoSpaceDE w:val="0"/>
        <w:autoSpaceDN w:val="0"/>
        <w:adjustRightInd w:val="0"/>
        <w:ind w:left="1080"/>
        <w:jc w:val="both"/>
        <w:rPr>
          <w:rFonts w:asciiTheme="majorHAnsi" w:hAnsiTheme="majorHAnsi" w:cstheme="majorHAnsi"/>
          <w:sz w:val="20"/>
          <w:szCs w:val="20"/>
        </w:rPr>
      </w:pPr>
    </w:p>
    <w:p w:rsidR="00EE6A26" w:rsidRPr="00EE6A26" w:rsidRDefault="00EE6A26" w:rsidP="00EE6A26">
      <w:pPr>
        <w:pStyle w:val="normlny11"/>
        <w:numPr>
          <w:ilvl w:val="0"/>
          <w:numId w:val="0"/>
        </w:numPr>
        <w:tabs>
          <w:tab w:val="left" w:pos="720"/>
        </w:tabs>
        <w:rPr>
          <w:rFonts w:asciiTheme="majorHAnsi" w:hAnsiTheme="majorHAnsi" w:cstheme="majorHAnsi"/>
          <w:sz w:val="20"/>
          <w:szCs w:val="20"/>
          <w:u w:val="single"/>
        </w:rPr>
      </w:pPr>
      <w:r w:rsidRPr="00EE6A26">
        <w:rPr>
          <w:rFonts w:asciiTheme="majorHAnsi" w:hAnsiTheme="majorHAnsi" w:cstheme="majorHAnsi"/>
          <w:sz w:val="20"/>
          <w:szCs w:val="20"/>
          <w:u w:val="single"/>
        </w:rPr>
        <w:t>Zariadenie č.8 – Vetranie m.č. 1.26 Sklad Fotovoltiky v objekte SO03</w:t>
      </w:r>
    </w:p>
    <w:p w:rsidR="00EE6A26" w:rsidRPr="00EE6A26" w:rsidRDefault="00EE6A26" w:rsidP="00EE6A26">
      <w:pPr>
        <w:autoSpaceDE w:val="0"/>
        <w:autoSpaceDN w:val="0"/>
        <w:adjustRightInd w:val="0"/>
        <w:ind w:left="708"/>
        <w:jc w:val="both"/>
        <w:rPr>
          <w:rFonts w:asciiTheme="majorHAnsi" w:hAnsiTheme="majorHAnsi" w:cstheme="majorHAnsi"/>
          <w:sz w:val="20"/>
        </w:rPr>
      </w:pPr>
      <w:r w:rsidRPr="00EE6A26">
        <w:rPr>
          <w:rFonts w:asciiTheme="majorHAnsi" w:hAnsiTheme="majorHAnsi" w:cstheme="majorHAnsi"/>
          <w:sz w:val="20"/>
        </w:rPr>
        <w:t>1.Zabezpečiť elektrické napojenie a ovládanie rekuperačnej nástennej jednotky QUANTUM HR 150,    poz.č.8.01-03 – 1ks:</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 xml:space="preserve">N=3,8W </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(1~230V/50Hz)</w:t>
      </w:r>
    </w:p>
    <w:p w:rsidR="00EE6A26" w:rsidRPr="00EE6A26" w:rsidRDefault="00EE6A26" w:rsidP="00EE6A26">
      <w:pPr>
        <w:pStyle w:val="Odsekzoznamu"/>
        <w:numPr>
          <w:ilvl w:val="0"/>
          <w:numId w:val="26"/>
        </w:numPr>
        <w:autoSpaceDE w:val="0"/>
        <w:autoSpaceDN w:val="0"/>
        <w:adjustRightInd w:val="0"/>
        <w:jc w:val="both"/>
        <w:rPr>
          <w:rFonts w:asciiTheme="majorHAnsi" w:hAnsiTheme="majorHAnsi" w:cstheme="majorHAnsi"/>
          <w:sz w:val="20"/>
          <w:szCs w:val="20"/>
        </w:rPr>
      </w:pPr>
      <w:r w:rsidRPr="00EE6A26">
        <w:rPr>
          <w:rFonts w:asciiTheme="majorHAnsi" w:hAnsiTheme="majorHAnsi" w:cstheme="majorHAnsi"/>
          <w:sz w:val="20"/>
          <w:szCs w:val="20"/>
        </w:rPr>
        <w:t>Ventilátor bude ovládaný nástenným ovládačom (originálny ovládač CTRL-S je vo výkaze VZT)</w:t>
      </w:r>
    </w:p>
    <w:p w:rsidR="00EE6A26" w:rsidRPr="00EE6A26" w:rsidRDefault="00EE6A26" w:rsidP="00EE6A26">
      <w:pPr>
        <w:autoSpaceDE w:val="0"/>
        <w:autoSpaceDN w:val="0"/>
        <w:adjustRightInd w:val="0"/>
        <w:jc w:val="both"/>
        <w:rPr>
          <w:rFonts w:asciiTheme="majorHAnsi" w:hAnsiTheme="majorHAnsi" w:cstheme="majorHAnsi"/>
          <w:sz w:val="20"/>
        </w:rPr>
      </w:pPr>
    </w:p>
    <w:p w:rsidR="00EE6A26" w:rsidRPr="00EE6A26" w:rsidRDefault="00EE6A26" w:rsidP="00EE6A26">
      <w:pPr>
        <w:ind w:right="-284"/>
        <w:jc w:val="both"/>
        <w:rPr>
          <w:rFonts w:asciiTheme="majorHAnsi" w:hAnsiTheme="majorHAnsi" w:cstheme="majorHAnsi"/>
          <w:bCs/>
          <w:sz w:val="20"/>
          <w:u w:val="single"/>
        </w:rPr>
      </w:pPr>
      <w:r w:rsidRPr="00EE6A26">
        <w:rPr>
          <w:rFonts w:asciiTheme="majorHAnsi" w:hAnsiTheme="majorHAnsi" w:cstheme="majorHAnsi"/>
          <w:bCs/>
          <w:sz w:val="20"/>
          <w:u w:val="single"/>
        </w:rPr>
        <w:t>Zariadenie č.9 – Príprava pre chladenie podstrešných priestorov v objekte SO02 (m.č. 2.05 a 2.06)</w:t>
      </w:r>
    </w:p>
    <w:p w:rsidR="00EE6A26" w:rsidRPr="00EE6A26" w:rsidRDefault="00EE6A26" w:rsidP="001E7B38">
      <w:pPr>
        <w:pStyle w:val="Odsekzoznamu"/>
        <w:numPr>
          <w:ilvl w:val="0"/>
          <w:numId w:val="60"/>
        </w:numPr>
        <w:ind w:right="-284"/>
        <w:jc w:val="both"/>
        <w:rPr>
          <w:rFonts w:asciiTheme="majorHAnsi" w:hAnsiTheme="majorHAnsi" w:cstheme="majorHAnsi"/>
          <w:bCs/>
          <w:sz w:val="20"/>
          <w:szCs w:val="20"/>
        </w:rPr>
      </w:pPr>
      <w:r w:rsidRPr="00EE6A26">
        <w:rPr>
          <w:rFonts w:asciiTheme="majorHAnsi" w:hAnsiTheme="majorHAnsi" w:cstheme="majorHAnsi"/>
          <w:bCs/>
          <w:sz w:val="20"/>
          <w:szCs w:val="20"/>
        </w:rPr>
        <w:t>Zabezpečiť el. prípravu pre možnosť napojenia kondenzačnej jednotky</w:t>
      </w:r>
    </w:p>
    <w:p w:rsidR="00EE6A26" w:rsidRPr="00EE6A26" w:rsidRDefault="00EE6A26" w:rsidP="00EE6A26">
      <w:pPr>
        <w:autoSpaceDE w:val="0"/>
        <w:autoSpaceDN w:val="0"/>
        <w:adjustRightInd w:val="0"/>
        <w:ind w:firstLine="567"/>
        <w:jc w:val="both"/>
        <w:rPr>
          <w:rFonts w:asciiTheme="majorHAnsi" w:hAnsiTheme="majorHAnsi" w:cstheme="majorHAnsi"/>
          <w:sz w:val="20"/>
        </w:rPr>
      </w:pPr>
      <w:r w:rsidRPr="00EE6A26">
        <w:rPr>
          <w:rFonts w:asciiTheme="majorHAnsi" w:hAnsiTheme="majorHAnsi" w:cstheme="majorHAnsi"/>
          <w:sz w:val="20"/>
        </w:rPr>
        <w:t>MXZ-5E102VA – 1ks:</w:t>
      </w:r>
    </w:p>
    <w:p w:rsidR="00EE6A26" w:rsidRPr="00EE6A26" w:rsidRDefault="00EE6A26" w:rsidP="00EE6A26">
      <w:pPr>
        <w:pStyle w:val="Zarkazkladnhotextu"/>
        <w:numPr>
          <w:ilvl w:val="0"/>
          <w:numId w:val="27"/>
        </w:numPr>
        <w:spacing w:after="0"/>
        <w:jc w:val="both"/>
        <w:rPr>
          <w:rFonts w:asciiTheme="majorHAnsi" w:hAnsiTheme="majorHAnsi" w:cstheme="majorHAnsi"/>
          <w:sz w:val="20"/>
        </w:rPr>
      </w:pPr>
      <w:r w:rsidRPr="00EE6A26">
        <w:rPr>
          <w:rFonts w:asciiTheme="majorHAnsi" w:hAnsiTheme="majorHAnsi" w:cstheme="majorHAnsi"/>
          <w:sz w:val="20"/>
        </w:rPr>
        <w:t>príkon: N=3,91 kW (1~230V/50Hz)</w:t>
      </w:r>
    </w:p>
    <w:p w:rsidR="00EE6A26" w:rsidRPr="00EE6A26" w:rsidRDefault="00EE6A26" w:rsidP="00EE6A26">
      <w:pPr>
        <w:pStyle w:val="Zarkazkladnhotextu"/>
        <w:numPr>
          <w:ilvl w:val="0"/>
          <w:numId w:val="27"/>
        </w:numPr>
        <w:spacing w:after="0"/>
        <w:jc w:val="both"/>
        <w:rPr>
          <w:rFonts w:asciiTheme="majorHAnsi" w:hAnsiTheme="majorHAnsi" w:cstheme="majorHAnsi"/>
          <w:sz w:val="20"/>
        </w:rPr>
      </w:pPr>
      <w:r w:rsidRPr="00EE6A26">
        <w:rPr>
          <w:rFonts w:asciiTheme="majorHAnsi" w:hAnsiTheme="majorHAnsi" w:cstheme="majorHAnsi"/>
          <w:sz w:val="20"/>
        </w:rPr>
        <w:t>odporúčané istenie: 25A</w:t>
      </w:r>
    </w:p>
    <w:p w:rsidR="00EE6A26" w:rsidRPr="00EE6A26" w:rsidRDefault="00EE6A26" w:rsidP="00EE6A26">
      <w:pPr>
        <w:autoSpaceDE w:val="0"/>
        <w:autoSpaceDN w:val="0"/>
        <w:adjustRightInd w:val="0"/>
        <w:jc w:val="both"/>
        <w:rPr>
          <w:rFonts w:asciiTheme="majorHAnsi" w:hAnsiTheme="majorHAnsi" w:cstheme="majorHAnsi"/>
          <w:sz w:val="20"/>
          <w:u w:val="single"/>
        </w:rPr>
      </w:pPr>
    </w:p>
    <w:p w:rsidR="00EE6A26" w:rsidRPr="00EE6A26" w:rsidRDefault="00EE6A26" w:rsidP="00EE6A26">
      <w:pPr>
        <w:autoSpaceDE w:val="0"/>
        <w:autoSpaceDN w:val="0"/>
        <w:adjustRightInd w:val="0"/>
        <w:jc w:val="both"/>
        <w:rPr>
          <w:rFonts w:asciiTheme="majorHAnsi" w:hAnsiTheme="majorHAnsi" w:cstheme="majorHAnsi"/>
          <w:b/>
          <w:bCs/>
          <w:sz w:val="20"/>
        </w:rPr>
      </w:pPr>
      <w:r w:rsidRPr="00EE6A26">
        <w:rPr>
          <w:rFonts w:asciiTheme="majorHAnsi" w:hAnsiTheme="majorHAnsi" w:cstheme="majorHAnsi"/>
          <w:b/>
          <w:bCs/>
          <w:sz w:val="20"/>
        </w:rPr>
        <w:t>5.4 Požiadavky na vykurovanie</w:t>
      </w:r>
    </w:p>
    <w:p w:rsidR="00EE6A26" w:rsidRPr="00EE6A26" w:rsidRDefault="00EE6A26" w:rsidP="00EE6A26">
      <w:pPr>
        <w:autoSpaceDE w:val="0"/>
        <w:autoSpaceDN w:val="0"/>
        <w:adjustRightInd w:val="0"/>
        <w:ind w:firstLine="708"/>
        <w:jc w:val="both"/>
        <w:rPr>
          <w:rFonts w:asciiTheme="majorHAnsi" w:hAnsiTheme="majorHAnsi" w:cstheme="majorHAnsi"/>
          <w:sz w:val="20"/>
        </w:rPr>
      </w:pPr>
      <w:r w:rsidRPr="00EE6A26">
        <w:rPr>
          <w:rFonts w:asciiTheme="majorHAnsi" w:hAnsiTheme="majorHAnsi" w:cstheme="majorHAnsi"/>
          <w:sz w:val="20"/>
        </w:rPr>
        <w:t>Bez požiadaviek.</w:t>
      </w:r>
    </w:p>
    <w:p w:rsidR="00EE6A26" w:rsidRPr="00EE6A26" w:rsidRDefault="00EE6A26" w:rsidP="00EE6A26">
      <w:pPr>
        <w:autoSpaceDE w:val="0"/>
        <w:autoSpaceDN w:val="0"/>
        <w:adjustRightInd w:val="0"/>
        <w:jc w:val="both"/>
        <w:rPr>
          <w:rFonts w:asciiTheme="majorHAnsi" w:hAnsiTheme="majorHAnsi" w:cstheme="majorHAnsi"/>
          <w:sz w:val="20"/>
          <w:highlight w:val="yellow"/>
        </w:rPr>
      </w:pPr>
    </w:p>
    <w:p w:rsidR="00EE6A26" w:rsidRPr="00EE6A26" w:rsidRDefault="00EE6A26" w:rsidP="00EE6A26">
      <w:pPr>
        <w:pStyle w:val="Zarkazkladnhotextu"/>
        <w:ind w:left="0"/>
        <w:jc w:val="both"/>
        <w:rPr>
          <w:rFonts w:asciiTheme="majorHAnsi" w:hAnsiTheme="majorHAnsi" w:cstheme="majorHAnsi"/>
          <w:b/>
          <w:sz w:val="20"/>
          <w:u w:val="single"/>
        </w:rPr>
      </w:pPr>
      <w:r w:rsidRPr="00EE6A26">
        <w:rPr>
          <w:rFonts w:asciiTheme="majorHAnsi" w:hAnsiTheme="majorHAnsi" w:cstheme="majorHAnsi"/>
          <w:b/>
          <w:sz w:val="20"/>
          <w:u w:val="single"/>
        </w:rPr>
        <w:lastRenderedPageBreak/>
        <w:t>6. Prehľad inštalovaných výkonov</w:t>
      </w:r>
    </w:p>
    <w:p w:rsidR="00EE6A26" w:rsidRPr="00EE6A26" w:rsidRDefault="00EE6A26" w:rsidP="00EE6A26">
      <w:pPr>
        <w:ind w:right="-284"/>
        <w:jc w:val="both"/>
        <w:rPr>
          <w:rFonts w:asciiTheme="majorHAnsi" w:hAnsiTheme="majorHAnsi" w:cstheme="majorHAnsi"/>
          <w:sz w:val="20"/>
        </w:rPr>
      </w:pPr>
    </w:p>
    <w:p w:rsidR="00EE6A26" w:rsidRPr="00EE6A26" w:rsidRDefault="00EE6A26" w:rsidP="00EE6A26">
      <w:pPr>
        <w:pStyle w:val="Zarkazkladnhotextu"/>
        <w:ind w:left="0" w:firstLine="567"/>
        <w:jc w:val="both"/>
        <w:rPr>
          <w:rFonts w:asciiTheme="majorHAnsi" w:hAnsiTheme="majorHAnsi" w:cstheme="majorHAnsi"/>
          <w:b/>
          <w:sz w:val="20"/>
          <w:u w:val="single"/>
        </w:rPr>
      </w:pPr>
      <w:r w:rsidRPr="00EE6A26">
        <w:rPr>
          <w:rFonts w:asciiTheme="majorHAnsi" w:hAnsiTheme="majorHAnsi" w:cstheme="majorHAnsi"/>
          <w:sz w:val="20"/>
          <w:u w:val="single"/>
        </w:rPr>
        <w:t>Celkový elektrický príkon navrhovaných zariadení (230V/50Hz):</w:t>
      </w:r>
    </w:p>
    <w:p w:rsidR="00EE6A26" w:rsidRPr="00EE6A26" w:rsidRDefault="00EE6A26" w:rsidP="00EE6A26">
      <w:pPr>
        <w:pStyle w:val="Zkladntext"/>
        <w:ind w:firstLine="851"/>
        <w:rPr>
          <w:rFonts w:asciiTheme="majorHAnsi" w:hAnsiTheme="majorHAnsi" w:cstheme="majorHAnsi"/>
          <w:highlight w:val="yellow"/>
        </w:rPr>
      </w:pPr>
    </w:p>
    <w:p w:rsidR="00EE6A26" w:rsidRPr="00EE6A26" w:rsidRDefault="00EE6A26" w:rsidP="00EE6A26">
      <w:pPr>
        <w:pStyle w:val="Zkladntext"/>
        <w:jc w:val="left"/>
        <w:rPr>
          <w:rFonts w:asciiTheme="majorHAnsi" w:hAnsiTheme="majorHAnsi" w:cstheme="majorHAnsi"/>
          <w:color w:val="000000" w:themeColor="text1"/>
        </w:rPr>
      </w:pPr>
      <w:r w:rsidRPr="00EE6A26">
        <w:rPr>
          <w:rFonts w:asciiTheme="majorHAnsi" w:hAnsiTheme="majorHAnsi" w:cstheme="majorHAnsi"/>
          <w:color w:val="000000" w:themeColor="text1"/>
        </w:rPr>
        <w:t>Zar.č.1  –</w:t>
      </w:r>
      <w:r w:rsidRPr="00EE6A26">
        <w:rPr>
          <w:rFonts w:asciiTheme="majorHAnsi" w:hAnsiTheme="majorHAnsi" w:cstheme="majorHAnsi"/>
          <w:color w:val="000000" w:themeColor="text1"/>
        </w:rPr>
        <w:tab/>
        <w:t xml:space="preserve">3,910 kW </w:t>
      </w:r>
    </w:p>
    <w:p w:rsidR="00EE6A26" w:rsidRPr="00EE6A26" w:rsidRDefault="00EE6A26" w:rsidP="00EE6A26">
      <w:pPr>
        <w:pStyle w:val="Zkladntext"/>
        <w:jc w:val="left"/>
        <w:rPr>
          <w:rFonts w:asciiTheme="majorHAnsi" w:hAnsiTheme="majorHAnsi" w:cstheme="majorHAnsi"/>
          <w:color w:val="000000" w:themeColor="text1"/>
        </w:rPr>
      </w:pPr>
      <w:r w:rsidRPr="00EE6A26">
        <w:rPr>
          <w:rFonts w:asciiTheme="majorHAnsi" w:hAnsiTheme="majorHAnsi" w:cstheme="majorHAnsi"/>
          <w:color w:val="000000" w:themeColor="text1"/>
        </w:rPr>
        <w:t>Zar.č.2  –</w:t>
      </w:r>
      <w:r w:rsidRPr="00EE6A26">
        <w:rPr>
          <w:rFonts w:asciiTheme="majorHAnsi" w:hAnsiTheme="majorHAnsi" w:cstheme="majorHAnsi"/>
          <w:color w:val="000000" w:themeColor="text1"/>
        </w:rPr>
        <w:tab/>
        <w:t xml:space="preserve">0,224 kW </w:t>
      </w:r>
    </w:p>
    <w:p w:rsidR="00EE6A26" w:rsidRPr="00EE6A26" w:rsidRDefault="00EE6A26" w:rsidP="00EE6A26">
      <w:pPr>
        <w:pStyle w:val="Zkladntext"/>
        <w:jc w:val="left"/>
        <w:rPr>
          <w:rFonts w:asciiTheme="majorHAnsi" w:hAnsiTheme="majorHAnsi" w:cstheme="majorHAnsi"/>
          <w:color w:val="000000" w:themeColor="text1"/>
        </w:rPr>
      </w:pPr>
      <w:r w:rsidRPr="00EE6A26">
        <w:rPr>
          <w:rFonts w:asciiTheme="majorHAnsi" w:hAnsiTheme="majorHAnsi" w:cstheme="majorHAnsi"/>
          <w:color w:val="000000" w:themeColor="text1"/>
        </w:rPr>
        <w:t xml:space="preserve">Zar.č.3  –  </w:t>
      </w:r>
      <w:r w:rsidRPr="00EE6A26">
        <w:rPr>
          <w:rFonts w:asciiTheme="majorHAnsi" w:hAnsiTheme="majorHAnsi" w:cstheme="majorHAnsi"/>
          <w:color w:val="000000" w:themeColor="text1"/>
        </w:rPr>
        <w:tab/>
        <w:t xml:space="preserve">0,200 kW     </w:t>
      </w:r>
    </w:p>
    <w:p w:rsidR="00EE6A26" w:rsidRPr="00EE6A26" w:rsidRDefault="00EE6A26" w:rsidP="00EE6A26">
      <w:pPr>
        <w:pStyle w:val="Zkladntext"/>
        <w:jc w:val="left"/>
        <w:rPr>
          <w:rFonts w:asciiTheme="majorHAnsi" w:hAnsiTheme="majorHAnsi" w:cstheme="majorHAnsi"/>
          <w:color w:val="000000" w:themeColor="text1"/>
        </w:rPr>
      </w:pPr>
      <w:r w:rsidRPr="00EE6A26">
        <w:rPr>
          <w:rFonts w:asciiTheme="majorHAnsi" w:hAnsiTheme="majorHAnsi" w:cstheme="majorHAnsi"/>
          <w:color w:val="000000" w:themeColor="text1"/>
        </w:rPr>
        <w:t xml:space="preserve">Zar.č.5  –  </w:t>
      </w:r>
      <w:r w:rsidRPr="00EE6A26">
        <w:rPr>
          <w:rFonts w:asciiTheme="majorHAnsi" w:hAnsiTheme="majorHAnsi" w:cstheme="majorHAnsi"/>
          <w:color w:val="000000" w:themeColor="text1"/>
        </w:rPr>
        <w:tab/>
        <w:t xml:space="preserve">0,056 kW </w:t>
      </w:r>
    </w:p>
    <w:p w:rsidR="00EE6A26" w:rsidRPr="00EE6A26" w:rsidRDefault="00EE6A26" w:rsidP="00EE6A26">
      <w:pPr>
        <w:pStyle w:val="Zkladntext"/>
        <w:jc w:val="left"/>
        <w:rPr>
          <w:rFonts w:asciiTheme="majorHAnsi" w:hAnsiTheme="majorHAnsi" w:cstheme="majorHAnsi"/>
          <w:color w:val="000000" w:themeColor="text1"/>
        </w:rPr>
      </w:pPr>
      <w:r w:rsidRPr="00EE6A26">
        <w:rPr>
          <w:rFonts w:asciiTheme="majorHAnsi" w:hAnsiTheme="majorHAnsi" w:cstheme="majorHAnsi"/>
          <w:color w:val="000000" w:themeColor="text1"/>
        </w:rPr>
        <w:t xml:space="preserve">Zar.č.7  –  </w:t>
      </w:r>
      <w:r w:rsidRPr="00EE6A26">
        <w:rPr>
          <w:rFonts w:asciiTheme="majorHAnsi" w:hAnsiTheme="majorHAnsi" w:cstheme="majorHAnsi"/>
          <w:color w:val="000000" w:themeColor="text1"/>
        </w:rPr>
        <w:tab/>
        <w:t>0,028 kW</w:t>
      </w:r>
    </w:p>
    <w:p w:rsidR="00EE6A26" w:rsidRPr="00EE6A26" w:rsidRDefault="00EE6A26" w:rsidP="00EE6A26">
      <w:pPr>
        <w:pStyle w:val="Zkladntext"/>
        <w:jc w:val="left"/>
        <w:rPr>
          <w:rFonts w:asciiTheme="majorHAnsi" w:hAnsiTheme="majorHAnsi" w:cstheme="majorHAnsi"/>
          <w:color w:val="000000" w:themeColor="text1"/>
        </w:rPr>
      </w:pPr>
      <w:r w:rsidRPr="00EE6A26">
        <w:rPr>
          <w:rFonts w:asciiTheme="majorHAnsi" w:hAnsiTheme="majorHAnsi" w:cstheme="majorHAnsi"/>
          <w:color w:val="000000" w:themeColor="text1"/>
        </w:rPr>
        <w:t xml:space="preserve">Zar.č.8  –  </w:t>
      </w:r>
      <w:r w:rsidRPr="00EE6A26">
        <w:rPr>
          <w:rFonts w:asciiTheme="majorHAnsi" w:hAnsiTheme="majorHAnsi" w:cstheme="majorHAnsi"/>
          <w:color w:val="000000" w:themeColor="text1"/>
        </w:rPr>
        <w:tab/>
        <w:t xml:space="preserve">0,004 kW </w:t>
      </w:r>
    </w:p>
    <w:p w:rsidR="00EE6A26" w:rsidRPr="00EE6A26" w:rsidRDefault="00EE6A26" w:rsidP="00EE6A26">
      <w:pPr>
        <w:pStyle w:val="Zkladntext"/>
        <w:jc w:val="left"/>
        <w:rPr>
          <w:rFonts w:asciiTheme="majorHAnsi" w:hAnsiTheme="majorHAnsi" w:cstheme="majorHAnsi"/>
          <w:color w:val="000000" w:themeColor="text1"/>
          <w:u w:val="single"/>
        </w:rPr>
      </w:pPr>
      <w:r w:rsidRPr="00EE6A26">
        <w:rPr>
          <w:rFonts w:asciiTheme="majorHAnsi" w:hAnsiTheme="majorHAnsi" w:cstheme="majorHAnsi"/>
          <w:color w:val="000000" w:themeColor="text1"/>
          <w:u w:val="single"/>
        </w:rPr>
        <w:t xml:space="preserve">Zar.č.9  –  </w:t>
      </w:r>
      <w:r w:rsidRPr="00EE6A26">
        <w:rPr>
          <w:rFonts w:asciiTheme="majorHAnsi" w:hAnsiTheme="majorHAnsi" w:cstheme="majorHAnsi"/>
          <w:color w:val="000000" w:themeColor="text1"/>
          <w:u w:val="single"/>
        </w:rPr>
        <w:tab/>
        <w:t xml:space="preserve">3,910 kW </w:t>
      </w:r>
    </w:p>
    <w:p w:rsidR="00EE6A26" w:rsidRPr="00EE6A26" w:rsidRDefault="00EE6A26" w:rsidP="00EE6A26">
      <w:pPr>
        <w:pStyle w:val="Zkladntext"/>
        <w:rPr>
          <w:rFonts w:asciiTheme="majorHAnsi" w:hAnsiTheme="majorHAnsi" w:cstheme="majorHAnsi"/>
          <w:bCs/>
          <w:color w:val="000000" w:themeColor="text1"/>
        </w:rPr>
      </w:pPr>
      <w:r w:rsidRPr="00EE6A26">
        <w:rPr>
          <w:rFonts w:asciiTheme="majorHAnsi" w:hAnsiTheme="majorHAnsi" w:cstheme="majorHAnsi"/>
          <w:bCs/>
          <w:color w:val="000000" w:themeColor="text1"/>
        </w:rPr>
        <w:t>Spolu</w:t>
      </w:r>
      <w:r w:rsidRPr="00EE6A26">
        <w:rPr>
          <w:rFonts w:asciiTheme="majorHAnsi" w:hAnsiTheme="majorHAnsi" w:cstheme="majorHAnsi"/>
          <w:bCs/>
          <w:color w:val="000000" w:themeColor="text1"/>
        </w:rPr>
        <w:tab/>
      </w:r>
      <w:r w:rsidRPr="00EE6A26">
        <w:rPr>
          <w:rFonts w:asciiTheme="majorHAnsi" w:hAnsiTheme="majorHAnsi" w:cstheme="majorHAnsi"/>
          <w:bCs/>
          <w:color w:val="000000" w:themeColor="text1"/>
        </w:rPr>
        <w:tab/>
        <w:t xml:space="preserve">8,332 kW   </w:t>
      </w:r>
    </w:p>
    <w:p w:rsidR="00EE6A26" w:rsidRPr="00EE6A26" w:rsidRDefault="00EE6A26" w:rsidP="00EE6A26">
      <w:pPr>
        <w:pStyle w:val="Zkladntext"/>
        <w:rPr>
          <w:rFonts w:asciiTheme="majorHAnsi" w:hAnsiTheme="majorHAnsi" w:cstheme="majorHAnsi"/>
          <w:bCs/>
          <w:color w:val="000000" w:themeColor="text1"/>
        </w:rPr>
      </w:pPr>
    </w:p>
    <w:p w:rsidR="00EE6A26" w:rsidRPr="00EE6A26" w:rsidRDefault="00EE6A26" w:rsidP="00EE6A26">
      <w:pPr>
        <w:pStyle w:val="Zarkazkladnhotextu"/>
        <w:ind w:left="0"/>
        <w:jc w:val="both"/>
        <w:rPr>
          <w:rFonts w:asciiTheme="majorHAnsi" w:hAnsiTheme="majorHAnsi" w:cstheme="majorHAnsi"/>
          <w:b/>
          <w:sz w:val="20"/>
          <w:u w:val="single"/>
        </w:rPr>
      </w:pPr>
      <w:r w:rsidRPr="00EE6A26">
        <w:rPr>
          <w:rFonts w:asciiTheme="majorHAnsi" w:hAnsiTheme="majorHAnsi" w:cstheme="majorHAnsi"/>
          <w:b/>
          <w:sz w:val="20"/>
          <w:u w:val="single"/>
        </w:rPr>
        <w:t>7. Požiarna ochrana stavby</w:t>
      </w:r>
    </w:p>
    <w:p w:rsidR="00EE6A26" w:rsidRPr="00EE6A26" w:rsidRDefault="00EE6A26" w:rsidP="00EE6A26">
      <w:pPr>
        <w:pStyle w:val="Zarkazkladnhotextu"/>
        <w:ind w:left="0"/>
        <w:jc w:val="both"/>
        <w:rPr>
          <w:rFonts w:asciiTheme="majorHAnsi" w:hAnsiTheme="majorHAnsi" w:cstheme="majorHAnsi"/>
          <w:b/>
          <w:sz w:val="20"/>
          <w:u w:val="single"/>
        </w:rPr>
      </w:pPr>
    </w:p>
    <w:p w:rsidR="00EE6A26" w:rsidRPr="00EE6A26" w:rsidRDefault="00EE6A26" w:rsidP="00EE6A26">
      <w:pPr>
        <w:pStyle w:val="Zarkazkladnhotextu"/>
        <w:ind w:left="0" w:firstLine="851"/>
        <w:jc w:val="both"/>
        <w:rPr>
          <w:rFonts w:asciiTheme="majorHAnsi" w:hAnsiTheme="majorHAnsi" w:cstheme="majorHAnsi"/>
          <w:sz w:val="20"/>
        </w:rPr>
      </w:pPr>
      <w:r w:rsidRPr="00EE6A26">
        <w:rPr>
          <w:rFonts w:asciiTheme="majorHAnsi" w:hAnsiTheme="majorHAnsi" w:cstheme="majorHAnsi"/>
          <w:sz w:val="20"/>
        </w:rPr>
        <w:t xml:space="preserve">V potrubí, ktoré prechádza cez rôzne požiarne úseky a ich prierez je väčší ako 0,04 m² príp. v potrubiach menšieho prierezu, ktoré sú od seba vzdialené menej ako 0,5 m  bude osadená mokrým inštalačným procesom požiarna klapka. V prípade požiaru v niektorom požiarnom úseku, protipožiarna klapka zabraňuje šíreniu požiaru do ďalších požiarnych úsekov. Požiarne klapky budú v základnom vyhotovení t.j. s pružinovým aktivačným mechanizmom s tavnou tepelnou poistkou nastavenou na 74°C a ručným ovládaním. Montážne otvory sa vyhotovia podľa prevádzkových pokynov dodávateľa klapiek. Na utesnenie medzery medzi požiarnou deliacou stenou a požiarnym uzáverom sa použije sadrová alebo maltová  zmes. Prestup VZT potrubia v požiarne deliacej konštrukcii je potrebné vyspraviť utesňovacím tmelom s požiarnou odolnosťou, resp. podľa pokynov výrobcu požiarnych klapiek. </w:t>
      </w:r>
    </w:p>
    <w:p w:rsidR="00EE6A26" w:rsidRPr="00EE6A26" w:rsidRDefault="00EE6A26" w:rsidP="00EE6A26">
      <w:pPr>
        <w:pStyle w:val="Zarkazkladnhotextu"/>
        <w:ind w:left="0" w:firstLine="567"/>
        <w:jc w:val="both"/>
        <w:rPr>
          <w:rFonts w:asciiTheme="majorHAnsi" w:hAnsiTheme="majorHAnsi" w:cstheme="majorHAnsi"/>
          <w:sz w:val="20"/>
        </w:rPr>
      </w:pPr>
      <w:r w:rsidRPr="00EE6A26">
        <w:rPr>
          <w:rFonts w:asciiTheme="majorHAnsi" w:hAnsiTheme="majorHAnsi" w:cstheme="majorHAnsi"/>
          <w:sz w:val="20"/>
        </w:rPr>
        <w:t>V miestnostiach, kde je navrhnutá požiarna vetracia mriežka, sa osadzuje do požiarnej deliacej konštrukcie tak, aby osy listov boli vždy vodorovné. Montážne otvory sa vyhotovia podľa prevádzkových pokynov dodávateľa. Na utesnenie medzery medzi požiarnou deliacou stenou a rámom mriežky sa použije sadrová alebo maltová zmes. Požiarna vetracia mriežka bude v základnom vyhotovení, t.j. s pružinovým aktivačným mechanizmom s tavnou tepelnou poistkou nastavenou na 74°C.</w:t>
      </w:r>
    </w:p>
    <w:p w:rsidR="00EE6A26" w:rsidRPr="00EE6A26" w:rsidRDefault="00EE6A26" w:rsidP="00EE6A26">
      <w:pPr>
        <w:ind w:firstLine="567"/>
        <w:jc w:val="both"/>
        <w:rPr>
          <w:rFonts w:asciiTheme="majorHAnsi" w:hAnsiTheme="majorHAnsi" w:cstheme="majorHAnsi"/>
          <w:sz w:val="20"/>
        </w:rPr>
      </w:pPr>
      <w:r w:rsidRPr="00EE6A26">
        <w:rPr>
          <w:rFonts w:asciiTheme="majorHAnsi" w:hAnsiTheme="majorHAnsi" w:cstheme="majorHAnsi"/>
          <w:sz w:val="20"/>
        </w:rPr>
        <w:t>Požiarne klapky musia byť nainštalované, prevádzkované a kontrolované podľa Návodu na inštaláciu, prevádzku a kontrolu požiarnych klapiek výrobcu. Ku klapkám musí byť zabezpečený prístup pre ich kontrolu.</w:t>
      </w:r>
    </w:p>
    <w:p w:rsidR="00EE6A26" w:rsidRPr="00EE6A26" w:rsidRDefault="00EE6A26" w:rsidP="00EE6A26">
      <w:pPr>
        <w:pStyle w:val="Zoznam4"/>
        <w:ind w:left="0" w:firstLine="567"/>
        <w:jc w:val="both"/>
        <w:rPr>
          <w:rFonts w:asciiTheme="majorHAnsi" w:hAnsiTheme="majorHAnsi" w:cstheme="majorHAnsi"/>
          <w:sz w:val="20"/>
          <w:lang w:eastAsia="cs-CZ"/>
        </w:rPr>
      </w:pPr>
      <w:r w:rsidRPr="00EE6A26">
        <w:rPr>
          <w:rFonts w:asciiTheme="majorHAnsi" w:hAnsiTheme="majorHAnsi" w:cstheme="majorHAnsi"/>
          <w:sz w:val="20"/>
          <w:lang w:eastAsia="cs-CZ"/>
        </w:rPr>
        <w:t>Požiarne klapky musia byť označené podľa § 7 ods. 1 vyhlášky Ministerstva vnútra Slovenskej republiky č. 478/2008 Z. z. o vlastnostiach, konkrétnych podmienkach prevádzkovania a zabezpečenia pravidelnej kontroly požiarneho uzáveru značkou zhody a sprievodnými údajmi čitateľne, viditeľne a musia byť ťažko odstrániteľné. Podľa § 7 ods. 5 písm. d) a ods. 9 vyhlášky Ministerstva vnútra Slovenskej republiky č. 478/2008 Z. z. musí byť miesto klapky požiarne odolnej označené nápisom „POŽIARNA KLAPKA“ s písmenami s výškou najmenej 30 mm alebo piktogramom podľa prílohy č. 3 k vyhláške Ministerstva vnútra Slovenskej republiky č. 478/2008 Z. z. Označenie miesta inštalácie požiarnej klapky musí byť podľa § 7 ods. 8 vyhlášky Ministerstva vnútra Slovenskej republiky č. 478/2008 Z. z. umiestnené na požiarnom uzávere – požiarnej klapke alebo v jeho tesnej  blízkosti na požiarne deliacej konštrukcii, v ktorej je požiarny uzáver – požiarna klapka inštalovaný. Rovnako je nevyhnutné, aby zhotoviteľ predložil sprievodnú dokumentáciu k inštalovaným požiarnym uzáverom – požiarnym klapkám v súlade s § 8 ods. 1 vyhlášky Ministerstva vnútra Slovenskej republiky č. 478/2008 Z. z., a to:</w:t>
      </w:r>
    </w:p>
    <w:p w:rsidR="00EE6A26" w:rsidRPr="00EE6A26" w:rsidRDefault="00EE6A26" w:rsidP="00EE6A26">
      <w:pPr>
        <w:pStyle w:val="Zoznam4"/>
        <w:ind w:left="0" w:firstLine="0"/>
        <w:jc w:val="both"/>
        <w:rPr>
          <w:rFonts w:asciiTheme="majorHAnsi" w:hAnsiTheme="majorHAnsi" w:cstheme="majorHAnsi"/>
          <w:sz w:val="20"/>
          <w:lang w:eastAsia="cs-CZ"/>
        </w:rPr>
      </w:pPr>
      <w:r w:rsidRPr="00EE6A26">
        <w:rPr>
          <w:rFonts w:asciiTheme="majorHAnsi" w:hAnsiTheme="majorHAnsi" w:cstheme="majorHAnsi"/>
          <w:sz w:val="20"/>
          <w:lang w:eastAsia="cs-CZ"/>
        </w:rPr>
        <w:t xml:space="preserve">a) certifikát alebo vyhlásenie o zhode vydané výrobcom požiarneho uzáveru (požiarnej klapky) alebo splnomocneným zástupcom výrobcu požiarneho uzáveru, ak sa vyžadovali alebo vyžadujú podľa osobitného predpisu, </w:t>
      </w:r>
    </w:p>
    <w:p w:rsidR="00EE6A26" w:rsidRPr="00EE6A26" w:rsidRDefault="00EE6A26" w:rsidP="00EE6A26">
      <w:pPr>
        <w:pStyle w:val="Zoznam4"/>
        <w:ind w:left="0" w:firstLine="0"/>
        <w:jc w:val="both"/>
        <w:rPr>
          <w:rFonts w:asciiTheme="majorHAnsi" w:hAnsiTheme="majorHAnsi" w:cstheme="majorHAnsi"/>
          <w:sz w:val="20"/>
          <w:lang w:eastAsia="cs-CZ"/>
        </w:rPr>
      </w:pPr>
      <w:r w:rsidRPr="00EE6A26">
        <w:rPr>
          <w:rFonts w:asciiTheme="majorHAnsi" w:hAnsiTheme="majorHAnsi" w:cstheme="majorHAnsi"/>
          <w:sz w:val="20"/>
          <w:lang w:eastAsia="cs-CZ"/>
        </w:rPr>
        <w:t xml:space="preserve">b) návod na jeho montáž, uvedenie do prevádzky, odporúčaný spôsob používania vrátane vymedzenia prostredia používania, označenie výstrah, pokyny na údržbu a rozsah ďalších údajov, ak je to potrebné v záujme ochrany spotrebiteľa, vydaný výrobcom požiarneho uzáveru, </w:t>
      </w:r>
    </w:p>
    <w:p w:rsidR="00EE6A26" w:rsidRPr="00EE6A26" w:rsidRDefault="00EE6A26" w:rsidP="00EE6A26">
      <w:pPr>
        <w:pStyle w:val="Zoznam4"/>
        <w:ind w:left="0" w:firstLine="0"/>
        <w:jc w:val="both"/>
        <w:rPr>
          <w:rFonts w:asciiTheme="majorHAnsi" w:hAnsiTheme="majorHAnsi" w:cstheme="majorHAnsi"/>
          <w:sz w:val="20"/>
          <w:lang w:eastAsia="cs-CZ"/>
        </w:rPr>
      </w:pPr>
      <w:r w:rsidRPr="00EE6A26">
        <w:rPr>
          <w:rFonts w:asciiTheme="majorHAnsi" w:hAnsiTheme="majorHAnsi" w:cstheme="majorHAnsi"/>
          <w:sz w:val="20"/>
          <w:lang w:eastAsia="cs-CZ"/>
        </w:rPr>
        <w:t xml:space="preserve"> c) prevádzkový denník požiarneho uzáveru.</w:t>
      </w:r>
    </w:p>
    <w:p w:rsidR="00EE6A26" w:rsidRPr="00EE6A26" w:rsidRDefault="00EE6A26" w:rsidP="00EE6A26">
      <w:pPr>
        <w:pStyle w:val="Zoznam4"/>
        <w:ind w:left="0" w:firstLine="567"/>
        <w:jc w:val="both"/>
        <w:rPr>
          <w:rFonts w:asciiTheme="majorHAnsi" w:hAnsiTheme="majorHAnsi" w:cstheme="majorHAnsi"/>
          <w:sz w:val="20"/>
          <w:lang w:eastAsia="cs-CZ"/>
        </w:rPr>
      </w:pPr>
      <w:r w:rsidRPr="00EE6A26">
        <w:rPr>
          <w:rFonts w:asciiTheme="majorHAnsi" w:hAnsiTheme="majorHAnsi" w:cstheme="majorHAnsi"/>
          <w:sz w:val="20"/>
          <w:lang w:eastAsia="cs-CZ"/>
        </w:rPr>
        <w:t>Vyhlásenie o zhode alebo certifikát, prevádzkové pokyny a prevádzkový denník musia byť podľa § 8 ods. 9 vyhlášky Ministerstva vnútra Slovenskej republiky č. 478/2008 Z. z. uchované počas prevádzkovania požiarneho uzáveru.</w:t>
      </w:r>
    </w:p>
    <w:p w:rsidR="00EE6A26" w:rsidRPr="00EE6A26" w:rsidRDefault="00EE6A26" w:rsidP="00EE6A26">
      <w:pPr>
        <w:pStyle w:val="Zoznam4"/>
        <w:ind w:left="0" w:firstLine="567"/>
        <w:jc w:val="both"/>
        <w:rPr>
          <w:rFonts w:asciiTheme="majorHAnsi" w:hAnsiTheme="majorHAnsi" w:cstheme="majorHAnsi"/>
          <w:sz w:val="20"/>
          <w:lang w:eastAsia="cs-CZ"/>
        </w:rPr>
      </w:pPr>
      <w:r w:rsidRPr="00EE6A26">
        <w:rPr>
          <w:rFonts w:asciiTheme="majorHAnsi" w:hAnsiTheme="majorHAnsi" w:cstheme="majorHAnsi"/>
          <w:sz w:val="20"/>
          <w:lang w:eastAsia="cs-CZ"/>
        </w:rPr>
        <w:t xml:space="preserve">K posúdeniu požiarnej odolnosti nových stavebných výrobkov a materiálov, na ktoré sú kladené požiadavky z hľadiska požiarnej bezpečnosti, je nutné predložiť certifikáty preukázania zhody alebo vyhlásenia </w:t>
      </w:r>
      <w:r w:rsidRPr="00EE6A26">
        <w:rPr>
          <w:rFonts w:asciiTheme="majorHAnsi" w:hAnsiTheme="majorHAnsi" w:cstheme="majorHAnsi"/>
          <w:sz w:val="20"/>
          <w:lang w:eastAsia="cs-CZ"/>
        </w:rPr>
        <w:lastRenderedPageBreak/>
        <w:t>o zhode použitých stavebných výrobkov a materiálov, ktoré musia spĺňať požiadavky na požadovanú požiarnu odolnosť.</w:t>
      </w:r>
    </w:p>
    <w:p w:rsidR="00EE6A26" w:rsidRPr="00EE6A26" w:rsidRDefault="00EE6A26" w:rsidP="00EE6A26">
      <w:pPr>
        <w:pStyle w:val="Zkladntext"/>
        <w:rPr>
          <w:rFonts w:asciiTheme="majorHAnsi" w:hAnsiTheme="majorHAnsi" w:cstheme="majorHAnsi"/>
          <w:b/>
          <w:highlight w:val="yellow"/>
          <w:u w:val="single"/>
        </w:rPr>
      </w:pPr>
    </w:p>
    <w:p w:rsidR="00EE6A26" w:rsidRPr="00EE6A26" w:rsidRDefault="00EE6A26" w:rsidP="00EE6A26">
      <w:pPr>
        <w:pStyle w:val="Zkladntext"/>
        <w:rPr>
          <w:rFonts w:asciiTheme="majorHAnsi" w:hAnsiTheme="majorHAnsi" w:cstheme="majorHAnsi"/>
          <w:b/>
          <w:u w:val="single"/>
        </w:rPr>
      </w:pPr>
      <w:r w:rsidRPr="00EE6A26">
        <w:rPr>
          <w:rFonts w:asciiTheme="majorHAnsi" w:hAnsiTheme="majorHAnsi" w:cstheme="majorHAnsi"/>
          <w:b/>
          <w:u w:val="single"/>
        </w:rPr>
        <w:t>8. Montáž, obsluha a údržba zariadení</w:t>
      </w:r>
    </w:p>
    <w:p w:rsidR="00EE6A26" w:rsidRPr="00EE6A26" w:rsidRDefault="00EE6A26" w:rsidP="00EE6A26">
      <w:pPr>
        <w:pStyle w:val="Zkladntext"/>
        <w:rPr>
          <w:rFonts w:asciiTheme="majorHAnsi" w:hAnsiTheme="majorHAnsi" w:cstheme="majorHAnsi"/>
          <w:b/>
          <w:u w:val="single"/>
        </w:rPr>
      </w:pPr>
    </w:p>
    <w:p w:rsidR="00EE6A26" w:rsidRPr="00EE6A26" w:rsidRDefault="00EE6A26" w:rsidP="00EE6A26">
      <w:pPr>
        <w:pStyle w:val="Zarkazkladnhotextu"/>
        <w:ind w:left="0" w:firstLine="567"/>
        <w:jc w:val="both"/>
        <w:rPr>
          <w:rFonts w:asciiTheme="majorHAnsi" w:hAnsiTheme="majorHAnsi" w:cstheme="majorHAnsi"/>
          <w:sz w:val="20"/>
        </w:rPr>
      </w:pPr>
      <w:r w:rsidRPr="00EE6A26">
        <w:rPr>
          <w:rFonts w:asciiTheme="majorHAnsi" w:hAnsiTheme="majorHAnsi" w:cstheme="majorHAnsi"/>
          <w:sz w:val="20"/>
        </w:rPr>
        <w:t>Bude použite štvorhranné pozinkované potrubie bude SK1 a kruhové potrubie bude typu SPIRO. Pri montáži potrubia je nutné venovať zvýšenú pozornosť prevedeniu spojov, aby boli minimalizované straty vzduchu únikom netesnosťami v potrubí. Všetky potrubné trasy majú predpísané spoje s tesnením tesniacou páskou a dodatočným tesnením tmelom. Závesy potrubia budú prevedené pomocou oceľových hmoždiniek, závitových tyčiek a uchytenia, v trase potrubí každé 2 až 3 m. Na zamedzenie prenosu vibrácií do stavebnej konštrukcie musia byť potrubia v závesoch uložené pružne cez gumové podložky. Montáž zariadenia je možné prevádzať v priestore, ktorý je po stavebnej stránke pripravený, t. j. omietnutý, vybielený a prevedená hrubá podlaha. Montážny podnik upozorňuje na nutnosť previesť opravu základných náterov poškodených pri doprave, skladovaní a montáži. Konzoly a pomocné konštrukcie je nutné opatriť základným a vrchným náterom. Užívateľ zariadenia je povinný zoznámiť sa s prevádzkovými predpismi a ďalšou dokumentáciou, ktorá bude dodaná s dodávkou zariadenia. Všeobecne sa doporučuje pred spustením zariadenia do prevádzky po montáži alebo oprave, previesť prehliadku celého zariadenia a skontrolovať: funkčnú správnosť chodu zariadení (ventilátory, filtre, klapky…), odstrániť zo zariadenia cudzie predmety, stav a nastavenie regulačných klapiek a vzduchotechnických elementov, tesnosť spojov a potrubí.</w:t>
      </w:r>
    </w:p>
    <w:p w:rsidR="00EE6A26" w:rsidRPr="00EE6A26" w:rsidRDefault="00EE6A26" w:rsidP="00EE6A26">
      <w:pPr>
        <w:pStyle w:val="Zkladntext"/>
        <w:ind w:firstLine="567"/>
        <w:rPr>
          <w:rFonts w:asciiTheme="majorHAnsi" w:hAnsiTheme="majorHAnsi" w:cstheme="majorHAnsi"/>
        </w:rPr>
      </w:pPr>
      <w:r w:rsidRPr="00EE6A26">
        <w:rPr>
          <w:rFonts w:asciiTheme="majorHAnsi" w:hAnsiTheme="majorHAnsi" w:cstheme="majorHAnsi"/>
        </w:rPr>
        <w:t>Okolie technického zariadenia musí byť prístupné pre kontrolu a údržbu. Užívateľ zabezpečí pravidelné revízie zariadení. Klimatizačné zariadenie si vyžaduje obsluhu technicky zaškolenými pracovníkmi a údržbu kvalifikovanými odborníkmi. Doporučený interval prehliadky a servisného úkonu je dvakrát ročne.</w:t>
      </w:r>
    </w:p>
    <w:p w:rsidR="00EE6A26" w:rsidRPr="00EE6A26" w:rsidRDefault="00EE6A26" w:rsidP="00EE6A26">
      <w:pPr>
        <w:pStyle w:val="Zarkazkladnhotextu"/>
        <w:ind w:left="0"/>
        <w:jc w:val="both"/>
        <w:rPr>
          <w:rFonts w:asciiTheme="majorHAnsi" w:hAnsiTheme="majorHAnsi" w:cstheme="majorHAnsi"/>
          <w:b/>
          <w:sz w:val="20"/>
          <w:highlight w:val="yellow"/>
          <w:u w:val="single"/>
        </w:rPr>
      </w:pPr>
    </w:p>
    <w:p w:rsidR="00EE6A26" w:rsidRPr="00EE6A26" w:rsidRDefault="00EE6A26" w:rsidP="00EE6A26">
      <w:pPr>
        <w:pStyle w:val="Zarkazkladnhotextu"/>
        <w:ind w:left="0"/>
        <w:jc w:val="both"/>
        <w:rPr>
          <w:rFonts w:asciiTheme="majorHAnsi" w:hAnsiTheme="majorHAnsi" w:cstheme="majorHAnsi"/>
          <w:b/>
          <w:sz w:val="20"/>
          <w:u w:val="single"/>
        </w:rPr>
      </w:pPr>
      <w:r w:rsidRPr="00EE6A26">
        <w:rPr>
          <w:rFonts w:asciiTheme="majorHAnsi" w:hAnsiTheme="majorHAnsi" w:cstheme="majorHAnsi"/>
          <w:b/>
          <w:sz w:val="20"/>
          <w:u w:val="single"/>
        </w:rPr>
        <w:t>9. Bezpečnosť práce a ochrana zdravia</w:t>
      </w:r>
    </w:p>
    <w:p w:rsidR="00EE6A26" w:rsidRPr="00EE6A26" w:rsidRDefault="00EE6A26" w:rsidP="00EE6A26">
      <w:pPr>
        <w:pStyle w:val="Zarkazkladnhotextu"/>
        <w:ind w:left="0"/>
        <w:jc w:val="both"/>
        <w:rPr>
          <w:rFonts w:asciiTheme="majorHAnsi" w:hAnsiTheme="majorHAnsi" w:cstheme="majorHAnsi"/>
          <w:b/>
          <w:sz w:val="20"/>
          <w:u w:val="single"/>
        </w:rPr>
      </w:pPr>
    </w:p>
    <w:p w:rsidR="00EE6A26" w:rsidRPr="00EE6A26" w:rsidRDefault="00EE6A26" w:rsidP="00EE6A26">
      <w:pPr>
        <w:pStyle w:val="Zkladntext"/>
        <w:ind w:firstLine="567"/>
        <w:rPr>
          <w:rFonts w:asciiTheme="majorHAnsi" w:hAnsiTheme="majorHAnsi" w:cstheme="majorHAnsi"/>
        </w:rPr>
      </w:pPr>
      <w:r w:rsidRPr="00EE6A26">
        <w:rPr>
          <w:rFonts w:asciiTheme="majorHAnsi" w:hAnsiTheme="majorHAnsi" w:cstheme="majorHAnsi"/>
        </w:rPr>
        <w:t xml:space="preserve">Rotačné časti zariadenia musia byť opatrené ochrannými krytmi a nesmú byť svojvoľne odnímateľné alebo poškodzované. </w:t>
      </w:r>
    </w:p>
    <w:p w:rsidR="00EE6A26" w:rsidRPr="00EE6A26" w:rsidRDefault="00EE6A26" w:rsidP="00EE6A26">
      <w:pPr>
        <w:pStyle w:val="Zkladntext"/>
        <w:ind w:firstLine="567"/>
        <w:rPr>
          <w:rFonts w:asciiTheme="majorHAnsi" w:hAnsiTheme="majorHAnsi" w:cstheme="majorHAnsi"/>
        </w:rPr>
      </w:pPr>
      <w:r w:rsidRPr="00EE6A26">
        <w:rPr>
          <w:rFonts w:asciiTheme="majorHAnsi" w:hAnsiTheme="majorHAnsi" w:cstheme="majorHAnsi"/>
        </w:rPr>
        <w:t>Elektroinštalácia musí byť vykonaná odborne podľa platných STN.</w:t>
      </w:r>
    </w:p>
    <w:p w:rsidR="00EE6A26" w:rsidRPr="00EE6A26" w:rsidRDefault="00EE6A26" w:rsidP="00EE6A26">
      <w:pPr>
        <w:pStyle w:val="Zkladntext"/>
        <w:ind w:firstLine="567"/>
        <w:rPr>
          <w:rFonts w:asciiTheme="majorHAnsi" w:hAnsiTheme="majorHAnsi" w:cstheme="majorHAnsi"/>
        </w:rPr>
      </w:pPr>
      <w:r w:rsidRPr="00EE6A26">
        <w:rPr>
          <w:rFonts w:asciiTheme="majorHAnsi" w:hAnsiTheme="majorHAnsi" w:cstheme="majorHAnsi"/>
        </w:rPr>
        <w:t>Systémy chladenia pracujú s ekologickým chladivom R410A.</w:t>
      </w:r>
    </w:p>
    <w:p w:rsidR="00EE6A26" w:rsidRPr="00EE6A26" w:rsidRDefault="00EE6A26" w:rsidP="00EE6A26">
      <w:pPr>
        <w:pStyle w:val="Zkladntext"/>
        <w:rPr>
          <w:rFonts w:asciiTheme="majorHAnsi" w:hAnsiTheme="majorHAnsi" w:cstheme="majorHAnsi"/>
        </w:rPr>
      </w:pPr>
    </w:p>
    <w:p w:rsidR="00EE6A26" w:rsidRPr="00EE6A26" w:rsidRDefault="00EE6A26" w:rsidP="00165ED7">
      <w:pPr>
        <w:pStyle w:val="Nadpis1"/>
      </w:pPr>
      <w:r w:rsidRPr="00EE6A26">
        <w:t>10. Starostlivosť o pracovné a životné prostredie</w:t>
      </w:r>
    </w:p>
    <w:p w:rsidR="00EE6A26" w:rsidRPr="00EE6A26" w:rsidRDefault="00EE6A26" w:rsidP="00EE6A26">
      <w:pPr>
        <w:jc w:val="both"/>
        <w:rPr>
          <w:rFonts w:asciiTheme="majorHAnsi" w:hAnsiTheme="majorHAnsi" w:cstheme="majorHAnsi"/>
          <w:sz w:val="20"/>
        </w:rPr>
      </w:pPr>
    </w:p>
    <w:p w:rsidR="00EE6A26" w:rsidRPr="00EE6A26" w:rsidRDefault="00EE6A26" w:rsidP="00EE6A26">
      <w:pPr>
        <w:ind w:firstLine="540"/>
        <w:jc w:val="both"/>
        <w:rPr>
          <w:rFonts w:asciiTheme="majorHAnsi" w:hAnsiTheme="majorHAnsi" w:cstheme="majorHAnsi"/>
          <w:sz w:val="20"/>
        </w:rPr>
      </w:pPr>
      <w:r w:rsidRPr="00EE6A26">
        <w:rPr>
          <w:rFonts w:asciiTheme="majorHAnsi" w:hAnsiTheme="majorHAnsi" w:cstheme="majorHAnsi"/>
          <w:sz w:val="20"/>
        </w:rPr>
        <w:t xml:space="preserve">1. Na základe vyhlášky MPSVR č. 508/2009 patria chladiace zariadenia medzi technické zariadenia plynové a ich rozdelenie je nasledovné: </w:t>
      </w:r>
    </w:p>
    <w:p w:rsidR="00EE6A26" w:rsidRPr="00EE6A26" w:rsidRDefault="00EE6A26" w:rsidP="00EE6A26">
      <w:pPr>
        <w:pStyle w:val="Zarkazkladnhotextu"/>
        <w:ind w:left="0"/>
        <w:jc w:val="both"/>
        <w:rPr>
          <w:rFonts w:asciiTheme="majorHAnsi" w:hAnsiTheme="majorHAnsi" w:cstheme="majorHAnsi"/>
          <w:sz w:val="20"/>
          <w:u w:val="single"/>
        </w:rPr>
      </w:pPr>
    </w:p>
    <w:p w:rsidR="00EE6A26" w:rsidRPr="00EE6A26" w:rsidRDefault="00EE6A26" w:rsidP="00EE6A26">
      <w:pPr>
        <w:pStyle w:val="Zarkazkladnhotextu"/>
        <w:ind w:left="0"/>
        <w:jc w:val="both"/>
        <w:rPr>
          <w:rFonts w:asciiTheme="majorHAnsi" w:hAnsiTheme="majorHAnsi" w:cstheme="majorHAnsi"/>
          <w:sz w:val="20"/>
          <w:u w:val="single"/>
        </w:rPr>
      </w:pPr>
      <w:r w:rsidRPr="00EE6A26">
        <w:rPr>
          <w:rFonts w:asciiTheme="majorHAnsi" w:hAnsiTheme="majorHAnsi" w:cstheme="majorHAnsi"/>
          <w:sz w:val="20"/>
          <w:u w:val="single"/>
        </w:rPr>
        <w:t>Zariadenie č.1 – Chladenie m.č.1.01, 1.05, 2.02, 2.04:</w:t>
      </w:r>
    </w:p>
    <w:p w:rsidR="00EE6A26" w:rsidRPr="00EE6A26" w:rsidRDefault="00EE6A26" w:rsidP="00EE6A26">
      <w:pPr>
        <w:pStyle w:val="Zarkazkladnhotextu"/>
        <w:ind w:left="0" w:firstLine="567"/>
        <w:jc w:val="both"/>
        <w:rPr>
          <w:rFonts w:asciiTheme="majorHAnsi" w:hAnsiTheme="majorHAnsi" w:cstheme="majorHAnsi"/>
          <w:b/>
          <w:sz w:val="20"/>
          <w:u w:val="single"/>
        </w:rPr>
      </w:pPr>
      <w:r w:rsidRPr="00EE6A26">
        <w:rPr>
          <w:rFonts w:asciiTheme="majorHAnsi" w:hAnsiTheme="majorHAnsi" w:cstheme="majorHAnsi"/>
          <w:color w:val="000000"/>
          <w:sz w:val="20"/>
          <w:shd w:val="clear" w:color="auto" w:fill="FFFFFF"/>
        </w:rPr>
        <w:t>Sú technické zariadenia plynové skupiny B resp. A, zariadenia pracujúce s nebezpečnými plynmi</w:t>
      </w:r>
      <w:r w:rsidRPr="00EE6A26">
        <w:rPr>
          <w:rStyle w:val="apple-converted-space"/>
          <w:rFonts w:asciiTheme="majorHAnsi" w:hAnsiTheme="majorHAnsi" w:cstheme="majorHAnsi"/>
          <w:color w:val="000000"/>
          <w:sz w:val="20"/>
          <w:shd w:val="clear" w:color="auto" w:fill="FFFFFF"/>
        </w:rPr>
        <w:t xml:space="preserve">  - </w:t>
      </w:r>
      <w:r w:rsidRPr="00EE6A26">
        <w:rPr>
          <w:rFonts w:asciiTheme="majorHAnsi" w:hAnsiTheme="majorHAnsi" w:cstheme="majorHAnsi"/>
          <w:color w:val="000000"/>
          <w:sz w:val="20"/>
          <w:shd w:val="clear" w:color="auto" w:fill="FFFFFF"/>
        </w:rPr>
        <w:t>určené na chladenie a mrazenie s množstvom plynu na chladenie od 3 kg do 25 kg vrátane (B) resp. nad 25 kg (A). Pred uvedením zariadenia do prevádzky bude vykonaná odborná prehliadka revíznym technikom. Prehliadka sa vykoná po uskutočnení tlakovej a funkčnej skúšky pred uvedením zariadenia do trvalej prevádzky.</w:t>
      </w:r>
    </w:p>
    <w:p w:rsidR="00EE6A26" w:rsidRPr="00EE6A26" w:rsidRDefault="00EE6A26" w:rsidP="00EE6A26">
      <w:pPr>
        <w:pStyle w:val="Zarkazkladnhotextu"/>
        <w:ind w:left="0" w:firstLine="567"/>
        <w:jc w:val="both"/>
        <w:rPr>
          <w:rFonts w:asciiTheme="majorHAnsi" w:hAnsiTheme="majorHAnsi" w:cstheme="majorHAnsi"/>
          <w:b/>
          <w:sz w:val="20"/>
          <w:highlight w:val="cyan"/>
          <w:u w:val="single"/>
        </w:rPr>
      </w:pPr>
    </w:p>
    <w:p w:rsidR="00EE6A26" w:rsidRPr="00EE6A26" w:rsidRDefault="00EE6A26" w:rsidP="00EE6A26">
      <w:pPr>
        <w:ind w:firstLine="540"/>
        <w:jc w:val="both"/>
        <w:rPr>
          <w:rFonts w:asciiTheme="majorHAnsi" w:hAnsiTheme="majorHAnsi" w:cstheme="majorHAnsi"/>
          <w:sz w:val="20"/>
        </w:rPr>
      </w:pPr>
      <w:r w:rsidRPr="00EE6A26">
        <w:rPr>
          <w:rFonts w:asciiTheme="majorHAnsi" w:hAnsiTheme="majorHAnsi" w:cstheme="majorHAnsi"/>
          <w:sz w:val="20"/>
        </w:rPr>
        <w:t>2. Určenie maximálnej náplne chladiva podľa STN EN 378-1 pre systém je nasledovný:</w:t>
      </w:r>
    </w:p>
    <w:p w:rsidR="00EE6A26" w:rsidRPr="00EE6A26" w:rsidRDefault="00EE6A26" w:rsidP="00EE6A26">
      <w:pPr>
        <w:jc w:val="both"/>
        <w:rPr>
          <w:rFonts w:asciiTheme="majorHAnsi" w:hAnsiTheme="majorHAnsi" w:cstheme="majorHAnsi"/>
          <w:sz w:val="20"/>
        </w:rPr>
      </w:pPr>
    </w:p>
    <w:p w:rsidR="00EE6A26" w:rsidRPr="00EE6A26" w:rsidRDefault="00EE6A26" w:rsidP="00EE6A26">
      <w:pPr>
        <w:pStyle w:val="Zarkazkladnhotextu"/>
        <w:ind w:left="0"/>
        <w:jc w:val="both"/>
        <w:rPr>
          <w:rFonts w:asciiTheme="majorHAnsi" w:hAnsiTheme="majorHAnsi" w:cstheme="majorHAnsi"/>
          <w:sz w:val="20"/>
          <w:u w:val="single"/>
        </w:rPr>
      </w:pPr>
      <w:r w:rsidRPr="00EE6A26">
        <w:rPr>
          <w:rFonts w:asciiTheme="majorHAnsi" w:hAnsiTheme="majorHAnsi" w:cstheme="majorHAnsi"/>
          <w:sz w:val="20"/>
          <w:u w:val="single"/>
        </w:rPr>
        <w:t>Zariadenie č. 1– Chladenie m.č.1.01, 1.05, 2.02, 2.04:</w:t>
      </w:r>
    </w:p>
    <w:p w:rsidR="00EE6A26" w:rsidRPr="00EE6A26" w:rsidRDefault="00EE6A26" w:rsidP="00EE6A26">
      <w:pPr>
        <w:pStyle w:val="Zkladntext"/>
        <w:rPr>
          <w:rFonts w:asciiTheme="majorHAnsi" w:hAnsiTheme="majorHAnsi" w:cstheme="majorHAnsi"/>
          <w:b/>
          <w:u w:val="single"/>
        </w:rPr>
      </w:pPr>
    </w:p>
    <w:p w:rsidR="00EE6A26" w:rsidRPr="00EE6A26" w:rsidRDefault="00EE6A26" w:rsidP="00EE6A26">
      <w:pPr>
        <w:ind w:firstLine="540"/>
        <w:jc w:val="both"/>
        <w:rPr>
          <w:rFonts w:asciiTheme="majorHAnsi" w:hAnsiTheme="majorHAnsi" w:cstheme="majorHAnsi"/>
          <w:sz w:val="20"/>
        </w:rPr>
      </w:pPr>
      <w:r w:rsidRPr="00EE6A26">
        <w:rPr>
          <w:rFonts w:asciiTheme="majorHAnsi" w:hAnsiTheme="majorHAnsi" w:cstheme="majorHAnsi"/>
          <w:sz w:val="20"/>
        </w:rPr>
        <w:t>Tento  systém patrí do kategórie priamych systémov, zaplnenosť je kategórie B - A – Zaplnenosť s dohľadom, kompresor a zberač kvapaliny sa nachádza vo voľnom priestranstve. V systéme je použité chladivo R410A, ktorého kritická koncentrácia je 0,42 kg/m</w:t>
      </w:r>
      <w:r w:rsidRPr="00EE6A26">
        <w:rPr>
          <w:rFonts w:asciiTheme="majorHAnsi" w:hAnsiTheme="majorHAnsi" w:cstheme="majorHAnsi"/>
          <w:sz w:val="20"/>
          <w:vertAlign w:val="superscript"/>
        </w:rPr>
        <w:t>3</w:t>
      </w:r>
      <w:r w:rsidRPr="00EE6A26">
        <w:rPr>
          <w:rFonts w:asciiTheme="majorHAnsi" w:hAnsiTheme="majorHAnsi" w:cstheme="majorHAnsi"/>
          <w:sz w:val="20"/>
        </w:rPr>
        <w:t>. Pri objeme posudzovanej miestnosti – Spálňa (m.č.1.05), je táto kritická koncentrácia chladiva dodržaná.</w:t>
      </w:r>
    </w:p>
    <w:p w:rsidR="00EE6A26" w:rsidRPr="00EE6A26" w:rsidRDefault="00EE6A26" w:rsidP="00EE6A26">
      <w:pPr>
        <w:jc w:val="both"/>
        <w:rPr>
          <w:rFonts w:asciiTheme="majorHAnsi" w:hAnsiTheme="majorHAnsi" w:cstheme="majorHAnsi"/>
          <w:sz w:val="20"/>
          <w:highlight w:val="yellow"/>
        </w:rPr>
      </w:pPr>
    </w:p>
    <w:p w:rsidR="00EE6A26" w:rsidRPr="00EE6A26" w:rsidRDefault="00EE6A26" w:rsidP="00EE6A26">
      <w:pPr>
        <w:pStyle w:val="Zarkazkladnhotextu"/>
        <w:ind w:left="0"/>
        <w:jc w:val="both"/>
        <w:rPr>
          <w:rFonts w:asciiTheme="majorHAnsi" w:hAnsiTheme="majorHAnsi" w:cstheme="majorHAnsi"/>
          <w:b/>
          <w:sz w:val="20"/>
          <w:u w:val="single"/>
        </w:rPr>
      </w:pPr>
      <w:r w:rsidRPr="00EE6A26">
        <w:rPr>
          <w:rFonts w:asciiTheme="majorHAnsi" w:hAnsiTheme="majorHAnsi" w:cstheme="majorHAnsi"/>
          <w:b/>
          <w:sz w:val="20"/>
          <w:u w:val="single"/>
        </w:rPr>
        <w:t>11. Záver</w:t>
      </w:r>
    </w:p>
    <w:p w:rsidR="00EE6A26" w:rsidRPr="00EE6A26" w:rsidRDefault="00EE6A26" w:rsidP="00EE6A26">
      <w:pPr>
        <w:pStyle w:val="Zarkazkladnhotextu"/>
        <w:ind w:left="0"/>
        <w:jc w:val="both"/>
        <w:rPr>
          <w:rFonts w:asciiTheme="majorHAnsi" w:hAnsiTheme="majorHAnsi" w:cstheme="majorHAnsi"/>
          <w:b/>
          <w:sz w:val="20"/>
          <w:u w:val="single"/>
        </w:rPr>
      </w:pPr>
    </w:p>
    <w:p w:rsidR="00EE6A26" w:rsidRPr="00EE6A26" w:rsidRDefault="00EE6A26" w:rsidP="00EE6A26">
      <w:pPr>
        <w:pStyle w:val="Zkladntext"/>
        <w:tabs>
          <w:tab w:val="left" w:pos="426"/>
        </w:tabs>
        <w:ind w:firstLine="567"/>
        <w:rPr>
          <w:rFonts w:asciiTheme="majorHAnsi" w:hAnsiTheme="majorHAnsi" w:cstheme="majorHAnsi"/>
        </w:rPr>
      </w:pPr>
      <w:r w:rsidRPr="00EE6A26">
        <w:rPr>
          <w:rFonts w:asciiTheme="majorHAnsi" w:hAnsiTheme="majorHAnsi" w:cstheme="majorHAnsi"/>
        </w:rPr>
        <w:t>Navrhnuté zariadenia zabezpečia optimálnu pohodu prostredia pri maximálnej hospodárnosti ich prevádzky. Zariadenia budú správne pracovať za predpokladu namontovania odborne spôsobilou firmou podľa projektu a technickej dokumentácie dodávanej výrobcami navrhnutých zariadení.</w:t>
      </w:r>
    </w:p>
    <w:p w:rsidR="00EE6A26" w:rsidRPr="00EE6A26" w:rsidRDefault="00EE6A26" w:rsidP="00EE6A26">
      <w:pPr>
        <w:pStyle w:val="Zkladntext"/>
        <w:tabs>
          <w:tab w:val="left" w:pos="426"/>
        </w:tabs>
        <w:ind w:firstLine="567"/>
        <w:rPr>
          <w:rFonts w:asciiTheme="majorHAnsi" w:hAnsiTheme="majorHAnsi" w:cstheme="majorHAnsi"/>
          <w:highlight w:val="yellow"/>
        </w:rPr>
      </w:pPr>
    </w:p>
    <w:p w:rsidR="00EE6A26" w:rsidRPr="00EE6A26" w:rsidRDefault="00EE6A26" w:rsidP="00EE6A26">
      <w:pPr>
        <w:pStyle w:val="Zkladntext"/>
        <w:tabs>
          <w:tab w:val="left" w:pos="426"/>
        </w:tabs>
        <w:ind w:firstLine="567"/>
        <w:rPr>
          <w:rFonts w:asciiTheme="majorHAnsi" w:hAnsiTheme="majorHAnsi" w:cstheme="majorHAnsi"/>
          <w:highlight w:val="yellow"/>
        </w:rPr>
      </w:pPr>
    </w:p>
    <w:p w:rsidR="00EE6A26" w:rsidRPr="00EE6A26" w:rsidRDefault="00EE6A26" w:rsidP="00EE6A26">
      <w:pPr>
        <w:pStyle w:val="Zkladntext"/>
        <w:tabs>
          <w:tab w:val="left" w:pos="426"/>
        </w:tabs>
        <w:ind w:firstLine="567"/>
        <w:rPr>
          <w:rFonts w:asciiTheme="majorHAnsi" w:hAnsiTheme="majorHAnsi" w:cstheme="majorHAnsi"/>
        </w:rPr>
      </w:pPr>
    </w:p>
    <w:p w:rsidR="00EE6A26" w:rsidRPr="00EE6A26" w:rsidRDefault="00EE6A26" w:rsidP="00EE6A26">
      <w:pPr>
        <w:pStyle w:val="Zarkazkladnhotextu"/>
        <w:ind w:left="0"/>
        <w:jc w:val="both"/>
        <w:rPr>
          <w:rFonts w:asciiTheme="majorHAnsi" w:hAnsiTheme="majorHAnsi" w:cstheme="majorHAnsi"/>
          <w:sz w:val="20"/>
        </w:rPr>
      </w:pPr>
      <w:r w:rsidRPr="00EE6A26">
        <w:rPr>
          <w:rFonts w:asciiTheme="majorHAnsi" w:hAnsiTheme="majorHAnsi" w:cstheme="majorHAnsi"/>
          <w:sz w:val="20"/>
        </w:rPr>
        <w:t>Vypracoval: Ing. Monika Štolcová</w:t>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r>
      <w:r w:rsidRPr="00EE6A26">
        <w:rPr>
          <w:rFonts w:asciiTheme="majorHAnsi" w:hAnsiTheme="majorHAnsi" w:cstheme="majorHAnsi"/>
          <w:sz w:val="20"/>
        </w:rPr>
        <w:tab/>
        <w:t>02/2020</w:t>
      </w:r>
    </w:p>
    <w:p w:rsidR="00534355" w:rsidRPr="00FA5D18" w:rsidRDefault="00534355" w:rsidP="0009245A">
      <w:pPr>
        <w:autoSpaceDE w:val="0"/>
        <w:autoSpaceDN w:val="0"/>
        <w:adjustRightInd w:val="0"/>
        <w:rPr>
          <w:rFonts w:ascii="Calibri" w:hAnsi="Calibri" w:cs="Calibri"/>
          <w:b/>
          <w:iCs/>
          <w:sz w:val="24"/>
        </w:rPr>
      </w:pPr>
    </w:p>
    <w:p w:rsidR="002B3C33" w:rsidRPr="00FA5D18" w:rsidRDefault="002B3C33" w:rsidP="0009245A">
      <w:pPr>
        <w:autoSpaceDE w:val="0"/>
        <w:autoSpaceDN w:val="0"/>
        <w:adjustRightInd w:val="0"/>
        <w:rPr>
          <w:rFonts w:ascii="Calibri" w:hAnsi="Calibri" w:cs="Calibri"/>
          <w:b/>
          <w:iCs/>
          <w:sz w:val="24"/>
        </w:rPr>
      </w:pPr>
    </w:p>
    <w:p w:rsidR="00763F78" w:rsidRPr="0058466B" w:rsidRDefault="00763F78" w:rsidP="0009245A">
      <w:pPr>
        <w:autoSpaceDE w:val="0"/>
        <w:autoSpaceDN w:val="0"/>
        <w:adjustRightInd w:val="0"/>
        <w:rPr>
          <w:rFonts w:ascii="Calibri" w:hAnsi="Calibri" w:cs="Calibri"/>
          <w:b/>
          <w:iCs/>
          <w:sz w:val="24"/>
        </w:rPr>
      </w:pPr>
      <w:r w:rsidRPr="0058466B">
        <w:rPr>
          <w:rFonts w:ascii="Calibri" w:hAnsi="Calibri" w:cs="Calibri"/>
          <w:b/>
          <w:iCs/>
          <w:sz w:val="24"/>
        </w:rPr>
        <w:t>ZTI VNÚTORNÁ</w:t>
      </w:r>
    </w:p>
    <w:p w:rsidR="0058466B" w:rsidRDefault="0058466B" w:rsidP="0009245A">
      <w:pPr>
        <w:autoSpaceDE w:val="0"/>
        <w:autoSpaceDN w:val="0"/>
        <w:adjustRightInd w:val="0"/>
        <w:rPr>
          <w:rFonts w:ascii="Calibri" w:hAnsi="Calibri" w:cs="Calibri"/>
          <w:b/>
          <w:iCs/>
          <w:color w:val="FF0000"/>
          <w:sz w:val="24"/>
        </w:rPr>
      </w:pPr>
    </w:p>
    <w:p w:rsidR="0058466B" w:rsidRPr="0058466B" w:rsidRDefault="0058466B" w:rsidP="0058466B">
      <w:pPr>
        <w:pStyle w:val="Nadpis2"/>
        <w:rPr>
          <w:rFonts w:asciiTheme="majorHAnsi" w:hAnsiTheme="majorHAnsi" w:cstheme="majorHAnsi"/>
          <w:szCs w:val="20"/>
        </w:rPr>
      </w:pPr>
      <w:r w:rsidRPr="0058466B">
        <w:rPr>
          <w:rFonts w:asciiTheme="majorHAnsi" w:hAnsiTheme="majorHAnsi" w:cstheme="majorHAnsi"/>
          <w:szCs w:val="20"/>
        </w:rPr>
        <w:t>Vstupné údaje</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Projekt pre realizáciu stavby bol spracovaný na základe podkladov stavebnej časti, požiadaviek ostatných profesií a investora. Projektová dokumentácia (ďalej PD) zdravotechniky rieši zásobovanie vodou,  odvádzanie splaškových vôd a dažďových vôd zo stavebných objektov Vinárstva.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Jednotlivé navrhované rozvody v objekte sa napájajú na navrhované areálové siete. Predmetom tejto PD sú vnútorné rozvody v objekte, vonkajšie rozvody a siete nie sú predmetom tejto PD a sú v samostatnej časti.</w:t>
      </w:r>
    </w:p>
    <w:p w:rsidR="0058466B" w:rsidRPr="0058466B" w:rsidRDefault="0058466B" w:rsidP="0058466B">
      <w:pPr>
        <w:rPr>
          <w:rFonts w:asciiTheme="majorHAnsi" w:hAnsiTheme="majorHAnsi" w:cstheme="majorHAnsi"/>
          <w:sz w:val="20"/>
        </w:rPr>
      </w:pP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Podkladom pre návrh riešenia boli:</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projektová dokumentácia stavebnej časti Vinárstva</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požiadavky spracovateľov ostatných častí projektovej dokumentácie</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Vybrané súvisiace normy a technické predpisy: </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STN EN 12056 (časť 1 – 5) Gravitačné kanalizačné systémy vnútri budov</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STN 73 6760 (apríl 2009) Kanalizácia v budovách</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STN 73 6655 (júl 2008) Výpočet vodovodov v budovách</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STN 73 6660 Vnútorné vodovody</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STN EN 1717 (755205) Ochrana pitnej vody pred znečistením vo vnútornom vodovode a všeobecné požiadavky na zabezpečovacie zariadenia na zamedzenie znečistenia pri spätnom prúdení.</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STN EN 806 Technické podmienky na zhotovovanie vodovodných potrubí na pitnú vodu vnútri budov: časť 1 Všeobecne, časť 2 Navrhovanie</w:t>
      </w:r>
    </w:p>
    <w:p w:rsidR="0058466B" w:rsidRPr="0058466B" w:rsidRDefault="0058466B" w:rsidP="0058466B">
      <w:pPr>
        <w:numPr>
          <w:ilvl w:val="0"/>
          <w:numId w:val="33"/>
        </w:numPr>
        <w:suppressAutoHyphens/>
        <w:jc w:val="both"/>
        <w:rPr>
          <w:rFonts w:asciiTheme="majorHAnsi" w:hAnsiTheme="majorHAnsi" w:cstheme="majorHAnsi"/>
          <w:sz w:val="20"/>
        </w:rPr>
      </w:pPr>
      <w:r w:rsidRPr="0058466B">
        <w:rPr>
          <w:rFonts w:asciiTheme="majorHAnsi" w:hAnsiTheme="majorHAnsi" w:cstheme="majorHAnsi"/>
          <w:sz w:val="20"/>
        </w:rPr>
        <w:t>STN 06 0320 Ohrievanie úžitkovej vody. Navrhovanie a projektovanie</w:t>
      </w:r>
    </w:p>
    <w:p w:rsidR="0058466B" w:rsidRPr="0058466B" w:rsidRDefault="0058466B" w:rsidP="0058466B">
      <w:pPr>
        <w:numPr>
          <w:ilvl w:val="0"/>
          <w:numId w:val="33"/>
        </w:numPr>
        <w:suppressAutoHyphens/>
        <w:jc w:val="both"/>
        <w:rPr>
          <w:rFonts w:asciiTheme="majorHAnsi" w:hAnsiTheme="majorHAnsi" w:cstheme="majorHAnsi"/>
          <w:sz w:val="20"/>
        </w:rPr>
      </w:pPr>
      <w:r w:rsidRPr="0058466B">
        <w:rPr>
          <w:rFonts w:asciiTheme="majorHAnsi" w:hAnsiTheme="majorHAnsi" w:cstheme="majorHAnsi"/>
          <w:sz w:val="20"/>
        </w:rPr>
        <w:t>STN EN ISO 12241 Tepelná izolácia technických zariadení budov a priemyselných prevádzok, Výpočtové pravidlá.</w:t>
      </w:r>
    </w:p>
    <w:p w:rsidR="0058466B" w:rsidRPr="0058466B" w:rsidRDefault="0058466B" w:rsidP="0058466B">
      <w:pPr>
        <w:numPr>
          <w:ilvl w:val="0"/>
          <w:numId w:val="33"/>
        </w:numPr>
        <w:spacing w:after="240"/>
        <w:jc w:val="both"/>
        <w:rPr>
          <w:rFonts w:asciiTheme="majorHAnsi" w:hAnsiTheme="majorHAnsi" w:cstheme="majorHAnsi"/>
          <w:sz w:val="20"/>
        </w:rPr>
      </w:pPr>
      <w:r w:rsidRPr="0058466B">
        <w:rPr>
          <w:rFonts w:asciiTheme="majorHAnsi" w:hAnsiTheme="majorHAnsi" w:cstheme="majorHAnsi"/>
          <w:sz w:val="20"/>
        </w:rPr>
        <w:t>STN 92 0400 Požiarna bezpečnosť stavieb. Zásobovanie vodou na hasenie požiarov.</w:t>
      </w:r>
    </w:p>
    <w:p w:rsidR="0058466B" w:rsidRPr="0058466B" w:rsidRDefault="0058466B" w:rsidP="0058466B">
      <w:pPr>
        <w:pStyle w:val="Nadpis2"/>
        <w:rPr>
          <w:rFonts w:asciiTheme="majorHAnsi" w:hAnsiTheme="majorHAnsi" w:cstheme="majorHAnsi"/>
          <w:szCs w:val="20"/>
        </w:rPr>
      </w:pPr>
      <w:r w:rsidRPr="0058466B">
        <w:rPr>
          <w:rFonts w:asciiTheme="majorHAnsi" w:hAnsiTheme="majorHAnsi" w:cstheme="majorHAnsi"/>
          <w:szCs w:val="20"/>
        </w:rPr>
        <w:t>Vnútorná kanalizácia</w:t>
      </w:r>
    </w:p>
    <w:p w:rsidR="0058466B" w:rsidRPr="0058466B" w:rsidRDefault="0058466B" w:rsidP="0058466B">
      <w:pPr>
        <w:spacing w:after="120"/>
        <w:rPr>
          <w:rFonts w:asciiTheme="majorHAnsi" w:hAnsiTheme="majorHAnsi" w:cstheme="majorHAnsi"/>
          <w:sz w:val="20"/>
        </w:rPr>
      </w:pPr>
      <w:r w:rsidRPr="0058466B">
        <w:rPr>
          <w:rFonts w:asciiTheme="majorHAnsi" w:hAnsiTheme="majorHAnsi" w:cstheme="majorHAnsi"/>
          <w:sz w:val="20"/>
        </w:rPr>
        <w:t>Vnútorná kanalizácia bude delená na splaškovú, technickú a dažďovú. Vnútorná splašková kanalizácia bude odvádzať odpadové vody zo sociálnych zariadení. Splaškové vody budú odvádzané gravitačne a budú zaústené do areálovej splaškovej kanalizácie. Technická kanalizácia bude odvádzať odpadové vody z oplachov zariadení umiestnených v technických priestoroch a skladoch. Dažďové vody zo strechy budú odvádzané gravitačne vonkajšími dažďovými odpadovými potrubiami a následne zaústené do areálovej dažďovej kanalizácie. Areálové siete sú dodávkou samostatnej časti.</w:t>
      </w:r>
    </w:p>
    <w:p w:rsidR="0058466B" w:rsidRPr="0058466B" w:rsidRDefault="0058466B" w:rsidP="0058466B">
      <w:pPr>
        <w:pStyle w:val="Nadpis2"/>
        <w:rPr>
          <w:rFonts w:asciiTheme="majorHAnsi" w:hAnsiTheme="majorHAnsi" w:cstheme="majorHAnsi"/>
          <w:szCs w:val="20"/>
        </w:rPr>
      </w:pPr>
      <w:proofErr w:type="gramStart"/>
      <w:r w:rsidRPr="0058466B">
        <w:rPr>
          <w:rFonts w:asciiTheme="majorHAnsi" w:hAnsiTheme="majorHAnsi" w:cstheme="majorHAnsi"/>
          <w:szCs w:val="20"/>
        </w:rPr>
        <w:t>Kanalizácia - splašková</w:t>
      </w:r>
      <w:proofErr w:type="gramEnd"/>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Splaškové vody z objektu budú odvádzané gravitačne odpadovými a následne zvodovými potrubiami do areálovej splaškovej kanalizácie. Vnútorná splašková kanalizácia bude odvádzať odpadové vody zo sociálnych zariadení v jednotlivých podlažiach všetkých stavebných objektov.</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Odpadové vody z jednotlivých zariaďovacích predmetov v sociálnych priestoroch budú odvádzané pripájacími potrubiami do odpadových potrubí.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Odpadové potrubia a pripájacie potrubia splaškovej kanalizácie budú vedené v inštalačných šachtách, v drážkach v stenách alebo voľne s dodatočným prekrytím. Pripájacie potrubia budú uložené v sklone najmenej </w:t>
      </w:r>
      <w:r w:rsidRPr="0058466B">
        <w:rPr>
          <w:rFonts w:asciiTheme="majorHAnsi" w:hAnsiTheme="majorHAnsi" w:cstheme="majorHAnsi"/>
          <w:sz w:val="20"/>
        </w:rPr>
        <w:lastRenderedPageBreak/>
        <w:t>3%. Pripájacie potrubia dlhšie ako 4m budú opatrené privzdušňovacími ventilmi napr. HL904, ktoré budú osadené na trase pripájacieho potrubia na zvislom potrubí.</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Všetky potrubia kanalizácie budú pripevňované k stavebným konštrukciám prvkami s gumenou výstelkou proti prenosu hluku. Pri montáži vývodov  kanalizácie pre zariaďovacie predmety je potrebné konzultovať ich presnú pôdorysnú polohu so stavebníkom alebo s architektom, dodávateľom technologických zariadení a prispôsobiť vybratým zariadeniam.</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Správna funkcia gravitačnej splaškovej kanalizácie bude zabezpečená vetracím potrubím vyvedeným nad strechu a ukončeným plastovou vetracou hlavicou (HL810). Odpadové potrubia, ktoré nie je možné odvetrať nad strechu budú opatrené privetrávacími ventilmi prístupnými cez dvierka. Čistenie odpadových potrubí bude možné cez čistiace tvarovky ukončené uzatváracím viečkom na závit, ktoré budú umiestnené jeden meter nad podlahou najnižšieho podlažia, alebo pri zmene smeru odpadového potrubia.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Pre napojenie  pračky je navrhnutý zápachový uzávery HL 406. Pre napojenie umývačky riadu je navrhnutý zápachový uzávery HL 410. Odvod vody z poistného ventilu zásobníkového ohrievača bude odvádzaný cez zápachový uzáver HL21.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Odvod vody z bezpečnostnej skupiny elektrického ohrievača pod umývadlom bude odvádzaný cez zápachový uzáver HL21.</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Odvod kondenzu od vzduchotechnických jednotiek v objekte SO 01 bude do splaškovej kanalizácie cez podomietkové zápachové uzávery osadené na potrubí.</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V objekte SO02-B bude odpadové potrubie splaškovej kanalizácie S6 vyvedené pod strop a bude zaslepené. Bude slúžiť ako príprava pre napojenie zariaďovacích predmetov z 2.NP.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Potrubie kanalizácie v zemi z hrdlových kanalizačných rúr z PVC bude uložené v spáde v nerozmočenom výkope na vyrovnanom zhutnenom pieskovom lôžku hrubom </w:t>
      </w:r>
      <w:smartTag w:uri="urn:schemas-microsoft-com:office:smarttags" w:element="metricconverter">
        <w:smartTagPr>
          <w:attr w:name="ProductID" w:val="150 mm"/>
        </w:smartTagPr>
        <w:r w:rsidRPr="0058466B">
          <w:rPr>
            <w:rFonts w:asciiTheme="majorHAnsi" w:hAnsiTheme="majorHAnsi" w:cstheme="majorHAnsi"/>
            <w:sz w:val="20"/>
          </w:rPr>
          <w:t>150 mm</w:t>
        </w:r>
      </w:smartTag>
      <w:r w:rsidRPr="0058466B">
        <w:rPr>
          <w:rFonts w:asciiTheme="majorHAnsi" w:hAnsiTheme="majorHAnsi" w:cstheme="majorHAnsi"/>
          <w:sz w:val="20"/>
        </w:rPr>
        <w:t xml:space="preserve">. Potrubie sa obsype do výšky </w:t>
      </w:r>
      <w:smartTag w:uri="urn:schemas-microsoft-com:office:smarttags" w:element="metricconverter">
        <w:smartTagPr>
          <w:attr w:name="ProductID" w:val="300 mm"/>
        </w:smartTagPr>
        <w:r w:rsidRPr="0058466B">
          <w:rPr>
            <w:rFonts w:asciiTheme="majorHAnsi" w:hAnsiTheme="majorHAnsi" w:cstheme="majorHAnsi"/>
            <w:sz w:val="20"/>
          </w:rPr>
          <w:t>300 mm</w:t>
        </w:r>
      </w:smartTag>
      <w:r w:rsidRPr="0058466B">
        <w:rPr>
          <w:rFonts w:asciiTheme="majorHAnsi" w:hAnsiTheme="majorHAnsi" w:cstheme="majorHAnsi"/>
          <w:sz w:val="20"/>
        </w:rPr>
        <w:t xml:space="preserve"> nad vrchol rúry pieskom. Obsyp sa rovnomerne zhutní po vrstvách hrubých </w:t>
      </w:r>
      <w:smartTag w:uri="urn:schemas-microsoft-com:office:smarttags" w:element="metricconverter">
        <w:smartTagPr>
          <w:attr w:name="ProductID" w:val="150 mm"/>
        </w:smartTagPr>
        <w:r w:rsidRPr="0058466B">
          <w:rPr>
            <w:rFonts w:asciiTheme="majorHAnsi" w:hAnsiTheme="majorHAnsi" w:cstheme="majorHAnsi"/>
            <w:sz w:val="20"/>
          </w:rPr>
          <w:t>150 mm</w:t>
        </w:r>
      </w:smartTag>
      <w:r w:rsidRPr="0058466B">
        <w:rPr>
          <w:rFonts w:asciiTheme="majorHAnsi" w:hAnsiTheme="majorHAnsi" w:cstheme="majorHAnsi"/>
          <w:sz w:val="20"/>
        </w:rPr>
        <w:t>, priamo nad rúrou sa nezhutňuje. Ryha sa zasype výkopovým materiálom a zásyp sa zhutňuje po vrstvách. V prípade výskytu podzemných vôd sa výkop ryhy odvodní drenážou.</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Všetky zmeny smeru potrubia kanalizácie sa budú montovať s kolenami s uhlom najviac 45°. Prestupy potrubia cez podkladový betón zo zeme do interiéru je potrebné izolovať proti podzemnej vode a v mieste prestupu bude pevný bod (viď technologické predpisy výrobcu rúr).</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Po ukončení montáže vnútornej gravitačnej kanalizácie sa vykonajú skúšky podľa STN 73 6760.</w:t>
      </w:r>
    </w:p>
    <w:p w:rsidR="0058466B" w:rsidRPr="0058466B" w:rsidRDefault="0058466B" w:rsidP="0058466B">
      <w:pPr>
        <w:rPr>
          <w:rFonts w:asciiTheme="majorHAnsi" w:hAnsiTheme="majorHAnsi" w:cstheme="majorHAnsi"/>
          <w:sz w:val="20"/>
        </w:rPr>
      </w:pP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Podrobný výpočet množstva odvádzaných splaškových vôd je spracovaný v samostatnej časti PD vonkajších rozvodov.</w:t>
      </w:r>
    </w:p>
    <w:p w:rsidR="0058466B" w:rsidRPr="0058466B" w:rsidRDefault="0058466B" w:rsidP="0058466B">
      <w:pPr>
        <w:pStyle w:val="Nadpis2"/>
        <w:rPr>
          <w:rFonts w:asciiTheme="majorHAnsi" w:hAnsiTheme="majorHAnsi" w:cstheme="majorHAnsi"/>
          <w:szCs w:val="20"/>
        </w:rPr>
      </w:pPr>
      <w:proofErr w:type="gramStart"/>
      <w:r w:rsidRPr="0058466B">
        <w:rPr>
          <w:rFonts w:asciiTheme="majorHAnsi" w:hAnsiTheme="majorHAnsi" w:cstheme="majorHAnsi"/>
          <w:szCs w:val="20"/>
        </w:rPr>
        <w:t>Kanalizácia - technická</w:t>
      </w:r>
      <w:proofErr w:type="gramEnd"/>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Technická kanalizácia bude odvádzať odpadové vody z oplachov zariadení umiestnených v technických priestoroch a skladoch. Odpadové vody budú na podlahách zachytávané v odvodňovacích žľaboch (ACO Modular 20 a ACO Modular 125 od spoločnosti ACO) a následne gravitačne zvedené pod stropom alebo v zemi do prečerpávacieho zariadenia (ACO Muli.Mini DDP 1.1 od spoločnosti ACO) osadeného v jímke pod schodami v objekte SO 02-A. Následne budú odpadové vody prečerpávané a výtlačným potrubím zaústené do areálovej technickej kanalizácie. </w:t>
      </w:r>
    </w:p>
    <w:p w:rsidR="0058466B" w:rsidRPr="0058466B" w:rsidRDefault="0058466B" w:rsidP="0058466B">
      <w:pPr>
        <w:pStyle w:val="Nadpis2"/>
        <w:rPr>
          <w:rFonts w:asciiTheme="majorHAnsi" w:hAnsiTheme="majorHAnsi" w:cstheme="majorHAnsi"/>
          <w:szCs w:val="20"/>
        </w:rPr>
      </w:pPr>
      <w:proofErr w:type="gramStart"/>
      <w:r w:rsidRPr="0058466B">
        <w:rPr>
          <w:rFonts w:asciiTheme="majorHAnsi" w:hAnsiTheme="majorHAnsi" w:cstheme="majorHAnsi"/>
          <w:szCs w:val="20"/>
        </w:rPr>
        <w:t>Kanalizácia - dažďová</w:t>
      </w:r>
      <w:proofErr w:type="gramEnd"/>
    </w:p>
    <w:p w:rsidR="0058466B" w:rsidRPr="0058466B" w:rsidRDefault="0058466B" w:rsidP="0058466B">
      <w:pPr>
        <w:ind w:firstLine="708"/>
        <w:rPr>
          <w:rFonts w:asciiTheme="majorHAnsi" w:hAnsiTheme="majorHAnsi" w:cstheme="majorHAnsi"/>
          <w:sz w:val="20"/>
        </w:rPr>
      </w:pPr>
      <w:r w:rsidRPr="0058466B">
        <w:rPr>
          <w:rFonts w:asciiTheme="majorHAnsi" w:hAnsiTheme="majorHAnsi" w:cstheme="majorHAnsi"/>
          <w:sz w:val="20"/>
        </w:rPr>
        <w:t>Dažďové vody zo strechy  objektov Vinárstva budú odvádzané gravitačne vonkajšími dažďovými odpadmi vedenými vo fasáde. Odpadové potrubia dažďovej kanalizácie budú napojené na za atikové žľaby (za atikové žľaby sú dodávka stavby). Vonkajšie dažďové zvody budú na úrovni terénu zaústené do lapačov strešných splavením HL600NHO. Dažďové vody z plochej strechy medzi objektom SO 02-A a SO 02-B budú odvádzané jedným strešným tokom. Skladba strešného vtoku bude prispôsobená skladbe strešného plášťa. Strešný vtok bude vyhrievaný.</w:t>
      </w:r>
    </w:p>
    <w:p w:rsidR="0058466B" w:rsidRPr="0058466B" w:rsidRDefault="0058466B" w:rsidP="0058466B">
      <w:pPr>
        <w:ind w:firstLine="708"/>
        <w:rPr>
          <w:rFonts w:asciiTheme="majorHAnsi" w:hAnsiTheme="majorHAnsi" w:cstheme="majorHAnsi"/>
          <w:sz w:val="20"/>
        </w:rPr>
      </w:pPr>
      <w:r w:rsidRPr="0058466B">
        <w:rPr>
          <w:rFonts w:asciiTheme="majorHAnsi" w:hAnsiTheme="majorHAnsi" w:cstheme="majorHAnsi"/>
          <w:sz w:val="20"/>
        </w:rPr>
        <w:t xml:space="preserve">Dažďové vody zo strechy objektu SO 03 budú odvádzané odpadovými potrubiami vedenými po stene (odpadové potrubia sú dodávkou stavby) a na úrovni terénu budú zaústené do lapačov strešných splavením HL600. </w:t>
      </w:r>
    </w:p>
    <w:p w:rsidR="0058466B" w:rsidRPr="0058466B" w:rsidRDefault="0058466B" w:rsidP="0058466B">
      <w:pPr>
        <w:ind w:firstLine="708"/>
        <w:rPr>
          <w:rFonts w:asciiTheme="majorHAnsi" w:hAnsiTheme="majorHAnsi" w:cstheme="majorHAnsi"/>
          <w:sz w:val="20"/>
        </w:rPr>
      </w:pPr>
      <w:r w:rsidRPr="0058466B">
        <w:rPr>
          <w:rFonts w:asciiTheme="majorHAnsi" w:hAnsiTheme="majorHAnsi" w:cstheme="majorHAnsi"/>
          <w:sz w:val="20"/>
        </w:rPr>
        <w:t>Ležaté trasy kanalizácie v zemi budú vedené obdobným spôsobom ako pri splaškovej kanalizácii. Ako materiál budú použité rúry obdobné ako pri splaškovej kanalizácii.</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Podrobný výpočet množstva odvádzaných dažďových vôd je spracovaný v samostatnej časti PD vonkajších rozvodov.</w:t>
      </w:r>
    </w:p>
    <w:p w:rsidR="0058466B" w:rsidRPr="0058466B" w:rsidRDefault="0058466B" w:rsidP="0058466B">
      <w:pPr>
        <w:pStyle w:val="Nadpis3"/>
        <w:ind w:firstLine="0"/>
        <w:rPr>
          <w:rFonts w:asciiTheme="majorHAnsi" w:hAnsiTheme="majorHAnsi" w:cstheme="majorHAnsi"/>
        </w:rPr>
      </w:pPr>
      <w:r w:rsidRPr="0058466B">
        <w:rPr>
          <w:rFonts w:asciiTheme="majorHAnsi" w:hAnsiTheme="majorHAnsi" w:cstheme="majorHAnsi"/>
        </w:rPr>
        <w:lastRenderedPageBreak/>
        <w:t>Materiál kanalizácie</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ležatá (zvodová) kanalizácia splašková a dažďová v zemi: rúry a tvarovky kanalizačné z PVC (alternatívne: PP)</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odpadové potrubia, zavesené potrubia pod stropom: rúry a tvarovky z odhlučneného  polypropylénu (PP) pre vnútornú kanalizáciu, hrdlované, tesnené gumeným krúžkom</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pripojovacie potrubia: rúry a tvarovky z polypropylénu (PP) pre vnútornú kanalizáciu, hrdlované, tesnené gumeným krúžkom</w:t>
      </w:r>
    </w:p>
    <w:p w:rsidR="0058466B" w:rsidRPr="0058466B" w:rsidRDefault="0058466B" w:rsidP="0058466B">
      <w:pPr>
        <w:pStyle w:val="Nadpis3"/>
        <w:ind w:firstLine="0"/>
        <w:rPr>
          <w:rFonts w:asciiTheme="majorHAnsi" w:hAnsiTheme="majorHAnsi" w:cstheme="majorHAnsi"/>
        </w:rPr>
      </w:pPr>
      <w:r w:rsidRPr="0058466B">
        <w:rPr>
          <w:rFonts w:asciiTheme="majorHAnsi" w:hAnsiTheme="majorHAnsi" w:cstheme="majorHAnsi"/>
        </w:rPr>
        <w:t>Uloženie kanalizácie</w:t>
      </w:r>
    </w:p>
    <w:p w:rsidR="0058466B" w:rsidRPr="0058466B" w:rsidRDefault="0058466B" w:rsidP="0058466B">
      <w:pPr>
        <w:numPr>
          <w:ilvl w:val="0"/>
          <w:numId w:val="34"/>
        </w:numPr>
        <w:jc w:val="both"/>
        <w:rPr>
          <w:rFonts w:asciiTheme="majorHAnsi" w:hAnsiTheme="majorHAnsi" w:cstheme="majorHAnsi"/>
          <w:sz w:val="20"/>
        </w:rPr>
      </w:pPr>
      <w:r w:rsidRPr="0058466B">
        <w:rPr>
          <w:rFonts w:asciiTheme="majorHAnsi" w:hAnsiTheme="majorHAnsi" w:cstheme="majorHAnsi"/>
          <w:sz w:val="20"/>
        </w:rPr>
        <w:t>splašková kanalizácia: pripevňovacie prvky s gumenou výstelkou (systém HILTI alebo rovnocenný)</w:t>
      </w:r>
    </w:p>
    <w:p w:rsidR="0058466B" w:rsidRPr="0058466B" w:rsidRDefault="0058466B" w:rsidP="0058466B">
      <w:pPr>
        <w:numPr>
          <w:ilvl w:val="0"/>
          <w:numId w:val="34"/>
        </w:numPr>
        <w:jc w:val="both"/>
        <w:rPr>
          <w:rFonts w:asciiTheme="majorHAnsi" w:hAnsiTheme="majorHAnsi" w:cstheme="majorHAnsi"/>
          <w:sz w:val="20"/>
        </w:rPr>
      </w:pPr>
      <w:r w:rsidRPr="0058466B">
        <w:rPr>
          <w:rFonts w:asciiTheme="majorHAnsi" w:hAnsiTheme="majorHAnsi" w:cstheme="majorHAnsi"/>
          <w:sz w:val="20"/>
        </w:rPr>
        <w:t>závesy budú montované podľa platných predpisov dodávateľa závesného systému. Počas realizácie je nevyhnutná koordinácia s ostatnými profesiami. Pred realizáciou rozvodov je potrebné kontaktovať dodávateľa závesného systému, resp. realizačnú firmu.</w:t>
      </w:r>
    </w:p>
    <w:p w:rsidR="0058466B" w:rsidRPr="0058466B" w:rsidRDefault="0058466B" w:rsidP="0058466B">
      <w:pPr>
        <w:pStyle w:val="Nadpis2"/>
        <w:rPr>
          <w:rFonts w:asciiTheme="majorHAnsi" w:hAnsiTheme="majorHAnsi" w:cstheme="majorHAnsi"/>
          <w:szCs w:val="20"/>
        </w:rPr>
      </w:pPr>
      <w:r w:rsidRPr="0058466B">
        <w:rPr>
          <w:rFonts w:asciiTheme="majorHAnsi" w:hAnsiTheme="majorHAnsi" w:cstheme="majorHAnsi"/>
          <w:szCs w:val="20"/>
        </w:rPr>
        <w:t xml:space="preserve">Vnútorný vodovod </w:t>
      </w:r>
    </w:p>
    <w:p w:rsidR="0058466B" w:rsidRPr="0058466B" w:rsidRDefault="0058466B" w:rsidP="0058466B">
      <w:pPr>
        <w:ind w:firstLine="540"/>
        <w:rPr>
          <w:rFonts w:asciiTheme="majorHAnsi" w:hAnsiTheme="majorHAnsi" w:cstheme="majorHAnsi"/>
          <w:sz w:val="20"/>
        </w:rPr>
      </w:pPr>
      <w:r w:rsidRPr="0058466B">
        <w:rPr>
          <w:rFonts w:asciiTheme="majorHAnsi" w:hAnsiTheme="majorHAnsi" w:cstheme="majorHAnsi"/>
          <w:sz w:val="20"/>
        </w:rPr>
        <w:t xml:space="preserve">Objekty Vinárstva budú zásobované pitnou vodou z verejného vodovodu. Pitný vodovod bude zásobovať zariaďovacie predmety v sociálnych priestoroch a bude slúžiť i pre potreby technológie. </w:t>
      </w:r>
    </w:p>
    <w:p w:rsidR="0058466B" w:rsidRPr="0058466B" w:rsidRDefault="0058466B" w:rsidP="0058466B">
      <w:pPr>
        <w:pStyle w:val="Nadpis2"/>
        <w:rPr>
          <w:rFonts w:asciiTheme="majorHAnsi" w:hAnsiTheme="majorHAnsi" w:cstheme="majorHAnsi"/>
          <w:szCs w:val="20"/>
        </w:rPr>
      </w:pPr>
      <w:r w:rsidRPr="0058466B">
        <w:rPr>
          <w:rFonts w:asciiTheme="majorHAnsi" w:hAnsiTheme="majorHAnsi" w:cstheme="majorHAnsi"/>
          <w:szCs w:val="20"/>
        </w:rPr>
        <w:t xml:space="preserve">Vnútorný pitný vodovod </w:t>
      </w:r>
    </w:p>
    <w:p w:rsidR="0058466B" w:rsidRPr="0058466B" w:rsidRDefault="0058466B" w:rsidP="0058466B">
      <w:pPr>
        <w:ind w:firstLine="540"/>
        <w:rPr>
          <w:rFonts w:asciiTheme="majorHAnsi" w:hAnsiTheme="majorHAnsi" w:cstheme="majorHAnsi"/>
          <w:sz w:val="20"/>
        </w:rPr>
      </w:pPr>
      <w:r w:rsidRPr="0058466B">
        <w:rPr>
          <w:rFonts w:asciiTheme="majorHAnsi" w:hAnsiTheme="majorHAnsi" w:cstheme="majorHAnsi"/>
          <w:sz w:val="20"/>
        </w:rPr>
        <w:t xml:space="preserve">Prívod vody do riešených objektov bude v miestnosti 1.01 na 1.NP v objekte „SO 01“ a v miestnosti 0.04 na 1.PP v objekte „SO 02-A“. Za vstupom potrubia do objektu bude na potrubí osadený uzáver vody príslušnej dimenzie. </w:t>
      </w:r>
    </w:p>
    <w:p w:rsidR="0058466B" w:rsidRPr="0058466B" w:rsidRDefault="0058466B" w:rsidP="0058466B">
      <w:pPr>
        <w:ind w:firstLine="540"/>
        <w:rPr>
          <w:rFonts w:asciiTheme="majorHAnsi" w:hAnsiTheme="majorHAnsi" w:cstheme="majorHAnsi"/>
          <w:sz w:val="20"/>
        </w:rPr>
      </w:pPr>
      <w:r w:rsidRPr="0058466B">
        <w:rPr>
          <w:rFonts w:asciiTheme="majorHAnsi" w:hAnsiTheme="majorHAnsi" w:cstheme="majorHAnsi"/>
          <w:sz w:val="20"/>
        </w:rPr>
        <w:t>Prestup potrubia zo zeme do objektu je potrebné utesniť proti podzemnej</w:t>
      </w:r>
      <w:r w:rsidRPr="0058466B">
        <w:rPr>
          <w:rFonts w:asciiTheme="majorHAnsi" w:hAnsiTheme="majorHAnsi" w:cstheme="majorHAnsi"/>
          <w:b/>
          <w:sz w:val="20"/>
        </w:rPr>
        <w:t xml:space="preserve"> </w:t>
      </w:r>
      <w:r w:rsidRPr="0058466B">
        <w:rPr>
          <w:rFonts w:asciiTheme="majorHAnsi" w:hAnsiTheme="majorHAnsi" w:cstheme="majorHAnsi"/>
          <w:sz w:val="20"/>
        </w:rPr>
        <w:t>vode a pripojiť na hydroizoláciu v koordinácii s riešením stavebnej časti. Potrubie studenej vody je privedené do priestorov 1.NP a 1.PP, odkiaľ pokračuje rozvod vody ku jednotlivým odberným miestam. Z rozvodu vodovodu pre objekt SO 02 bude zásobovaný vodou i objekt SO 03. Rozvod vody pre objekt SO 03 sa bude na zimu vypúšťať v priestoroch 1.PP objektu SO 02.</w:t>
      </w:r>
    </w:p>
    <w:p w:rsidR="0058466B" w:rsidRPr="0058466B" w:rsidRDefault="0058466B" w:rsidP="0058466B">
      <w:pPr>
        <w:ind w:firstLine="540"/>
        <w:rPr>
          <w:rFonts w:asciiTheme="majorHAnsi" w:hAnsiTheme="majorHAnsi" w:cstheme="majorHAnsi"/>
          <w:sz w:val="20"/>
        </w:rPr>
      </w:pPr>
      <w:r w:rsidRPr="0058466B">
        <w:rPr>
          <w:rFonts w:asciiTheme="majorHAnsi" w:hAnsiTheme="majorHAnsi" w:cstheme="majorHAnsi"/>
          <w:sz w:val="20"/>
        </w:rPr>
        <w:t>Za vstupom potrubia vodovodu do objektu SO02 na 1.PP sa na rozvod pitnej vody napojí požiarny rozvod oddelením v zmysle STN EN 1717. Na potrubí požiarnej vody sa osadí kontrolovateľný spätný ventil EA RV 277 DN32.</w:t>
      </w:r>
    </w:p>
    <w:p w:rsidR="0058466B" w:rsidRPr="0058466B" w:rsidRDefault="0058466B" w:rsidP="0058466B">
      <w:pPr>
        <w:ind w:firstLine="540"/>
        <w:rPr>
          <w:rFonts w:asciiTheme="majorHAnsi" w:hAnsiTheme="majorHAnsi" w:cstheme="majorHAnsi"/>
          <w:sz w:val="20"/>
        </w:rPr>
      </w:pPr>
      <w:r w:rsidRPr="0058466B">
        <w:rPr>
          <w:rFonts w:asciiTheme="majorHAnsi" w:hAnsiTheme="majorHAnsi" w:cstheme="majorHAnsi"/>
          <w:sz w:val="20"/>
        </w:rPr>
        <w:t xml:space="preserve">Potrubia vnútorného vodovodu budú uložené nad sebou v drážkach v stenách,  v podlahe, alebo voľne s dodatočným prekrytím.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Ohrev teplej vody bude v miestnosti 1.01 na 1.NP (SO 01) v horizontálnom elektrickom zásobníkovom ohrievači teplej vody s objemom 200 litrov a v miestnosti 1.19 na 1.NP (SO 02-B) v elektrických zásobníkových ohrievači teplej vody s objemom 150 litrov. Do zostavy pre pripojenie zásobníkových ohrievačov na studenú vodu navrhujeme osadiť expanznú nádobu Refix DD18, PN10.</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Rozvod teplej vody pre objekt SO 01 a SO 02 bude opatrený nútenou cirkuláciou s cirkulačným čerpadlom s integrovaným snímačom teploty.</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Pripojenie ohrievačov vody na vodovod bude v zmysle STN 060830 a STN EN1717. V zostave bude zaradený kontrolovateľný spätný ventil (napr. Honeywell EA RV 284).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Ohrev teplej vody pre objekt SO 03 bude pod umývadlom v elektrickom zásobníkovom ohrievači s objemom 5 litrov. Na prívode vode pre umývadlo a zásobníkový ohrievač bude osadená bezpečnostná skupina SVMT.</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Podľa požiadaviek technológie sú do požadovaných polôh privedené potrubia studenej a teplej vody, ktoré sú ukončené uzatváracími ventilmi.</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Na fasáde objektu SO 02-A bude osadený ventil s napojením na hadicu, ktorý bude zásobovaný vodou z retenčnej nádrže RN2. Vetva polievacieho vodovodu sa bude na zimu vypúšťať.</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Vnútorný vodovod bude odvzdušnený cez výtokové armatúry, odvodnený cez najnižšie položené armatúry. Všetky potrubia budú pripevňované k stavebným konštrukciám pripevňovacími prvkami s gumenou výstelkou proti prenosu hluku. Armatúry budú umiestnené tak, aby boli voľne prístupné, kontrolovateľné a vymeniteľné.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Po montáži pitného vodovodu sa vykoná tlaková skúška rozvodov vody v zmysle STN 73 66 60. Po úspešnej skúške sa urobí prepláchnutie a dezinfekcia potrubia. Označený profil vodovodných potrubí vo výkresoch znamená menovitú svetlosť = vnútorný profil rúry (označenie aj „DN“). </w:t>
      </w:r>
    </w:p>
    <w:p w:rsidR="0058466B" w:rsidRPr="0058466B" w:rsidRDefault="0058466B" w:rsidP="0058466B">
      <w:pPr>
        <w:rPr>
          <w:rFonts w:asciiTheme="majorHAnsi" w:hAnsiTheme="majorHAnsi" w:cstheme="majorHAnsi"/>
          <w:sz w:val="20"/>
        </w:rPr>
      </w:pPr>
    </w:p>
    <w:p w:rsidR="0058466B" w:rsidRPr="0058466B" w:rsidRDefault="0058466B" w:rsidP="0058466B">
      <w:pPr>
        <w:pStyle w:val="Nadpis3"/>
        <w:ind w:firstLine="0"/>
        <w:rPr>
          <w:rFonts w:asciiTheme="majorHAnsi" w:hAnsiTheme="majorHAnsi" w:cstheme="majorHAnsi"/>
        </w:rPr>
      </w:pPr>
      <w:r w:rsidRPr="0058466B">
        <w:rPr>
          <w:rFonts w:asciiTheme="majorHAnsi" w:hAnsiTheme="majorHAnsi" w:cstheme="majorHAnsi"/>
        </w:rPr>
        <w:lastRenderedPageBreak/>
        <w:t xml:space="preserve">Výpočet množstva potreby vody: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Podrobný výpočet množstva potreby vody je spracovaný v samostatnej časti PD vonkajších rozvodov.</w:t>
      </w:r>
    </w:p>
    <w:p w:rsidR="0058466B" w:rsidRPr="0058466B" w:rsidRDefault="0058466B" w:rsidP="0058466B">
      <w:pPr>
        <w:pStyle w:val="Nadpis2"/>
        <w:rPr>
          <w:rFonts w:asciiTheme="majorHAnsi" w:hAnsiTheme="majorHAnsi" w:cstheme="majorHAnsi"/>
          <w:szCs w:val="20"/>
        </w:rPr>
      </w:pPr>
      <w:r w:rsidRPr="0058466B">
        <w:rPr>
          <w:rFonts w:asciiTheme="majorHAnsi" w:hAnsiTheme="majorHAnsi" w:cstheme="majorHAnsi"/>
          <w:szCs w:val="20"/>
        </w:rPr>
        <w:t xml:space="preserve">Požiarny vodovod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Vnútorný požiarny rozvod vody zásobuje vnútorný hadicový naviják DN25/30 umiestnený v objekte SO 02-A na 1.NP. Vnútorný požiarny vodovod sa napojí na rozvod studenej pitnej vody na 1.PP objektu SO 02-B, oddelením v zmysle STN EN 1717. Hydrantový rozvod je vedený v podlahe na 1.NP.</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V objekte sa navrhujú navíjacie hadicové zariadenia s tvarovo stálou hadicou DN25 dĺžky 30m, v súlade s platnou STN, s prietokom 1,1 l/s pri tlaku 0,2 MPa. Hadicové navijaky budú umiestnené v objekte v zmysle požiadaviek požiarnej ochrany. Prípojky pre hadicové navijaky musia byť dimenzie DN 32. Pred každým hadicovým navijakom bude osadený vo výške cca 1,3 m nad podlahou uzatvárací ventil DN32.</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Vnútorný požiarny vodovod sa bude vypúšťať cez hydranty osadené v objekte alebo cez  najnižšie položené výtokové armatúry. Vodovod bude spádovaný k týmto miestam.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Po montáži sa vykoná tlaková skúška rozvodov vody. Po úspešnej skúške sa urobí prepláchnutie potrubia.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Celý rozvod požiarnej vody v objekte sa obalí izoláciou proti kondenzácii vodných pár.</w:t>
      </w:r>
    </w:p>
    <w:p w:rsidR="0058466B" w:rsidRPr="0058466B" w:rsidRDefault="0058466B" w:rsidP="0058466B">
      <w:pPr>
        <w:rPr>
          <w:rFonts w:asciiTheme="majorHAnsi" w:hAnsiTheme="majorHAnsi" w:cstheme="majorHAnsi"/>
          <w:sz w:val="20"/>
        </w:rPr>
      </w:pPr>
    </w:p>
    <w:p w:rsidR="0058466B" w:rsidRPr="0058466B" w:rsidRDefault="0058466B" w:rsidP="0058466B">
      <w:pPr>
        <w:pStyle w:val="Nadpis3"/>
        <w:rPr>
          <w:rFonts w:asciiTheme="majorHAnsi" w:hAnsiTheme="majorHAnsi" w:cstheme="majorHAnsi"/>
        </w:rPr>
      </w:pPr>
      <w:r w:rsidRPr="0058466B">
        <w:rPr>
          <w:rFonts w:asciiTheme="majorHAnsi" w:hAnsiTheme="majorHAnsi" w:cstheme="majorHAnsi"/>
        </w:rPr>
        <w:t>Materiál vodovodu</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 xml:space="preserve">rozvody vodovodu, stúpacie potrubia, ležatý rozvod a pripájacie potrubia - studená pitná voda, ohriata pitná voda: viacvrstvové plasthliníkové rúry, max. prevádzkový tlak 10 bar pri trvalej prevádzkovej teplote 70°C </w:t>
      </w:r>
    </w:p>
    <w:p w:rsidR="0058466B" w:rsidRPr="0058466B" w:rsidRDefault="0058466B" w:rsidP="0058466B">
      <w:pPr>
        <w:numPr>
          <w:ilvl w:val="0"/>
          <w:numId w:val="33"/>
        </w:numPr>
        <w:tabs>
          <w:tab w:val="clear" w:pos="1429"/>
          <w:tab w:val="num" w:pos="1353"/>
        </w:tabs>
        <w:spacing w:after="60"/>
        <w:ind w:left="1353" w:hanging="357"/>
        <w:jc w:val="both"/>
        <w:rPr>
          <w:rFonts w:asciiTheme="majorHAnsi" w:hAnsiTheme="majorHAnsi" w:cstheme="majorHAnsi"/>
          <w:sz w:val="20"/>
        </w:rPr>
      </w:pPr>
      <w:r w:rsidRPr="0058466B">
        <w:rPr>
          <w:rFonts w:asciiTheme="majorHAnsi" w:hAnsiTheme="majorHAnsi" w:cstheme="majorHAnsi"/>
          <w:sz w:val="20"/>
        </w:rPr>
        <w:t xml:space="preserve">požiarny rozvod v celom rozsahu: rúry oceľové pozinkované v kvalite A.1 podľa STN EN 10240, do dimenzie DN50 spájané závitmi </w:t>
      </w:r>
    </w:p>
    <w:p w:rsidR="0058466B" w:rsidRPr="0058466B" w:rsidRDefault="0058466B" w:rsidP="0058466B">
      <w:pPr>
        <w:numPr>
          <w:ilvl w:val="0"/>
          <w:numId w:val="33"/>
        </w:numPr>
        <w:tabs>
          <w:tab w:val="clear" w:pos="1429"/>
          <w:tab w:val="num" w:pos="1353"/>
        </w:tabs>
        <w:spacing w:after="60"/>
        <w:ind w:left="1353" w:hanging="357"/>
        <w:jc w:val="both"/>
        <w:rPr>
          <w:rFonts w:asciiTheme="majorHAnsi" w:hAnsiTheme="majorHAnsi" w:cstheme="majorHAnsi"/>
          <w:sz w:val="20"/>
        </w:rPr>
      </w:pPr>
      <w:r w:rsidRPr="0058466B">
        <w:rPr>
          <w:rFonts w:asciiTheme="majorHAnsi" w:hAnsiTheme="majorHAnsi" w:cstheme="majorHAnsi"/>
          <w:sz w:val="20"/>
        </w:rPr>
        <w:t>izolácia proti kondenzácii vodných pár na potrubí požiarnej vody v celom rozsahu: izolačné trubice z penového polyetylénu s uzavretou bunkovou štruktúrou, hr. 13mm (napr. TUBOLIT DG). Spoje uzavrieť podľa technologických predpisov výrobcu.</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 xml:space="preserve">tepelná izolácia na teplú vodu: penové izolačné hadice z PE, spoje uzavrieť podľa technologických predpisov výrobcu - hrúbka izolácie </w:t>
      </w:r>
      <w:smartTag w:uri="urn:schemas-microsoft-com:office:smarttags" w:element="metricconverter">
        <w:smartTagPr>
          <w:attr w:name="ProductID" w:val="13 mm"/>
        </w:smartTagPr>
        <w:r w:rsidRPr="0058466B">
          <w:rPr>
            <w:rFonts w:asciiTheme="majorHAnsi" w:hAnsiTheme="majorHAnsi" w:cstheme="majorHAnsi"/>
            <w:sz w:val="20"/>
          </w:rPr>
          <w:t>13 mm</w:t>
        </w:r>
      </w:smartTag>
      <w:r w:rsidRPr="0058466B">
        <w:rPr>
          <w:rFonts w:asciiTheme="majorHAnsi" w:hAnsiTheme="majorHAnsi" w:cstheme="majorHAnsi"/>
          <w:sz w:val="20"/>
        </w:rPr>
        <w:t xml:space="preserve"> vo vnútorných stenách, hrúbka </w:t>
      </w:r>
      <w:smartTag w:uri="urn:schemas-microsoft-com:office:smarttags" w:element="metricconverter">
        <w:smartTagPr>
          <w:attr w:name="ProductID" w:val="20 mm"/>
        </w:smartTagPr>
        <w:r w:rsidRPr="0058466B">
          <w:rPr>
            <w:rFonts w:asciiTheme="majorHAnsi" w:hAnsiTheme="majorHAnsi" w:cstheme="majorHAnsi"/>
            <w:sz w:val="20"/>
          </w:rPr>
          <w:t>20 mm</w:t>
        </w:r>
      </w:smartTag>
      <w:r w:rsidRPr="0058466B">
        <w:rPr>
          <w:rFonts w:asciiTheme="majorHAnsi" w:hAnsiTheme="majorHAnsi" w:cstheme="majorHAnsi"/>
          <w:sz w:val="20"/>
        </w:rPr>
        <w:t xml:space="preserve"> v obvodových stenách.</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 xml:space="preserve">izolácia proti kondenzácii vodných pár na potrubí studenej vody: penové izolačné hadice zo syntetického kaučuku, spoje uzavrieť podľa technologických predpisov výrobcu – hrúbka izolácie </w:t>
      </w:r>
      <w:smartTag w:uri="urn:schemas-microsoft-com:office:smarttags" w:element="metricconverter">
        <w:smartTagPr>
          <w:attr w:name="ProductID" w:val="13 mm"/>
        </w:smartTagPr>
        <w:r w:rsidRPr="0058466B">
          <w:rPr>
            <w:rFonts w:asciiTheme="majorHAnsi" w:hAnsiTheme="majorHAnsi" w:cstheme="majorHAnsi"/>
            <w:sz w:val="20"/>
          </w:rPr>
          <w:t>13 mm</w:t>
        </w:r>
      </w:smartTag>
      <w:r w:rsidRPr="0058466B">
        <w:rPr>
          <w:rFonts w:asciiTheme="majorHAnsi" w:hAnsiTheme="majorHAnsi" w:cstheme="majorHAnsi"/>
          <w:sz w:val="20"/>
        </w:rPr>
        <w:t xml:space="preserve"> </w:t>
      </w:r>
    </w:p>
    <w:p w:rsidR="0058466B" w:rsidRPr="0058466B" w:rsidRDefault="0058466B" w:rsidP="0058466B">
      <w:pPr>
        <w:pStyle w:val="Nadpis3"/>
        <w:rPr>
          <w:rFonts w:asciiTheme="majorHAnsi" w:hAnsiTheme="majorHAnsi" w:cstheme="majorHAnsi"/>
        </w:rPr>
      </w:pPr>
      <w:r w:rsidRPr="0058466B">
        <w:rPr>
          <w:rFonts w:asciiTheme="majorHAnsi" w:hAnsiTheme="majorHAnsi" w:cstheme="majorHAnsi"/>
        </w:rPr>
        <w:t>Uloženie vodovodu</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hlavný ležatý rozvod: závesy s objímkami s gumenou výstelkou kotvené do stropu + pomocné konštrukcie (systém HILTI alebo rovnocenný)</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závesy budú montované podľa platných predpisov dodávateľa závesného systému. Počas realizácie je nevyhnutná koordinácia s ostatnými profesiami. Pred realizáciou rozvodov je potrebné kontaktovať dodávateľa závesného systému, resp. realizačnú firmu.</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stúpacie potrubia: pripájacie prvky s gumenou výstelkou kotvené do stavebných konštrukcií (systém HILTI alebo rovnocenný)</w:t>
      </w:r>
    </w:p>
    <w:p w:rsidR="0058466B" w:rsidRPr="0058466B" w:rsidRDefault="0058466B" w:rsidP="0058466B">
      <w:pPr>
        <w:numPr>
          <w:ilvl w:val="0"/>
          <w:numId w:val="33"/>
        </w:numPr>
        <w:jc w:val="both"/>
        <w:rPr>
          <w:rFonts w:asciiTheme="majorHAnsi" w:hAnsiTheme="majorHAnsi" w:cstheme="majorHAnsi"/>
          <w:sz w:val="20"/>
        </w:rPr>
      </w:pPr>
      <w:r w:rsidRPr="0058466B">
        <w:rPr>
          <w:rFonts w:asciiTheme="majorHAnsi" w:hAnsiTheme="majorHAnsi" w:cstheme="majorHAnsi"/>
          <w:sz w:val="20"/>
        </w:rPr>
        <w:t>prestupy potrubí do zeme musia byť zaizolované v súlade s hydroizolačným systémom stavby a tlakom podzemnej vody.</w:t>
      </w:r>
    </w:p>
    <w:p w:rsidR="0058466B" w:rsidRPr="0058466B" w:rsidRDefault="0058466B" w:rsidP="0058466B">
      <w:pPr>
        <w:rPr>
          <w:rFonts w:asciiTheme="majorHAnsi" w:hAnsiTheme="majorHAnsi" w:cstheme="majorHAnsi"/>
          <w:sz w:val="20"/>
        </w:rPr>
      </w:pPr>
    </w:p>
    <w:p w:rsidR="0058466B" w:rsidRPr="0058466B" w:rsidRDefault="0058466B" w:rsidP="0058466B">
      <w:pPr>
        <w:pStyle w:val="Nadpis2"/>
        <w:rPr>
          <w:rFonts w:asciiTheme="majorHAnsi" w:hAnsiTheme="majorHAnsi" w:cstheme="majorHAnsi"/>
          <w:szCs w:val="20"/>
        </w:rPr>
      </w:pPr>
      <w:r w:rsidRPr="0058466B">
        <w:rPr>
          <w:rFonts w:asciiTheme="majorHAnsi" w:hAnsiTheme="majorHAnsi" w:cstheme="majorHAnsi"/>
          <w:szCs w:val="20"/>
        </w:rPr>
        <w:t>Prechody potrubí cez požiarne deliace konštrukcie</w:t>
      </w:r>
    </w:p>
    <w:p w:rsidR="0058466B" w:rsidRPr="0058466B" w:rsidRDefault="0058466B" w:rsidP="0058466B">
      <w:pPr>
        <w:ind w:firstLine="708"/>
        <w:rPr>
          <w:rFonts w:asciiTheme="majorHAnsi" w:hAnsiTheme="majorHAnsi" w:cstheme="majorHAnsi"/>
          <w:sz w:val="20"/>
        </w:rPr>
      </w:pPr>
      <w:r w:rsidRPr="0058466B">
        <w:rPr>
          <w:rFonts w:asciiTheme="majorHAnsi" w:hAnsiTheme="majorHAnsi" w:cstheme="majorHAnsi"/>
          <w:sz w:val="20"/>
        </w:rPr>
        <w:t>Každý prestup potrubia vodovodu alebo kanalizácie do susedného požiarneho úseku sa opatrí protipožiarnym uzáverom s požiarnou odolnosťou podľa projektu požiarnej ochrany budov, s prihliadnutím na druh použitého potrubia a deliacej konštrukcie. Požiarne uzávery musia byť certifikované a po montáži označené podľa platných predpisov.</w:t>
      </w:r>
    </w:p>
    <w:p w:rsidR="0058466B" w:rsidRPr="0058466B" w:rsidRDefault="0058466B" w:rsidP="0058466B">
      <w:pPr>
        <w:pStyle w:val="Nadpis2"/>
        <w:rPr>
          <w:rFonts w:asciiTheme="majorHAnsi" w:hAnsiTheme="majorHAnsi" w:cstheme="majorHAnsi"/>
          <w:szCs w:val="20"/>
        </w:rPr>
      </w:pPr>
      <w:r w:rsidRPr="0058466B">
        <w:rPr>
          <w:rFonts w:asciiTheme="majorHAnsi" w:hAnsiTheme="majorHAnsi" w:cstheme="majorHAnsi"/>
          <w:szCs w:val="20"/>
        </w:rPr>
        <w:t>Zariaďovacie predmety</w:t>
      </w:r>
    </w:p>
    <w:p w:rsidR="0058466B" w:rsidRPr="0058466B" w:rsidRDefault="0058466B" w:rsidP="0058466B">
      <w:pPr>
        <w:ind w:firstLine="708"/>
        <w:rPr>
          <w:rFonts w:asciiTheme="majorHAnsi" w:hAnsiTheme="majorHAnsi" w:cstheme="majorHAnsi"/>
          <w:sz w:val="20"/>
        </w:rPr>
      </w:pPr>
      <w:r w:rsidRPr="0058466B">
        <w:rPr>
          <w:rFonts w:asciiTheme="majorHAnsi" w:hAnsiTheme="majorHAnsi" w:cstheme="majorHAnsi"/>
          <w:sz w:val="20"/>
        </w:rPr>
        <w:t>Pri výbere zariadení je potrebné rešpektovať špecifikáciu stavebníka. Poloha vývodov kanalizácie a vodovodu sa na stavbe prispôsobí zvoleným zariaďovacím predmetom. Použijú sa štandardné zariadenia s platným certifikátom.</w:t>
      </w:r>
    </w:p>
    <w:p w:rsidR="0058466B" w:rsidRPr="0058466B" w:rsidRDefault="0058466B" w:rsidP="0058466B">
      <w:pPr>
        <w:ind w:firstLine="708"/>
        <w:rPr>
          <w:rFonts w:asciiTheme="majorHAnsi" w:hAnsiTheme="majorHAnsi" w:cstheme="majorHAnsi"/>
          <w:sz w:val="20"/>
        </w:rPr>
      </w:pPr>
      <w:r w:rsidRPr="0058466B">
        <w:rPr>
          <w:rFonts w:asciiTheme="majorHAnsi" w:hAnsiTheme="majorHAnsi" w:cstheme="majorHAnsi"/>
          <w:sz w:val="20"/>
        </w:rPr>
        <w:lastRenderedPageBreak/>
        <w:t>Zariaďovacie predmety ako umývadlá a sprchy budú vybavené úspornými výtokovými hlavicami. Pri umývadlách uvažujeme s prietokom 6 l/min (0,1 l/s) a pri sprchách uvažujeme prietok 9 l/min (0,15 l/s).</w:t>
      </w:r>
    </w:p>
    <w:p w:rsidR="0058466B" w:rsidRPr="0058466B" w:rsidRDefault="0058466B" w:rsidP="0058466B">
      <w:pPr>
        <w:ind w:firstLine="708"/>
        <w:rPr>
          <w:rFonts w:asciiTheme="majorHAnsi" w:hAnsiTheme="majorHAnsi" w:cstheme="majorHAnsi"/>
          <w:sz w:val="20"/>
        </w:rPr>
      </w:pPr>
    </w:p>
    <w:p w:rsidR="0058466B" w:rsidRPr="0058466B" w:rsidRDefault="0058466B" w:rsidP="0058466B">
      <w:pPr>
        <w:pStyle w:val="Nadpis2"/>
        <w:rPr>
          <w:rFonts w:asciiTheme="majorHAnsi" w:hAnsiTheme="majorHAnsi" w:cstheme="majorHAnsi"/>
          <w:szCs w:val="20"/>
        </w:rPr>
      </w:pPr>
      <w:r w:rsidRPr="0058466B">
        <w:rPr>
          <w:rFonts w:asciiTheme="majorHAnsi" w:hAnsiTheme="majorHAnsi" w:cstheme="majorHAnsi"/>
          <w:szCs w:val="20"/>
        </w:rPr>
        <w:t>Spoločné podmienky</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Montáž zdravotechnických inštalácií môže vykonať iba organizácia, ktorá má pre túto činnosť oprávnenie a vyškolených pracovníkov, ktorí spĺňajú podmienky odbornej spôsobilosti pre vykonávanie predmetných montážnych prác. O priebehu stavebných a montážnych prác sa vedie záznam v stavebnom denníku.</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 xml:space="preserve">Použité stavebné materiály a výrobky musia vyhovovať podmienkam stavebného zákona a zákona o stavebných výrobkoch. Montážne práce budú vykonávané podľa platných technických noriem a technologických predpisov výrobcov stavebných materiálov a výrobkov, s dodržaním platných bezpečnostných predpisov.  </w:t>
      </w:r>
    </w:p>
    <w:p w:rsidR="0058466B" w:rsidRPr="0058466B" w:rsidRDefault="0058466B" w:rsidP="0058466B">
      <w:pPr>
        <w:rPr>
          <w:rFonts w:asciiTheme="majorHAnsi" w:hAnsiTheme="majorHAnsi" w:cstheme="majorHAnsi"/>
          <w:sz w:val="20"/>
        </w:rPr>
      </w:pPr>
      <w:r w:rsidRPr="0058466B">
        <w:rPr>
          <w:rFonts w:asciiTheme="majorHAnsi" w:hAnsiTheme="majorHAnsi" w:cstheme="majorHAnsi"/>
          <w:sz w:val="20"/>
        </w:rPr>
        <w:t>Pri realizácii je potrebné rešpektovať existujúce podzemné a nadzemné zariadenia. Pred začatím stavebných prác je potrebné všetky existujúce podzemné vedenia nechať vytýčiť ich správcom. Pri križovaní a súbehu navrhovaného potrubia s existujúcimi sieťami je potrebné dodržať podmienky STN 736005. V miestach križovania navrhovaného potrubia s existujúcimi vedeniami a v miestach, kde by mohlo nastať ich poškodenie, je potrebné robiť ručný výkop.</w:t>
      </w:r>
      <w:r w:rsidRPr="0058466B">
        <w:rPr>
          <w:rFonts w:asciiTheme="majorHAnsi" w:hAnsiTheme="majorHAnsi" w:cstheme="majorHAnsi"/>
          <w:sz w:val="20"/>
        </w:rPr>
        <w:tab/>
      </w:r>
    </w:p>
    <w:p w:rsidR="0058466B" w:rsidRPr="0058466B" w:rsidRDefault="0058466B" w:rsidP="0058466B">
      <w:pPr>
        <w:rPr>
          <w:rFonts w:asciiTheme="majorHAnsi" w:hAnsiTheme="majorHAnsi" w:cstheme="majorHAnsi"/>
          <w:sz w:val="20"/>
        </w:rPr>
      </w:pPr>
    </w:p>
    <w:p w:rsidR="0058466B" w:rsidRPr="0058466B" w:rsidRDefault="0058466B" w:rsidP="0058466B">
      <w:pPr>
        <w:rPr>
          <w:rFonts w:asciiTheme="majorHAnsi" w:hAnsiTheme="majorHAnsi" w:cstheme="majorHAnsi"/>
          <w:b/>
          <w:sz w:val="20"/>
        </w:rPr>
      </w:pPr>
      <w:r w:rsidRPr="0058466B">
        <w:rPr>
          <w:rFonts w:asciiTheme="majorHAnsi" w:hAnsiTheme="majorHAnsi" w:cstheme="majorHAnsi"/>
          <w:b/>
          <w:sz w:val="20"/>
        </w:rPr>
        <w:t>POZNÁMKA:</w:t>
      </w:r>
    </w:p>
    <w:p w:rsidR="0058466B" w:rsidRPr="0058466B" w:rsidRDefault="0058466B" w:rsidP="001E7B38">
      <w:pPr>
        <w:numPr>
          <w:ilvl w:val="0"/>
          <w:numId w:val="65"/>
        </w:numPr>
        <w:jc w:val="both"/>
        <w:rPr>
          <w:rFonts w:asciiTheme="majorHAnsi" w:hAnsiTheme="majorHAnsi" w:cstheme="majorHAnsi"/>
          <w:b/>
          <w:sz w:val="20"/>
        </w:rPr>
      </w:pPr>
      <w:r w:rsidRPr="0058466B">
        <w:rPr>
          <w:rFonts w:asciiTheme="majorHAnsi" w:hAnsiTheme="majorHAnsi" w:cstheme="majorHAnsi"/>
          <w:b/>
          <w:sz w:val="20"/>
        </w:rPr>
        <w:t>Kotvenie potrubí bude riešené podľa montážnych predpisov konkrétneho dodávateľa potrubného systému</w:t>
      </w:r>
    </w:p>
    <w:p w:rsidR="0058466B" w:rsidRPr="0058466B" w:rsidRDefault="0058466B" w:rsidP="001E7B38">
      <w:pPr>
        <w:numPr>
          <w:ilvl w:val="0"/>
          <w:numId w:val="65"/>
        </w:numPr>
        <w:jc w:val="both"/>
        <w:rPr>
          <w:rFonts w:asciiTheme="majorHAnsi" w:hAnsiTheme="majorHAnsi" w:cstheme="majorHAnsi"/>
          <w:b/>
          <w:sz w:val="20"/>
        </w:rPr>
      </w:pPr>
      <w:r w:rsidRPr="0058466B">
        <w:rPr>
          <w:rFonts w:asciiTheme="majorHAnsi" w:hAnsiTheme="majorHAnsi" w:cstheme="majorHAnsi"/>
          <w:b/>
          <w:sz w:val="20"/>
        </w:rPr>
        <w:t>Na zmeny dĺžky na zvislých a vodorovných rozvodoch vodovodu budú použité vhodné typy kompenzátorov (podľa platných predpisov dodávateľa systému).</w:t>
      </w:r>
    </w:p>
    <w:p w:rsidR="0058466B" w:rsidRPr="0058466B" w:rsidRDefault="0058466B" w:rsidP="001E7B38">
      <w:pPr>
        <w:numPr>
          <w:ilvl w:val="0"/>
          <w:numId w:val="65"/>
        </w:numPr>
        <w:jc w:val="both"/>
        <w:rPr>
          <w:rFonts w:asciiTheme="majorHAnsi" w:hAnsiTheme="majorHAnsi" w:cstheme="majorHAnsi"/>
          <w:b/>
          <w:sz w:val="20"/>
        </w:rPr>
      </w:pPr>
      <w:r w:rsidRPr="0058466B">
        <w:rPr>
          <w:rFonts w:asciiTheme="majorHAnsi" w:hAnsiTheme="majorHAnsi" w:cstheme="majorHAnsi"/>
          <w:b/>
          <w:sz w:val="20"/>
        </w:rPr>
        <w:t>Pri umývadlách uvažujeme s prietokom 6 l/min (0,1 l/s) a pri sprchách uvažujeme prietok 9 l/min (0,15 l/s).</w:t>
      </w:r>
    </w:p>
    <w:p w:rsidR="0058466B" w:rsidRPr="0058466B" w:rsidRDefault="0058466B" w:rsidP="001E7B38">
      <w:pPr>
        <w:numPr>
          <w:ilvl w:val="0"/>
          <w:numId w:val="65"/>
        </w:numPr>
        <w:jc w:val="both"/>
        <w:rPr>
          <w:rFonts w:asciiTheme="majorHAnsi" w:hAnsiTheme="majorHAnsi" w:cstheme="majorHAnsi"/>
          <w:b/>
          <w:sz w:val="20"/>
        </w:rPr>
      </w:pPr>
      <w:r w:rsidRPr="0058466B">
        <w:rPr>
          <w:rFonts w:asciiTheme="majorHAnsi" w:hAnsiTheme="majorHAnsi" w:cstheme="majorHAnsi"/>
          <w:b/>
          <w:sz w:val="20"/>
        </w:rPr>
        <w:t>V prípade akýchkoľvek zmien oproti PD, je nevyhnutné kontaktovať zodpovedného projektanta</w:t>
      </w:r>
    </w:p>
    <w:p w:rsidR="0058466B" w:rsidRPr="0058466B" w:rsidRDefault="0058466B" w:rsidP="0058466B">
      <w:pPr>
        <w:ind w:left="1429"/>
        <w:rPr>
          <w:rFonts w:asciiTheme="majorHAnsi" w:hAnsiTheme="majorHAnsi" w:cstheme="majorHAnsi"/>
          <w:b/>
          <w:sz w:val="20"/>
        </w:rPr>
      </w:pPr>
    </w:p>
    <w:p w:rsidR="0058466B" w:rsidRPr="0058466B" w:rsidRDefault="0058466B" w:rsidP="0058466B">
      <w:pPr>
        <w:rPr>
          <w:rFonts w:asciiTheme="majorHAnsi" w:hAnsiTheme="majorHAnsi" w:cstheme="majorHAnsi"/>
          <w:sz w:val="20"/>
        </w:rPr>
      </w:pPr>
    </w:p>
    <w:p w:rsidR="0058466B" w:rsidRPr="0058466B" w:rsidRDefault="0058466B" w:rsidP="0058466B">
      <w:pPr>
        <w:rPr>
          <w:rFonts w:asciiTheme="majorHAnsi" w:hAnsiTheme="majorHAnsi" w:cstheme="majorHAnsi"/>
          <w:sz w:val="20"/>
        </w:rPr>
      </w:pPr>
    </w:p>
    <w:p w:rsidR="0058466B" w:rsidRPr="0058466B" w:rsidRDefault="0058466B" w:rsidP="0058466B">
      <w:pPr>
        <w:rPr>
          <w:rFonts w:asciiTheme="majorHAnsi" w:hAnsiTheme="majorHAnsi" w:cstheme="majorHAnsi"/>
          <w:sz w:val="20"/>
        </w:rPr>
      </w:pPr>
    </w:p>
    <w:p w:rsidR="0058466B" w:rsidRPr="0058466B" w:rsidRDefault="0058466B" w:rsidP="0058466B">
      <w:pPr>
        <w:tabs>
          <w:tab w:val="right" w:pos="8820"/>
        </w:tabs>
        <w:rPr>
          <w:rFonts w:asciiTheme="majorHAnsi" w:hAnsiTheme="majorHAnsi" w:cstheme="majorHAnsi"/>
          <w:sz w:val="20"/>
        </w:rPr>
      </w:pPr>
      <w:r w:rsidRPr="0058466B">
        <w:rPr>
          <w:rFonts w:asciiTheme="majorHAnsi" w:hAnsiTheme="majorHAnsi" w:cstheme="majorHAnsi"/>
          <w:sz w:val="20"/>
        </w:rPr>
        <w:t>Bratislava, 02/2020</w:t>
      </w:r>
      <w:r w:rsidRPr="0058466B">
        <w:rPr>
          <w:rFonts w:asciiTheme="majorHAnsi" w:hAnsiTheme="majorHAnsi" w:cstheme="majorHAnsi"/>
          <w:sz w:val="20"/>
        </w:rPr>
        <w:tab/>
        <w:t>Vypracoval: Ing. Ľuboš Rodenák</w:t>
      </w:r>
    </w:p>
    <w:p w:rsidR="0058466B" w:rsidRPr="0058466B" w:rsidRDefault="0058466B" w:rsidP="0058466B">
      <w:pPr>
        <w:tabs>
          <w:tab w:val="right" w:pos="8820"/>
        </w:tabs>
        <w:rPr>
          <w:rFonts w:asciiTheme="majorHAnsi" w:hAnsiTheme="majorHAnsi" w:cstheme="majorHAnsi"/>
          <w:sz w:val="20"/>
        </w:rPr>
      </w:pPr>
      <w:r w:rsidRPr="0058466B">
        <w:rPr>
          <w:rFonts w:asciiTheme="majorHAnsi" w:hAnsiTheme="majorHAnsi" w:cstheme="majorHAnsi"/>
          <w:sz w:val="20"/>
        </w:rPr>
        <w:tab/>
        <w:t>Kontroloval: Ing. Tomáš Cesnek</w:t>
      </w:r>
    </w:p>
    <w:p w:rsidR="0058466B" w:rsidRPr="00FB476B" w:rsidRDefault="0058466B" w:rsidP="0058466B">
      <w:pPr>
        <w:tabs>
          <w:tab w:val="right" w:pos="8820"/>
        </w:tabs>
        <w:rPr>
          <w:rFonts w:asciiTheme="minorHAnsi" w:hAnsiTheme="minorHAnsi" w:cstheme="minorHAnsi"/>
          <w:sz w:val="20"/>
        </w:rPr>
      </w:pPr>
      <w:r w:rsidRPr="00FB476B">
        <w:rPr>
          <w:rFonts w:asciiTheme="minorHAnsi" w:hAnsiTheme="minorHAnsi" w:cstheme="minorHAnsi"/>
          <w:b/>
          <w:sz w:val="20"/>
        </w:rPr>
        <w:tab/>
      </w:r>
      <w:r w:rsidRPr="00FB476B">
        <w:rPr>
          <w:rFonts w:asciiTheme="minorHAnsi" w:hAnsiTheme="minorHAnsi" w:cstheme="minorHAnsi"/>
          <w:sz w:val="20"/>
        </w:rPr>
        <w:t xml:space="preserve">                                                                               </w:t>
      </w:r>
    </w:p>
    <w:p w:rsidR="0058466B" w:rsidRDefault="0058466B" w:rsidP="0009245A">
      <w:pPr>
        <w:autoSpaceDE w:val="0"/>
        <w:autoSpaceDN w:val="0"/>
        <w:adjustRightInd w:val="0"/>
        <w:rPr>
          <w:rFonts w:ascii="Calibri" w:hAnsi="Calibri" w:cs="Calibri"/>
          <w:b/>
          <w:iCs/>
          <w:color w:val="FF0000"/>
          <w:sz w:val="24"/>
        </w:rPr>
      </w:pPr>
    </w:p>
    <w:p w:rsidR="0058466B" w:rsidRPr="00165ED7" w:rsidRDefault="0058466B" w:rsidP="0009245A">
      <w:pPr>
        <w:autoSpaceDE w:val="0"/>
        <w:autoSpaceDN w:val="0"/>
        <w:adjustRightInd w:val="0"/>
        <w:rPr>
          <w:rFonts w:ascii="Calibri" w:hAnsi="Calibri" w:cs="Calibri"/>
          <w:b/>
          <w:iCs/>
          <w:sz w:val="24"/>
        </w:rPr>
      </w:pPr>
      <w:r w:rsidRPr="00165ED7">
        <w:rPr>
          <w:rFonts w:ascii="Calibri" w:hAnsi="Calibri" w:cs="Calibri"/>
          <w:b/>
          <w:iCs/>
          <w:sz w:val="24"/>
        </w:rPr>
        <w:t>ZTI VONKAJŠIA</w:t>
      </w:r>
    </w:p>
    <w:p w:rsidR="00D717DF" w:rsidRDefault="00D717DF" w:rsidP="00F05470">
      <w:pPr>
        <w:autoSpaceDE w:val="0"/>
        <w:autoSpaceDN w:val="0"/>
        <w:adjustRightInd w:val="0"/>
        <w:rPr>
          <w:rFonts w:ascii="Calibri" w:hAnsi="Calibri" w:cs="Calibri"/>
          <w:b/>
          <w:iCs/>
          <w:sz w:val="24"/>
        </w:rPr>
      </w:pPr>
    </w:p>
    <w:p w:rsidR="00165ED7" w:rsidRPr="00165ED7" w:rsidRDefault="00165ED7" w:rsidP="00165ED7">
      <w:pPr>
        <w:pStyle w:val="Nadpis1"/>
        <w:numPr>
          <w:ilvl w:val="0"/>
          <w:numId w:val="35"/>
        </w:numPr>
      </w:pPr>
      <w:bookmarkStart w:id="116" w:name="_Toc9831867"/>
      <w:bookmarkStart w:id="117" w:name="_Toc94952280"/>
      <w:bookmarkStart w:id="118" w:name="_Toc76441795"/>
      <w:r w:rsidRPr="00165ED7">
        <w:t>Úvod</w:t>
      </w:r>
      <w:bookmarkEnd w:id="116"/>
      <w:bookmarkEnd w:id="117"/>
    </w:p>
    <w:p w:rsidR="00165ED7" w:rsidRPr="00165ED7" w:rsidRDefault="00165ED7" w:rsidP="00165ED7">
      <w:pPr>
        <w:ind w:firstLine="705"/>
        <w:rPr>
          <w:rFonts w:asciiTheme="majorHAnsi" w:hAnsiTheme="majorHAnsi" w:cstheme="majorHAnsi"/>
          <w:bCs/>
          <w:sz w:val="20"/>
        </w:rPr>
      </w:pPr>
      <w:bookmarkStart w:id="119" w:name="_Toc94952281"/>
      <w:r w:rsidRPr="00165ED7">
        <w:rPr>
          <w:rFonts w:asciiTheme="majorHAnsi" w:hAnsiTheme="majorHAnsi" w:cstheme="majorHAnsi"/>
          <w:iCs/>
          <w:sz w:val="20"/>
        </w:rPr>
        <w:t>Predmetom tejto časti PD je návrh zásobovania pitnou vodou, požiarnou vodou, odvádzanie splaškových odpadových vôd zo sociálnych zázemí objektov a odvádzanie dažďových odpadových vôd zo striech a areálových spevnených komunikačných plôch .</w:t>
      </w:r>
    </w:p>
    <w:p w:rsidR="00165ED7" w:rsidRPr="00165ED7" w:rsidRDefault="00165ED7" w:rsidP="00165ED7">
      <w:pPr>
        <w:pStyle w:val="Default"/>
        <w:jc w:val="both"/>
        <w:rPr>
          <w:rFonts w:asciiTheme="majorHAnsi" w:hAnsiTheme="majorHAnsi" w:cstheme="majorHAnsi"/>
          <w:color w:val="auto"/>
          <w:sz w:val="20"/>
          <w:szCs w:val="20"/>
        </w:rPr>
      </w:pPr>
      <w:r w:rsidRPr="00165ED7">
        <w:rPr>
          <w:rFonts w:asciiTheme="majorHAnsi" w:hAnsiTheme="majorHAnsi" w:cstheme="majorHAnsi"/>
          <w:bCs/>
          <w:color w:val="auto"/>
          <w:sz w:val="20"/>
          <w:szCs w:val="20"/>
        </w:rPr>
        <w:tab/>
        <w:t>R</w:t>
      </w:r>
      <w:r w:rsidRPr="00165ED7">
        <w:rPr>
          <w:rFonts w:asciiTheme="majorHAnsi" w:hAnsiTheme="majorHAnsi" w:cstheme="majorHAnsi"/>
          <w:color w:val="auto"/>
          <w:sz w:val="20"/>
          <w:szCs w:val="20"/>
        </w:rPr>
        <w:t xml:space="preserve">ozvody vodovodu a kanalizácie sú riešené od vzdialenosti 1,0 m od vonkajších obrysu hlavných objektov. Vnútorné rozvody vodovodu a kanalizácie v hlavných objektoch sú riešené v samostatných častiach PD - časť ZDRAVOTECHNIKA. </w:t>
      </w:r>
    </w:p>
    <w:p w:rsidR="00165ED7" w:rsidRPr="00165ED7" w:rsidRDefault="00165ED7" w:rsidP="00165ED7">
      <w:pPr>
        <w:pStyle w:val="Default"/>
        <w:ind w:firstLine="705"/>
        <w:jc w:val="both"/>
        <w:rPr>
          <w:rFonts w:asciiTheme="majorHAnsi" w:hAnsiTheme="majorHAnsi" w:cstheme="majorHAnsi"/>
          <w:b/>
          <w:color w:val="auto"/>
          <w:sz w:val="20"/>
          <w:szCs w:val="20"/>
        </w:rPr>
      </w:pPr>
      <w:r w:rsidRPr="00165ED7">
        <w:rPr>
          <w:rFonts w:asciiTheme="majorHAnsi" w:hAnsiTheme="majorHAnsi" w:cstheme="majorHAnsi"/>
          <w:color w:val="auto"/>
          <w:sz w:val="20"/>
          <w:szCs w:val="20"/>
        </w:rPr>
        <w:t xml:space="preserve">Projektová dokumentácia je vypracovaná v stupni </w:t>
      </w:r>
      <w:r w:rsidRPr="00165ED7">
        <w:rPr>
          <w:rFonts w:asciiTheme="majorHAnsi" w:hAnsiTheme="majorHAnsi" w:cstheme="majorHAnsi"/>
          <w:b/>
          <w:color w:val="auto"/>
          <w:sz w:val="20"/>
          <w:szCs w:val="20"/>
        </w:rPr>
        <w:t>PROJEKT PRE REALIZÁCIU STAVBY.</w:t>
      </w:r>
    </w:p>
    <w:p w:rsidR="00165ED7" w:rsidRPr="00165ED7" w:rsidRDefault="00165ED7" w:rsidP="00165ED7">
      <w:pPr>
        <w:pStyle w:val="Default"/>
        <w:ind w:firstLine="705"/>
        <w:jc w:val="both"/>
        <w:rPr>
          <w:rFonts w:asciiTheme="majorHAnsi" w:hAnsiTheme="majorHAnsi" w:cstheme="majorHAnsi"/>
          <w:b/>
          <w:color w:val="auto"/>
          <w:sz w:val="20"/>
          <w:szCs w:val="20"/>
        </w:rPr>
      </w:pPr>
    </w:p>
    <w:p w:rsidR="00165ED7" w:rsidRPr="00165ED7" w:rsidRDefault="00165ED7" w:rsidP="00165ED7">
      <w:pPr>
        <w:pStyle w:val="Nadpis1"/>
        <w:numPr>
          <w:ilvl w:val="0"/>
          <w:numId w:val="35"/>
        </w:numPr>
      </w:pPr>
      <w:r w:rsidRPr="00165ED7">
        <w:t>Východiskové podklady</w:t>
      </w:r>
      <w:bookmarkEnd w:id="119"/>
    </w:p>
    <w:p w:rsidR="00165ED7" w:rsidRPr="00165ED7" w:rsidRDefault="00165ED7" w:rsidP="00165ED7">
      <w:pPr>
        <w:tabs>
          <w:tab w:val="left" w:pos="0"/>
          <w:tab w:val="left" w:pos="567"/>
        </w:tabs>
        <w:rPr>
          <w:rFonts w:asciiTheme="majorHAnsi" w:hAnsiTheme="majorHAnsi" w:cstheme="majorHAnsi"/>
          <w:sz w:val="20"/>
        </w:rPr>
      </w:pPr>
      <w:r w:rsidRPr="00165ED7">
        <w:rPr>
          <w:rFonts w:asciiTheme="majorHAnsi" w:hAnsiTheme="majorHAnsi" w:cstheme="majorHAnsi"/>
          <w:sz w:val="20"/>
        </w:rPr>
        <w:t>Ako podklad pre spracovanie dokumentácie pre realizáciu stavby slúžila:</w:t>
      </w:r>
    </w:p>
    <w:p w:rsidR="00165ED7" w:rsidRPr="00165ED7" w:rsidRDefault="00165ED7" w:rsidP="00165ED7">
      <w:pPr>
        <w:numPr>
          <w:ilvl w:val="0"/>
          <w:numId w:val="36"/>
        </w:numPr>
        <w:rPr>
          <w:rFonts w:asciiTheme="majorHAnsi" w:hAnsiTheme="majorHAnsi" w:cstheme="majorHAnsi"/>
          <w:sz w:val="20"/>
        </w:rPr>
      </w:pPr>
      <w:r w:rsidRPr="00165ED7">
        <w:rPr>
          <w:rFonts w:asciiTheme="majorHAnsi" w:hAnsiTheme="majorHAnsi" w:cstheme="majorHAnsi"/>
          <w:sz w:val="20"/>
        </w:rPr>
        <w:t>projektová dokumentácia pre územné konanie</w:t>
      </w:r>
    </w:p>
    <w:p w:rsidR="00165ED7" w:rsidRPr="00165ED7" w:rsidRDefault="00165ED7" w:rsidP="00165ED7">
      <w:pPr>
        <w:numPr>
          <w:ilvl w:val="0"/>
          <w:numId w:val="36"/>
        </w:numPr>
        <w:rPr>
          <w:rFonts w:asciiTheme="majorHAnsi" w:hAnsiTheme="majorHAnsi" w:cstheme="majorHAnsi"/>
          <w:sz w:val="20"/>
        </w:rPr>
      </w:pPr>
      <w:r w:rsidRPr="00165ED7">
        <w:rPr>
          <w:rFonts w:asciiTheme="majorHAnsi" w:hAnsiTheme="majorHAnsi" w:cstheme="majorHAnsi"/>
          <w:sz w:val="20"/>
        </w:rPr>
        <w:t>vyjadrenia správcov sietí</w:t>
      </w:r>
    </w:p>
    <w:p w:rsidR="00165ED7" w:rsidRPr="00165ED7" w:rsidRDefault="00165ED7" w:rsidP="00165ED7">
      <w:pPr>
        <w:numPr>
          <w:ilvl w:val="0"/>
          <w:numId w:val="36"/>
        </w:numPr>
        <w:rPr>
          <w:rFonts w:asciiTheme="majorHAnsi" w:hAnsiTheme="majorHAnsi" w:cstheme="majorHAnsi"/>
          <w:sz w:val="20"/>
        </w:rPr>
      </w:pPr>
      <w:r w:rsidRPr="00165ED7">
        <w:rPr>
          <w:rFonts w:asciiTheme="majorHAnsi" w:hAnsiTheme="majorHAnsi" w:cstheme="majorHAnsi"/>
          <w:sz w:val="20"/>
        </w:rPr>
        <w:t>podklady, podmienky, informácie poskytnuté investorom</w:t>
      </w:r>
    </w:p>
    <w:p w:rsidR="00165ED7" w:rsidRPr="00165ED7" w:rsidRDefault="00165ED7" w:rsidP="00165ED7">
      <w:pPr>
        <w:numPr>
          <w:ilvl w:val="0"/>
          <w:numId w:val="36"/>
        </w:numPr>
        <w:rPr>
          <w:rFonts w:asciiTheme="majorHAnsi" w:hAnsiTheme="majorHAnsi" w:cstheme="majorHAnsi"/>
          <w:sz w:val="20"/>
        </w:rPr>
      </w:pPr>
      <w:r w:rsidRPr="00165ED7">
        <w:rPr>
          <w:rFonts w:asciiTheme="majorHAnsi" w:hAnsiTheme="majorHAnsi" w:cstheme="majorHAnsi"/>
          <w:sz w:val="20"/>
        </w:rPr>
        <w:t>polohopisné a výškopisné zameranie</w:t>
      </w:r>
    </w:p>
    <w:p w:rsidR="00165ED7" w:rsidRPr="00165ED7" w:rsidRDefault="00165ED7" w:rsidP="00165ED7">
      <w:pPr>
        <w:numPr>
          <w:ilvl w:val="0"/>
          <w:numId w:val="36"/>
        </w:numPr>
        <w:rPr>
          <w:rFonts w:asciiTheme="majorHAnsi" w:hAnsiTheme="majorHAnsi" w:cstheme="majorHAnsi"/>
          <w:sz w:val="20"/>
        </w:rPr>
      </w:pPr>
      <w:r w:rsidRPr="00165ED7">
        <w:rPr>
          <w:rFonts w:asciiTheme="majorHAnsi" w:hAnsiTheme="majorHAnsi" w:cstheme="majorHAnsi"/>
          <w:sz w:val="20"/>
        </w:rPr>
        <w:t>návrh architektonického riešenia</w:t>
      </w:r>
    </w:p>
    <w:p w:rsidR="00165ED7" w:rsidRPr="00165ED7" w:rsidRDefault="00165ED7" w:rsidP="00165ED7">
      <w:pPr>
        <w:numPr>
          <w:ilvl w:val="0"/>
          <w:numId w:val="36"/>
        </w:numPr>
        <w:rPr>
          <w:rFonts w:asciiTheme="majorHAnsi" w:hAnsiTheme="majorHAnsi" w:cstheme="majorHAnsi"/>
          <w:sz w:val="20"/>
        </w:rPr>
      </w:pPr>
      <w:r w:rsidRPr="00165ED7">
        <w:rPr>
          <w:rFonts w:asciiTheme="majorHAnsi" w:hAnsiTheme="majorHAnsi" w:cstheme="majorHAnsi"/>
          <w:sz w:val="20"/>
        </w:rPr>
        <w:t>návrh riešenia komunikácií</w:t>
      </w:r>
    </w:p>
    <w:p w:rsidR="00165ED7" w:rsidRPr="00165ED7" w:rsidRDefault="00165ED7" w:rsidP="00165ED7">
      <w:pPr>
        <w:numPr>
          <w:ilvl w:val="0"/>
          <w:numId w:val="36"/>
        </w:numPr>
        <w:rPr>
          <w:rFonts w:asciiTheme="majorHAnsi" w:hAnsiTheme="majorHAnsi" w:cstheme="majorHAnsi"/>
          <w:sz w:val="20"/>
        </w:rPr>
      </w:pPr>
      <w:r w:rsidRPr="00165ED7">
        <w:rPr>
          <w:rFonts w:asciiTheme="majorHAnsi" w:hAnsiTheme="majorHAnsi" w:cstheme="majorHAnsi"/>
          <w:sz w:val="20"/>
        </w:rPr>
        <w:t xml:space="preserve">konzultácie </w:t>
      </w:r>
    </w:p>
    <w:p w:rsidR="00165ED7" w:rsidRPr="00165ED7" w:rsidRDefault="00165ED7" w:rsidP="00165ED7">
      <w:pPr>
        <w:numPr>
          <w:ilvl w:val="0"/>
          <w:numId w:val="36"/>
        </w:numPr>
        <w:rPr>
          <w:rFonts w:asciiTheme="majorHAnsi" w:hAnsiTheme="majorHAnsi" w:cstheme="majorHAnsi"/>
          <w:sz w:val="20"/>
        </w:rPr>
      </w:pPr>
      <w:r w:rsidRPr="00165ED7">
        <w:rPr>
          <w:rFonts w:asciiTheme="majorHAnsi" w:hAnsiTheme="majorHAnsi" w:cstheme="majorHAnsi"/>
          <w:sz w:val="20"/>
        </w:rPr>
        <w:t>obhliadka terénu</w:t>
      </w:r>
    </w:p>
    <w:p w:rsidR="00165ED7" w:rsidRPr="00165ED7" w:rsidRDefault="00165ED7" w:rsidP="00165ED7">
      <w:pPr>
        <w:numPr>
          <w:ilvl w:val="0"/>
          <w:numId w:val="36"/>
        </w:numPr>
        <w:rPr>
          <w:rFonts w:asciiTheme="majorHAnsi" w:hAnsiTheme="majorHAnsi" w:cstheme="majorHAnsi"/>
          <w:sz w:val="20"/>
        </w:rPr>
      </w:pPr>
      <w:r w:rsidRPr="00165ED7">
        <w:rPr>
          <w:rFonts w:asciiTheme="majorHAnsi" w:hAnsiTheme="majorHAnsi" w:cstheme="majorHAnsi"/>
          <w:sz w:val="20"/>
        </w:rPr>
        <w:t>príslušné technické normy a predpisy</w:t>
      </w:r>
    </w:p>
    <w:p w:rsidR="00165ED7" w:rsidRPr="00165ED7" w:rsidRDefault="00165ED7" w:rsidP="00165ED7">
      <w:pPr>
        <w:ind w:left="502"/>
        <w:rPr>
          <w:rFonts w:asciiTheme="majorHAnsi" w:hAnsiTheme="majorHAnsi" w:cstheme="majorHAnsi"/>
          <w:sz w:val="20"/>
        </w:rPr>
      </w:pPr>
    </w:p>
    <w:p w:rsidR="00165ED7" w:rsidRPr="00165ED7" w:rsidRDefault="00165ED7" w:rsidP="00165ED7">
      <w:pPr>
        <w:pStyle w:val="Nadpis1"/>
        <w:numPr>
          <w:ilvl w:val="0"/>
          <w:numId w:val="35"/>
        </w:numPr>
      </w:pPr>
      <w:r w:rsidRPr="00165ED7">
        <w:t>TECHNICKÉ RIEŠENIE VODOVODOV</w:t>
      </w:r>
    </w:p>
    <w:p w:rsidR="00165ED7" w:rsidRPr="00165ED7" w:rsidRDefault="00165ED7" w:rsidP="00165ED7">
      <w:pPr>
        <w:pStyle w:val="Nadpis2"/>
        <w:numPr>
          <w:ilvl w:val="0"/>
          <w:numId w:val="0"/>
        </w:numPr>
        <w:spacing w:before="0" w:after="0"/>
        <w:rPr>
          <w:rFonts w:asciiTheme="majorHAnsi" w:hAnsiTheme="majorHAnsi" w:cstheme="majorHAnsi"/>
          <w:szCs w:val="20"/>
        </w:rPr>
      </w:pPr>
      <w:r w:rsidRPr="00165ED7">
        <w:rPr>
          <w:rFonts w:asciiTheme="majorHAnsi" w:hAnsiTheme="majorHAnsi" w:cstheme="majorHAnsi"/>
          <w:szCs w:val="20"/>
        </w:rPr>
        <w:t xml:space="preserve">Súčasný stav </w:t>
      </w:r>
    </w:p>
    <w:p w:rsidR="00165ED7" w:rsidRPr="00165ED7" w:rsidRDefault="00165ED7" w:rsidP="00165ED7">
      <w:pPr>
        <w:ind w:firstLine="708"/>
        <w:rPr>
          <w:rFonts w:asciiTheme="majorHAnsi" w:hAnsiTheme="majorHAnsi" w:cstheme="majorHAnsi"/>
          <w:sz w:val="20"/>
        </w:rPr>
      </w:pPr>
      <w:r w:rsidRPr="00165ED7">
        <w:rPr>
          <w:rFonts w:asciiTheme="majorHAnsi" w:hAnsiTheme="majorHAnsi" w:cstheme="majorHAnsi"/>
          <w:sz w:val="20"/>
        </w:rPr>
        <w:t>V príjazdovej komunikácii je situovaný verejný vodovod. Vinárstvo je zásobované existujúcou prípojkou DN25.</w:t>
      </w:r>
    </w:p>
    <w:p w:rsidR="00165ED7" w:rsidRPr="00165ED7" w:rsidRDefault="00165ED7" w:rsidP="00165ED7">
      <w:pPr>
        <w:ind w:firstLine="708"/>
        <w:rPr>
          <w:rFonts w:asciiTheme="majorHAnsi" w:hAnsiTheme="majorHAnsi" w:cstheme="majorHAnsi"/>
          <w:sz w:val="20"/>
        </w:rPr>
      </w:pPr>
    </w:p>
    <w:p w:rsidR="00165ED7" w:rsidRPr="00165ED7" w:rsidRDefault="00165ED7" w:rsidP="00165ED7">
      <w:pPr>
        <w:pStyle w:val="Nadpis2"/>
        <w:numPr>
          <w:ilvl w:val="0"/>
          <w:numId w:val="0"/>
        </w:numPr>
        <w:spacing w:before="0" w:after="0"/>
        <w:rPr>
          <w:rFonts w:asciiTheme="majorHAnsi" w:hAnsiTheme="majorHAnsi" w:cstheme="majorHAnsi"/>
          <w:szCs w:val="20"/>
        </w:rPr>
      </w:pPr>
      <w:r w:rsidRPr="00165ED7">
        <w:rPr>
          <w:rFonts w:asciiTheme="majorHAnsi" w:hAnsiTheme="majorHAnsi" w:cstheme="majorHAnsi"/>
          <w:szCs w:val="20"/>
        </w:rPr>
        <w:t>Návrh riešenia</w:t>
      </w:r>
      <w:r w:rsidRPr="00165ED7">
        <w:rPr>
          <w:rFonts w:asciiTheme="majorHAnsi" w:hAnsiTheme="majorHAnsi" w:cstheme="majorHAnsi"/>
          <w:szCs w:val="20"/>
        </w:rPr>
        <w:br/>
      </w:r>
    </w:p>
    <w:tbl>
      <w:tblPr>
        <w:tblW w:w="7680" w:type="dxa"/>
        <w:tblInd w:w="70" w:type="dxa"/>
        <w:tblCellMar>
          <w:left w:w="70" w:type="dxa"/>
          <w:right w:w="70" w:type="dxa"/>
        </w:tblCellMar>
        <w:tblLook w:val="04A0" w:firstRow="1" w:lastRow="0" w:firstColumn="1" w:lastColumn="0" w:noHBand="0" w:noVBand="1"/>
      </w:tblPr>
      <w:tblGrid>
        <w:gridCol w:w="1320"/>
        <w:gridCol w:w="6360"/>
      </w:tblGrid>
      <w:tr w:rsidR="00165ED7" w:rsidRPr="00165ED7" w:rsidTr="00DF684E">
        <w:trPr>
          <w:trHeight w:val="288"/>
        </w:trPr>
        <w:tc>
          <w:tcPr>
            <w:tcW w:w="1320" w:type="dxa"/>
            <w:tcBorders>
              <w:top w:val="nil"/>
              <w:left w:val="nil"/>
              <w:bottom w:val="nil"/>
              <w:right w:val="nil"/>
            </w:tcBorders>
            <w:shd w:val="clear" w:color="auto" w:fill="auto"/>
            <w:noWrap/>
            <w:vAlign w:val="center"/>
            <w:hideMark/>
          </w:tcPr>
          <w:p w:rsidR="00165ED7" w:rsidRPr="00165ED7" w:rsidRDefault="00165ED7" w:rsidP="00DF684E">
            <w:pPr>
              <w:rPr>
                <w:rFonts w:asciiTheme="majorHAnsi" w:hAnsiTheme="majorHAnsi" w:cstheme="majorHAnsi"/>
                <w:b/>
                <w:bCs/>
                <w:sz w:val="20"/>
              </w:rPr>
            </w:pPr>
            <w:r w:rsidRPr="00165ED7">
              <w:rPr>
                <w:rFonts w:asciiTheme="majorHAnsi" w:hAnsiTheme="majorHAnsi" w:cstheme="majorHAnsi"/>
                <w:b/>
                <w:bCs/>
                <w:sz w:val="20"/>
              </w:rPr>
              <w:t>SO 07.1</w:t>
            </w:r>
          </w:p>
        </w:tc>
        <w:tc>
          <w:tcPr>
            <w:tcW w:w="6360" w:type="dxa"/>
            <w:tcBorders>
              <w:top w:val="nil"/>
              <w:left w:val="nil"/>
              <w:bottom w:val="nil"/>
              <w:right w:val="nil"/>
            </w:tcBorders>
            <w:shd w:val="clear" w:color="auto" w:fill="auto"/>
            <w:noWrap/>
            <w:vAlign w:val="center"/>
            <w:hideMark/>
          </w:tcPr>
          <w:p w:rsidR="00165ED7" w:rsidRPr="00165ED7" w:rsidRDefault="00165ED7" w:rsidP="00DF684E">
            <w:pPr>
              <w:rPr>
                <w:rFonts w:asciiTheme="majorHAnsi" w:hAnsiTheme="majorHAnsi" w:cstheme="majorHAnsi"/>
                <w:b/>
                <w:bCs/>
                <w:sz w:val="20"/>
              </w:rPr>
            </w:pPr>
            <w:r w:rsidRPr="00165ED7">
              <w:rPr>
                <w:rFonts w:asciiTheme="majorHAnsi" w:hAnsiTheme="majorHAnsi" w:cstheme="majorHAnsi"/>
                <w:b/>
                <w:bCs/>
                <w:sz w:val="20"/>
              </w:rPr>
              <w:t>Prípojka vody</w:t>
            </w:r>
          </w:p>
        </w:tc>
      </w:tr>
    </w:tbl>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Prípojka vody DN25 sa demontuje, pre vinárstvo sa zriadi nová prípojka DN50. V chodníku za napojením sa osadí nová vodomerná šachta. Vo vodomernej šachte bude osadená jedna vodomerná zostava s vodomerom DN40. Za šachtou sa vodovod rozdelí na 3 vetvy DN32. Jedna vetva DN 32 zásobuje objekty SO 01,SO 02,SO 03 druhá vetva požiarnu nádrž a tretia vetva je pripravená pre vyhliadkovú vežu. Pri realizácii je potrebné preveriť presnú polohu existujúcej prípojky vedenej ku vyhliadkovej veži a taktiež preveriť či je vo vyhovujúcom stave a prečistiť ju.</w:t>
      </w:r>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Vodomerná šachta 1600x1200x1800mm je prefabrikovaná betónová šachta so vstupným otvorom 600x600 mm. Otvor bude opatrený oceľovým poklopom.</w:t>
      </w:r>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 xml:space="preserve">Z areálového rozvodu vody bude napojená pitná fontánka prípojkou DN15. </w:t>
      </w:r>
    </w:p>
    <w:p w:rsidR="00165ED7" w:rsidRPr="00165ED7" w:rsidRDefault="00165ED7" w:rsidP="00165ED7">
      <w:pPr>
        <w:ind w:firstLine="720"/>
        <w:rPr>
          <w:rFonts w:asciiTheme="majorHAnsi" w:hAnsiTheme="majorHAnsi" w:cstheme="majorHAnsi"/>
          <w:sz w:val="20"/>
        </w:rPr>
      </w:pPr>
    </w:p>
    <w:p w:rsidR="00165ED7" w:rsidRPr="00165ED7" w:rsidRDefault="00165ED7" w:rsidP="00165ED7">
      <w:pPr>
        <w:ind w:firstLine="567"/>
        <w:rPr>
          <w:rFonts w:asciiTheme="majorHAnsi" w:hAnsiTheme="majorHAnsi" w:cstheme="majorHAnsi"/>
          <w:sz w:val="20"/>
        </w:rPr>
      </w:pPr>
      <w:r w:rsidRPr="00165ED7">
        <w:rPr>
          <w:rFonts w:asciiTheme="majorHAnsi" w:hAnsiTheme="majorHAnsi" w:cstheme="majorHAnsi"/>
          <w:b/>
          <w:sz w:val="20"/>
        </w:rPr>
        <w:t>Materiál</w:t>
      </w:r>
      <w:r w:rsidRPr="00165ED7">
        <w:rPr>
          <w:rFonts w:asciiTheme="majorHAnsi" w:hAnsiTheme="majorHAnsi" w:cstheme="majorHAnsi"/>
          <w:sz w:val="20"/>
        </w:rPr>
        <w:t xml:space="preserve">  Na výstavbu budú použité HDPE potrubia PE100 SDR17 spájané zváraním na tupo alebo elektrotvarovkami a to:</w:t>
      </w:r>
    </w:p>
    <w:p w:rsidR="00165ED7" w:rsidRPr="00165ED7" w:rsidRDefault="00165ED7" w:rsidP="00165ED7">
      <w:pPr>
        <w:ind w:firstLine="567"/>
        <w:rPr>
          <w:rFonts w:asciiTheme="majorHAnsi" w:hAnsiTheme="majorHAnsi" w:cstheme="majorHAnsi"/>
          <w:sz w:val="20"/>
        </w:rPr>
      </w:pPr>
    </w:p>
    <w:p w:rsidR="00165ED7" w:rsidRPr="00165ED7" w:rsidRDefault="00165ED7" w:rsidP="00165ED7">
      <w:pPr>
        <w:pStyle w:val="Zkladntext25"/>
        <w:ind w:left="1440"/>
        <w:rPr>
          <w:rFonts w:asciiTheme="majorHAnsi" w:hAnsiTheme="majorHAnsi" w:cstheme="majorHAnsi"/>
          <w:b/>
          <w:sz w:val="20"/>
          <w:lang w:val="sk-SK"/>
        </w:rPr>
      </w:pPr>
      <w:r w:rsidRPr="00165ED7">
        <w:rPr>
          <w:rFonts w:asciiTheme="majorHAnsi" w:hAnsiTheme="majorHAnsi" w:cstheme="majorHAnsi"/>
          <w:b/>
          <w:sz w:val="20"/>
          <w:lang w:val="sk-SK"/>
        </w:rPr>
        <w:t>PRÍPOJKA DO VŠ D63/DN50,  PE 100 SDR17</w:t>
      </w:r>
      <w:r w:rsidRPr="00165ED7">
        <w:rPr>
          <w:rFonts w:asciiTheme="majorHAnsi" w:hAnsiTheme="majorHAnsi" w:cstheme="majorHAnsi"/>
          <w:b/>
          <w:sz w:val="20"/>
          <w:lang w:val="sk-SK"/>
        </w:rPr>
        <w:tab/>
      </w:r>
      <w:r w:rsidRPr="00165ED7">
        <w:rPr>
          <w:rFonts w:asciiTheme="majorHAnsi" w:hAnsiTheme="majorHAnsi" w:cstheme="majorHAnsi"/>
          <w:b/>
          <w:sz w:val="20"/>
          <w:lang w:val="sk-SK"/>
        </w:rPr>
        <w:tab/>
      </w:r>
      <w:r w:rsidRPr="00165ED7">
        <w:rPr>
          <w:rFonts w:asciiTheme="majorHAnsi" w:hAnsiTheme="majorHAnsi" w:cstheme="majorHAnsi"/>
          <w:b/>
          <w:sz w:val="20"/>
          <w:lang w:val="sk-SK"/>
        </w:rPr>
        <w:tab/>
        <w:t xml:space="preserve">  1,50 m  </w:t>
      </w:r>
    </w:p>
    <w:p w:rsidR="00165ED7" w:rsidRPr="00165ED7" w:rsidRDefault="00165ED7" w:rsidP="00165ED7">
      <w:pPr>
        <w:pStyle w:val="Zkladntext25"/>
        <w:ind w:left="1440"/>
        <w:rPr>
          <w:rFonts w:asciiTheme="majorHAnsi" w:hAnsiTheme="majorHAnsi" w:cstheme="majorHAnsi"/>
          <w:b/>
          <w:sz w:val="20"/>
          <w:lang w:val="sk-SK"/>
        </w:rPr>
      </w:pPr>
      <w:r w:rsidRPr="00165ED7">
        <w:rPr>
          <w:rFonts w:asciiTheme="majorHAnsi" w:hAnsiTheme="majorHAnsi" w:cstheme="majorHAnsi"/>
          <w:b/>
          <w:sz w:val="20"/>
          <w:lang w:val="sk-SK"/>
        </w:rPr>
        <w:t>PRÍPOJKA OBJEKTOVÁ PN D40/DN32,  PE 100 SDR17</w:t>
      </w:r>
      <w:r w:rsidRPr="00165ED7">
        <w:rPr>
          <w:rFonts w:asciiTheme="majorHAnsi" w:hAnsiTheme="majorHAnsi" w:cstheme="majorHAnsi"/>
          <w:b/>
          <w:sz w:val="20"/>
          <w:lang w:val="sk-SK"/>
        </w:rPr>
        <w:tab/>
      </w:r>
      <w:r w:rsidRPr="00165ED7">
        <w:rPr>
          <w:rFonts w:asciiTheme="majorHAnsi" w:hAnsiTheme="majorHAnsi" w:cstheme="majorHAnsi"/>
          <w:b/>
          <w:sz w:val="20"/>
          <w:lang w:val="sk-SK"/>
        </w:rPr>
        <w:tab/>
        <w:t xml:space="preserve">35,00 m  </w:t>
      </w:r>
    </w:p>
    <w:p w:rsidR="00165ED7" w:rsidRPr="00165ED7" w:rsidRDefault="00165ED7" w:rsidP="00165ED7">
      <w:pPr>
        <w:pStyle w:val="Zkladntext25"/>
        <w:ind w:left="1440"/>
        <w:rPr>
          <w:rFonts w:asciiTheme="majorHAnsi" w:hAnsiTheme="majorHAnsi" w:cstheme="majorHAnsi"/>
          <w:b/>
          <w:sz w:val="20"/>
          <w:lang w:val="sk-SK"/>
        </w:rPr>
      </w:pPr>
      <w:r w:rsidRPr="00165ED7">
        <w:rPr>
          <w:rFonts w:asciiTheme="majorHAnsi" w:hAnsiTheme="majorHAnsi" w:cstheme="majorHAnsi"/>
          <w:b/>
          <w:sz w:val="20"/>
          <w:lang w:val="sk-SK"/>
        </w:rPr>
        <w:t>PRÍPOJKA PRE FONTÁNKU PN D20/DN15,  PE 100 SDR17</w:t>
      </w:r>
      <w:r w:rsidRPr="00165ED7">
        <w:rPr>
          <w:rFonts w:asciiTheme="majorHAnsi" w:hAnsiTheme="majorHAnsi" w:cstheme="majorHAnsi"/>
          <w:b/>
          <w:sz w:val="20"/>
          <w:lang w:val="sk-SK"/>
        </w:rPr>
        <w:tab/>
        <w:t xml:space="preserve">  2,00 m  </w:t>
      </w:r>
    </w:p>
    <w:p w:rsidR="00165ED7" w:rsidRPr="00165ED7" w:rsidRDefault="00165ED7" w:rsidP="00165ED7">
      <w:pPr>
        <w:pStyle w:val="Zkladntext25"/>
        <w:ind w:left="1440"/>
        <w:rPr>
          <w:rFonts w:asciiTheme="majorHAnsi" w:hAnsiTheme="majorHAnsi" w:cstheme="majorHAnsi"/>
          <w:b/>
          <w:sz w:val="20"/>
          <w:u w:val="single"/>
          <w:lang w:val="sk-SK"/>
        </w:rPr>
      </w:pPr>
      <w:r w:rsidRPr="00165ED7">
        <w:rPr>
          <w:rFonts w:asciiTheme="majorHAnsi" w:hAnsiTheme="majorHAnsi" w:cstheme="majorHAnsi"/>
          <w:b/>
          <w:sz w:val="20"/>
          <w:u w:val="single"/>
          <w:lang w:val="sk-SK"/>
        </w:rPr>
        <w:t>PRÍPOJKA DO PN D40/DN32,  PE 100 SDR17</w:t>
      </w:r>
      <w:r w:rsidRPr="00165ED7">
        <w:rPr>
          <w:rFonts w:asciiTheme="majorHAnsi" w:hAnsiTheme="majorHAnsi" w:cstheme="majorHAnsi"/>
          <w:b/>
          <w:sz w:val="20"/>
          <w:u w:val="single"/>
          <w:lang w:val="sk-SK"/>
        </w:rPr>
        <w:tab/>
      </w:r>
      <w:r w:rsidRPr="00165ED7">
        <w:rPr>
          <w:rFonts w:asciiTheme="majorHAnsi" w:hAnsiTheme="majorHAnsi" w:cstheme="majorHAnsi"/>
          <w:b/>
          <w:sz w:val="20"/>
          <w:u w:val="single"/>
          <w:lang w:val="sk-SK"/>
        </w:rPr>
        <w:tab/>
      </w:r>
      <w:r w:rsidRPr="00165ED7">
        <w:rPr>
          <w:rFonts w:asciiTheme="majorHAnsi" w:hAnsiTheme="majorHAnsi" w:cstheme="majorHAnsi"/>
          <w:b/>
          <w:sz w:val="20"/>
          <w:u w:val="single"/>
          <w:lang w:val="sk-SK"/>
        </w:rPr>
        <w:tab/>
        <w:t xml:space="preserve">11,50 m  </w:t>
      </w:r>
    </w:p>
    <w:p w:rsidR="00165ED7" w:rsidRPr="00165ED7" w:rsidRDefault="00165ED7" w:rsidP="00165ED7">
      <w:pPr>
        <w:pStyle w:val="Zkladntext25"/>
        <w:ind w:left="1440"/>
        <w:rPr>
          <w:rFonts w:asciiTheme="majorHAnsi" w:hAnsiTheme="majorHAnsi" w:cstheme="majorHAnsi"/>
          <w:sz w:val="20"/>
          <w:lang w:val="sk-SK"/>
        </w:rPr>
      </w:pPr>
      <w:r w:rsidRPr="00165ED7">
        <w:rPr>
          <w:rFonts w:asciiTheme="majorHAnsi" w:hAnsiTheme="majorHAnsi" w:cstheme="majorHAnsi"/>
          <w:sz w:val="20"/>
          <w:lang w:val="sk-SK"/>
        </w:rPr>
        <w:t>Spolu</w:t>
      </w:r>
      <w:r w:rsidRPr="00165ED7">
        <w:rPr>
          <w:rFonts w:asciiTheme="majorHAnsi" w:hAnsiTheme="majorHAnsi" w:cstheme="majorHAnsi"/>
          <w:sz w:val="20"/>
          <w:lang w:val="sk-SK"/>
        </w:rPr>
        <w:tab/>
      </w:r>
      <w:r w:rsidRPr="00165ED7">
        <w:rPr>
          <w:rFonts w:asciiTheme="majorHAnsi" w:hAnsiTheme="majorHAnsi" w:cstheme="majorHAnsi"/>
          <w:sz w:val="20"/>
          <w:lang w:val="sk-SK"/>
        </w:rPr>
        <w:tab/>
      </w:r>
      <w:r w:rsidRPr="00165ED7">
        <w:rPr>
          <w:rFonts w:asciiTheme="majorHAnsi" w:hAnsiTheme="majorHAnsi" w:cstheme="majorHAnsi"/>
          <w:sz w:val="20"/>
          <w:lang w:val="sk-SK"/>
        </w:rPr>
        <w:tab/>
      </w:r>
      <w:r w:rsidRPr="00165ED7">
        <w:rPr>
          <w:rFonts w:asciiTheme="majorHAnsi" w:hAnsiTheme="majorHAnsi" w:cstheme="majorHAnsi"/>
          <w:sz w:val="20"/>
          <w:lang w:val="sk-SK"/>
        </w:rPr>
        <w:tab/>
      </w:r>
      <w:r w:rsidRPr="00165ED7">
        <w:rPr>
          <w:rFonts w:asciiTheme="majorHAnsi" w:hAnsiTheme="majorHAnsi" w:cstheme="majorHAnsi"/>
          <w:sz w:val="20"/>
          <w:lang w:val="sk-SK"/>
        </w:rPr>
        <w:tab/>
      </w:r>
      <w:r w:rsidRPr="00165ED7">
        <w:rPr>
          <w:rFonts w:asciiTheme="majorHAnsi" w:hAnsiTheme="majorHAnsi" w:cstheme="majorHAnsi"/>
          <w:sz w:val="20"/>
          <w:lang w:val="sk-SK"/>
        </w:rPr>
        <w:tab/>
      </w:r>
      <w:r w:rsidRPr="00165ED7">
        <w:rPr>
          <w:rFonts w:asciiTheme="majorHAnsi" w:hAnsiTheme="majorHAnsi" w:cstheme="majorHAnsi"/>
          <w:sz w:val="20"/>
          <w:lang w:val="sk-SK"/>
        </w:rPr>
        <w:tab/>
      </w:r>
      <w:r w:rsidRPr="00165ED7">
        <w:rPr>
          <w:rFonts w:asciiTheme="majorHAnsi" w:hAnsiTheme="majorHAnsi" w:cstheme="majorHAnsi"/>
          <w:sz w:val="20"/>
          <w:lang w:val="sk-SK"/>
        </w:rPr>
        <w:tab/>
      </w:r>
      <w:r w:rsidRPr="00165ED7">
        <w:rPr>
          <w:rFonts w:asciiTheme="majorHAnsi" w:hAnsiTheme="majorHAnsi" w:cstheme="majorHAnsi"/>
          <w:sz w:val="20"/>
          <w:lang w:val="sk-SK"/>
        </w:rPr>
        <w:tab/>
        <w:t>50,00 m</w:t>
      </w:r>
    </w:p>
    <w:p w:rsidR="00165ED7" w:rsidRPr="00165ED7" w:rsidRDefault="00165ED7" w:rsidP="00165ED7">
      <w:pPr>
        <w:pStyle w:val="Zkladntext25"/>
        <w:ind w:left="1440"/>
        <w:rPr>
          <w:rFonts w:asciiTheme="majorHAnsi" w:hAnsiTheme="majorHAnsi" w:cstheme="majorHAnsi"/>
          <w:sz w:val="20"/>
          <w:lang w:val="sk-SK"/>
        </w:rPr>
      </w:pPr>
    </w:p>
    <w:p w:rsidR="00165ED7" w:rsidRPr="00165ED7" w:rsidRDefault="00165ED7" w:rsidP="00165ED7">
      <w:pPr>
        <w:ind w:firstLine="567"/>
        <w:rPr>
          <w:rFonts w:asciiTheme="majorHAnsi" w:hAnsiTheme="majorHAnsi" w:cstheme="majorHAnsi"/>
          <w:sz w:val="20"/>
        </w:rPr>
      </w:pPr>
      <w:r w:rsidRPr="00165ED7">
        <w:rPr>
          <w:rFonts w:asciiTheme="majorHAnsi" w:hAnsiTheme="majorHAnsi" w:cstheme="majorHAnsi"/>
          <w:b/>
          <w:sz w:val="20"/>
        </w:rPr>
        <w:t>Niveleta potrubia</w:t>
      </w:r>
      <w:r w:rsidRPr="00165ED7">
        <w:rPr>
          <w:rFonts w:asciiTheme="majorHAnsi" w:hAnsiTheme="majorHAnsi" w:cstheme="majorHAnsi"/>
          <w:sz w:val="20"/>
        </w:rPr>
        <w:t xml:space="preserve">  Návrh nivelety je v súlade s STN 75 5401. Výškové vedenie potrubia bude v nezamŕzajúcej hĺbke v min. sklone 3‰. Prípojky vody pre jednotlivé objekty budú vyspádované smerom k verejnému vodovodu.</w:t>
      </w:r>
    </w:p>
    <w:p w:rsidR="00165ED7" w:rsidRPr="00165ED7" w:rsidRDefault="00165ED7" w:rsidP="00165ED7">
      <w:pPr>
        <w:rPr>
          <w:rFonts w:asciiTheme="majorHAnsi" w:hAnsiTheme="majorHAnsi" w:cstheme="majorHAnsi"/>
          <w:b/>
          <w:sz w:val="20"/>
        </w:rPr>
      </w:pPr>
    </w:p>
    <w:p w:rsidR="00165ED7" w:rsidRPr="00165ED7" w:rsidRDefault="00165ED7" w:rsidP="00165ED7">
      <w:pPr>
        <w:ind w:firstLine="567"/>
        <w:rPr>
          <w:rFonts w:asciiTheme="majorHAnsi" w:hAnsiTheme="majorHAnsi" w:cstheme="majorHAnsi"/>
          <w:sz w:val="20"/>
        </w:rPr>
      </w:pPr>
      <w:r w:rsidRPr="00165ED7">
        <w:rPr>
          <w:rFonts w:asciiTheme="majorHAnsi" w:hAnsiTheme="majorHAnsi" w:cstheme="majorHAnsi"/>
          <w:b/>
          <w:sz w:val="20"/>
        </w:rPr>
        <w:t xml:space="preserve">Uloženie potrubia </w:t>
      </w:r>
      <w:r w:rsidRPr="00165ED7">
        <w:rPr>
          <w:rFonts w:asciiTheme="majorHAnsi" w:hAnsiTheme="majorHAnsi" w:cstheme="majorHAnsi"/>
          <w:sz w:val="20"/>
        </w:rPr>
        <w:t>- pozri vzorový priečny rez. Dno ryhy sa vyrovná do predpísaného sklonu, prípadné priehlbiny sa vyplnia vhodným materiálom lôžka a zhutní (I</w:t>
      </w:r>
      <w:r w:rsidRPr="00165ED7">
        <w:rPr>
          <w:rFonts w:asciiTheme="majorHAnsi" w:hAnsiTheme="majorHAnsi" w:cstheme="majorHAnsi"/>
          <w:sz w:val="20"/>
          <w:vertAlign w:val="subscript"/>
        </w:rPr>
        <w:t>D</w:t>
      </w:r>
      <w:r w:rsidRPr="00165ED7">
        <w:rPr>
          <w:rFonts w:asciiTheme="majorHAnsi" w:hAnsiTheme="majorHAnsi" w:cstheme="majorHAnsi"/>
          <w:sz w:val="20"/>
        </w:rPr>
        <w:t>&gt;0,85). Navrhuje sa štandardné uloženie na pieskovom lôžku hr.150 mm. Obsyp potrubia sa uskutoční po montáži potrubia triedeným neagresívnym materiálom max. zrna 20mm, po vrstvách max. 15 cm so zhutnením do výšky 300 mm nad vrchol rúry.  Nad rúrou sa obsyp nesmie zhutňovať, kým jeho výška nepresiahne 30 cm nad vrchol potrubia.</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Zásyp potrubia sa uskutoční prehodeným materiálom. Vo vozovke vhodným materiálom do podkladných vrstiev vozovky zhutneným na Id</w:t>
      </w:r>
      <w:r w:rsidRPr="00165ED7">
        <w:rPr>
          <w:rFonts w:asciiTheme="majorHAnsi" w:hAnsiTheme="majorHAnsi" w:cstheme="majorHAnsi"/>
          <w:sz w:val="20"/>
        </w:rPr>
        <w:fldChar w:fldCharType="begin"/>
      </w:r>
      <w:r w:rsidRPr="00165ED7">
        <w:rPr>
          <w:rFonts w:asciiTheme="majorHAnsi" w:hAnsiTheme="majorHAnsi" w:cstheme="majorHAnsi"/>
          <w:sz w:val="20"/>
        </w:rPr>
        <w:instrText>SYMBOL 62 \f "Technic" \s 11</w:instrText>
      </w:r>
      <w:r w:rsidRPr="00165ED7">
        <w:rPr>
          <w:rFonts w:asciiTheme="majorHAnsi" w:hAnsiTheme="majorHAnsi" w:cstheme="majorHAnsi"/>
          <w:sz w:val="20"/>
        </w:rPr>
        <w:fldChar w:fldCharType="separate"/>
      </w:r>
      <w:r w:rsidRPr="00165ED7">
        <w:rPr>
          <w:rFonts w:asciiTheme="majorHAnsi" w:hAnsiTheme="majorHAnsi" w:cstheme="majorHAnsi"/>
          <w:sz w:val="20"/>
        </w:rPr>
        <w:t>&gt;</w:t>
      </w:r>
      <w:r w:rsidRPr="00165ED7">
        <w:rPr>
          <w:rFonts w:asciiTheme="majorHAnsi" w:hAnsiTheme="majorHAnsi" w:cstheme="majorHAnsi"/>
          <w:sz w:val="20"/>
        </w:rPr>
        <w:fldChar w:fldCharType="end"/>
      </w:r>
      <w:r w:rsidRPr="00165ED7">
        <w:rPr>
          <w:rFonts w:asciiTheme="majorHAnsi" w:hAnsiTheme="majorHAnsi" w:cstheme="majorHAnsi"/>
          <w:sz w:val="20"/>
        </w:rPr>
        <w:t xml:space="preserve">0,85 do úrovne pláne vozovky. V prípade, že by výkopovú zeminu nebolo možné na požadovanú mieru zhutnenia, je nutné zásyp ryhy robiť štrkopieskom. </w:t>
      </w:r>
    </w:p>
    <w:p w:rsidR="00165ED7" w:rsidRPr="00165ED7" w:rsidRDefault="00165ED7" w:rsidP="00165ED7">
      <w:pPr>
        <w:tabs>
          <w:tab w:val="left" w:pos="284"/>
        </w:tabs>
        <w:rPr>
          <w:rFonts w:asciiTheme="majorHAnsi" w:hAnsiTheme="majorHAnsi" w:cstheme="majorHAnsi"/>
          <w:sz w:val="20"/>
        </w:rPr>
      </w:pPr>
      <w:r w:rsidRPr="00165ED7">
        <w:rPr>
          <w:rFonts w:asciiTheme="majorHAnsi" w:hAnsiTheme="majorHAnsi" w:cstheme="majorHAnsi"/>
          <w:sz w:val="20"/>
        </w:rPr>
        <w:t xml:space="preserve">V prípade, že by podložie pre vodovodné potrubie nebolo vhodné, navrhuje sa uskutočniť výmenu podložia  – vytvorením stabilizačnej vrstvy z piesčitého štrku hr. 200mm. </w:t>
      </w:r>
    </w:p>
    <w:p w:rsidR="00165ED7" w:rsidRPr="00165ED7" w:rsidRDefault="00165ED7" w:rsidP="00165ED7">
      <w:pPr>
        <w:tabs>
          <w:tab w:val="left" w:pos="2268"/>
          <w:tab w:val="left" w:pos="6379"/>
          <w:tab w:val="right" w:pos="7513"/>
        </w:tabs>
        <w:rPr>
          <w:rFonts w:asciiTheme="majorHAnsi" w:hAnsiTheme="majorHAnsi" w:cstheme="majorHAnsi"/>
          <w:sz w:val="20"/>
        </w:rPr>
      </w:pPr>
      <w:r w:rsidRPr="00165ED7">
        <w:rPr>
          <w:rFonts w:asciiTheme="majorHAnsi" w:hAnsiTheme="majorHAnsi" w:cstheme="majorHAnsi"/>
          <w:sz w:val="20"/>
        </w:rPr>
        <w:t xml:space="preserve">Technológia zásypu a obsypu ryhy sa musí realizovať v súlade s platnými STN a predpismi výrobcu potrubia. </w:t>
      </w:r>
    </w:p>
    <w:p w:rsidR="00165ED7" w:rsidRPr="00165ED7" w:rsidRDefault="00165ED7" w:rsidP="00165ED7">
      <w:pPr>
        <w:pStyle w:val="Zarkazkladnhotextu23"/>
        <w:rPr>
          <w:rFonts w:asciiTheme="majorHAnsi" w:hAnsiTheme="majorHAnsi" w:cstheme="majorHAnsi"/>
          <w:sz w:val="20"/>
          <w:lang w:val="sk-SK"/>
        </w:rPr>
      </w:pPr>
      <w:r w:rsidRPr="00165ED7">
        <w:rPr>
          <w:rFonts w:asciiTheme="majorHAnsi" w:hAnsiTheme="majorHAnsi" w:cstheme="majorHAnsi"/>
          <w:b/>
          <w:noProof w:val="0"/>
          <w:sz w:val="20"/>
          <w:lang w:val="sk-SK"/>
        </w:rPr>
        <w:t>Vybavenie objektu</w:t>
      </w:r>
      <w:r w:rsidRPr="00165ED7">
        <w:rPr>
          <w:rFonts w:asciiTheme="majorHAnsi" w:hAnsiTheme="majorHAnsi" w:cstheme="majorHAnsi"/>
          <w:sz w:val="20"/>
          <w:lang w:val="sk-SK"/>
        </w:rPr>
        <w:t xml:space="preserve"> bude štandartné v súlade s STN 75 5401 a STN 75 5630 slúžiace pre zabezpečenie bezporuchovej prevádzky. Na potrubí bude upevnený vyhľadávací kábel CE 4 mm2 vodivo vyvedený na poklopy uzáverov. Pri zásype potrubia bude cca 30 cm nad potrubím umiestnená výstražná fólia.  </w:t>
      </w:r>
    </w:p>
    <w:p w:rsidR="00165ED7" w:rsidRPr="00165ED7" w:rsidRDefault="00165ED7" w:rsidP="00165ED7">
      <w:pPr>
        <w:pStyle w:val="Zarkazkladnhotextu23"/>
        <w:rPr>
          <w:rFonts w:asciiTheme="majorHAnsi" w:hAnsiTheme="majorHAnsi" w:cstheme="majorHAnsi"/>
          <w:sz w:val="20"/>
          <w:lang w:val="sk-SK"/>
        </w:rPr>
      </w:pPr>
    </w:p>
    <w:p w:rsidR="00165ED7" w:rsidRPr="00165ED7" w:rsidRDefault="00165ED7" w:rsidP="00165ED7">
      <w:pPr>
        <w:pStyle w:val="Nadpis3"/>
        <w:numPr>
          <w:ilvl w:val="0"/>
          <w:numId w:val="0"/>
        </w:numPr>
        <w:spacing w:before="0" w:after="0"/>
        <w:rPr>
          <w:rFonts w:asciiTheme="majorHAnsi" w:hAnsiTheme="majorHAnsi" w:cstheme="majorHAnsi"/>
        </w:rPr>
      </w:pPr>
      <w:r w:rsidRPr="00165ED7">
        <w:rPr>
          <w:rFonts w:asciiTheme="majorHAnsi" w:hAnsiTheme="majorHAnsi" w:cstheme="majorHAnsi"/>
        </w:rPr>
        <w:t xml:space="preserve">Hydrotechnický výpočet </w:t>
      </w:r>
    </w:p>
    <w:p w:rsidR="00165ED7" w:rsidRPr="00165ED7" w:rsidRDefault="00165ED7" w:rsidP="00165ED7">
      <w:pPr>
        <w:tabs>
          <w:tab w:val="right" w:pos="6379"/>
        </w:tabs>
        <w:rPr>
          <w:rFonts w:asciiTheme="majorHAnsi" w:hAnsiTheme="majorHAnsi" w:cstheme="majorHAnsi"/>
          <w:b/>
          <w:sz w:val="20"/>
        </w:rPr>
      </w:pPr>
      <w:bookmarkStart w:id="120" w:name="_Toc94952285"/>
      <w:bookmarkEnd w:id="118"/>
      <w:r w:rsidRPr="00165ED7">
        <w:rPr>
          <w:rFonts w:asciiTheme="majorHAnsi" w:hAnsiTheme="majorHAnsi" w:cstheme="majorHAnsi"/>
          <w:sz w:val="20"/>
        </w:rPr>
        <w:t xml:space="preserve">Výpočet množstva potreby vody je spracovaný podľa Vyhlášky č.684/2006 Ministerstva životného prostredia SR zo dňa 14.11.2006: </w:t>
      </w:r>
    </w:p>
    <w:p w:rsidR="00165ED7" w:rsidRPr="00165ED7" w:rsidRDefault="00165ED7" w:rsidP="00165ED7">
      <w:pPr>
        <w:pStyle w:val="Zkladntext25"/>
        <w:rPr>
          <w:rFonts w:asciiTheme="majorHAnsi" w:hAnsiTheme="majorHAnsi" w:cstheme="majorHAnsi"/>
          <w:b/>
          <w:sz w:val="20"/>
          <w:lang w:val="sk-SK"/>
        </w:rPr>
      </w:pPr>
    </w:p>
    <w:p w:rsidR="00165ED7" w:rsidRPr="00165ED7" w:rsidRDefault="00165ED7" w:rsidP="00165ED7">
      <w:pPr>
        <w:pStyle w:val="Odsekzoznamu"/>
        <w:ind w:left="709"/>
        <w:rPr>
          <w:rFonts w:asciiTheme="majorHAnsi" w:hAnsiTheme="majorHAnsi" w:cstheme="majorHAnsi"/>
          <w:sz w:val="20"/>
          <w:szCs w:val="20"/>
        </w:rPr>
      </w:pPr>
      <w:r w:rsidRPr="00165ED7">
        <w:rPr>
          <w:rFonts w:asciiTheme="majorHAnsi" w:hAnsiTheme="majorHAnsi" w:cstheme="majorHAnsi"/>
          <w:sz w:val="20"/>
          <w:szCs w:val="20"/>
        </w:rPr>
        <w:t>Q</w:t>
      </w:r>
      <w:r w:rsidRPr="00165ED7">
        <w:rPr>
          <w:rFonts w:asciiTheme="majorHAnsi" w:hAnsiTheme="majorHAnsi" w:cstheme="majorHAnsi"/>
          <w:sz w:val="20"/>
          <w:szCs w:val="20"/>
          <w:vertAlign w:val="subscript"/>
        </w:rPr>
        <w:t>p</w:t>
      </w:r>
      <w:r w:rsidRPr="00165ED7">
        <w:rPr>
          <w:rFonts w:asciiTheme="majorHAnsi" w:hAnsiTheme="majorHAnsi" w:cstheme="majorHAnsi"/>
          <w:sz w:val="20"/>
          <w:szCs w:val="20"/>
        </w:rPr>
        <w:t>= priemerná denná potreba</w:t>
      </w:r>
    </w:p>
    <w:p w:rsidR="00165ED7" w:rsidRPr="00165ED7" w:rsidRDefault="00165ED7" w:rsidP="00165ED7">
      <w:pPr>
        <w:pStyle w:val="Odsekzoznamu"/>
        <w:ind w:left="709"/>
        <w:rPr>
          <w:rFonts w:asciiTheme="majorHAnsi" w:hAnsiTheme="majorHAnsi" w:cstheme="majorHAnsi"/>
          <w:sz w:val="20"/>
          <w:szCs w:val="20"/>
        </w:rPr>
      </w:pPr>
      <w:r w:rsidRPr="00165ED7">
        <w:rPr>
          <w:rFonts w:asciiTheme="majorHAnsi" w:hAnsiTheme="majorHAnsi" w:cstheme="majorHAnsi"/>
          <w:sz w:val="20"/>
          <w:szCs w:val="20"/>
        </w:rPr>
        <w:t>Q</w:t>
      </w:r>
      <w:r w:rsidRPr="00165ED7">
        <w:rPr>
          <w:rFonts w:asciiTheme="majorHAnsi" w:hAnsiTheme="majorHAnsi" w:cstheme="majorHAnsi"/>
          <w:sz w:val="20"/>
          <w:szCs w:val="20"/>
          <w:vertAlign w:val="subscript"/>
        </w:rPr>
        <w:t>m</w:t>
      </w:r>
      <w:r w:rsidRPr="00165ED7">
        <w:rPr>
          <w:rFonts w:asciiTheme="majorHAnsi" w:hAnsiTheme="majorHAnsi" w:cstheme="majorHAnsi"/>
          <w:sz w:val="20"/>
          <w:szCs w:val="20"/>
        </w:rPr>
        <w:t>= maximálna denná potreba</w:t>
      </w:r>
    </w:p>
    <w:p w:rsidR="00165ED7" w:rsidRPr="00165ED7" w:rsidRDefault="00165ED7" w:rsidP="00165ED7">
      <w:pPr>
        <w:pStyle w:val="Odsekzoznamu"/>
        <w:ind w:left="709"/>
        <w:rPr>
          <w:rFonts w:asciiTheme="majorHAnsi" w:hAnsiTheme="majorHAnsi" w:cstheme="majorHAnsi"/>
          <w:sz w:val="20"/>
          <w:szCs w:val="20"/>
        </w:rPr>
      </w:pPr>
      <w:r w:rsidRPr="00165ED7">
        <w:rPr>
          <w:rFonts w:asciiTheme="majorHAnsi" w:hAnsiTheme="majorHAnsi" w:cstheme="majorHAnsi"/>
          <w:sz w:val="20"/>
          <w:szCs w:val="20"/>
        </w:rPr>
        <w:t>Q</w:t>
      </w:r>
      <w:r w:rsidRPr="00165ED7">
        <w:rPr>
          <w:rFonts w:asciiTheme="majorHAnsi" w:hAnsiTheme="majorHAnsi" w:cstheme="majorHAnsi"/>
          <w:sz w:val="20"/>
          <w:szCs w:val="20"/>
          <w:vertAlign w:val="subscript"/>
        </w:rPr>
        <w:t>h</w:t>
      </w:r>
      <w:r w:rsidRPr="00165ED7">
        <w:rPr>
          <w:rFonts w:asciiTheme="majorHAnsi" w:hAnsiTheme="majorHAnsi" w:cstheme="majorHAnsi"/>
          <w:sz w:val="20"/>
          <w:szCs w:val="20"/>
        </w:rPr>
        <w:t>= maximálna hodinová potreba</w:t>
      </w:r>
    </w:p>
    <w:p w:rsidR="00165ED7" w:rsidRPr="00165ED7" w:rsidRDefault="00165ED7" w:rsidP="00165ED7">
      <w:pPr>
        <w:pStyle w:val="Odsekzoznamu"/>
        <w:ind w:left="709"/>
        <w:rPr>
          <w:rFonts w:asciiTheme="majorHAnsi" w:hAnsiTheme="majorHAnsi" w:cstheme="majorHAnsi"/>
          <w:sz w:val="20"/>
          <w:szCs w:val="20"/>
        </w:rPr>
      </w:pPr>
      <w:r w:rsidRPr="00165ED7">
        <w:rPr>
          <w:rFonts w:asciiTheme="majorHAnsi" w:hAnsiTheme="majorHAnsi" w:cstheme="majorHAnsi"/>
          <w:sz w:val="20"/>
          <w:szCs w:val="20"/>
        </w:rPr>
        <w:t>k</w:t>
      </w:r>
      <w:r w:rsidRPr="00165ED7">
        <w:rPr>
          <w:rFonts w:asciiTheme="majorHAnsi" w:hAnsiTheme="majorHAnsi" w:cstheme="majorHAnsi"/>
          <w:sz w:val="20"/>
          <w:szCs w:val="20"/>
          <w:vertAlign w:val="subscript"/>
        </w:rPr>
        <w:t>d</w:t>
      </w:r>
      <w:r w:rsidRPr="00165ED7">
        <w:rPr>
          <w:rFonts w:asciiTheme="majorHAnsi" w:hAnsiTheme="majorHAnsi" w:cstheme="majorHAnsi"/>
          <w:sz w:val="20"/>
          <w:szCs w:val="20"/>
        </w:rPr>
        <w:t xml:space="preserve">=1,4 súčiniteľ dennej nerovnomernosti </w:t>
      </w:r>
    </w:p>
    <w:p w:rsidR="00165ED7" w:rsidRPr="00165ED7" w:rsidRDefault="00165ED7" w:rsidP="00165ED7">
      <w:pPr>
        <w:pStyle w:val="Odsekzoznamu"/>
        <w:ind w:left="709"/>
        <w:rPr>
          <w:rFonts w:asciiTheme="majorHAnsi" w:hAnsiTheme="majorHAnsi" w:cstheme="majorHAnsi"/>
          <w:sz w:val="20"/>
          <w:szCs w:val="20"/>
        </w:rPr>
      </w:pPr>
      <w:r w:rsidRPr="00165ED7">
        <w:rPr>
          <w:rFonts w:asciiTheme="majorHAnsi" w:hAnsiTheme="majorHAnsi" w:cstheme="majorHAnsi"/>
          <w:sz w:val="20"/>
          <w:szCs w:val="20"/>
        </w:rPr>
        <w:t>k</w:t>
      </w:r>
      <w:r w:rsidRPr="00165ED7">
        <w:rPr>
          <w:rFonts w:asciiTheme="majorHAnsi" w:hAnsiTheme="majorHAnsi" w:cstheme="majorHAnsi"/>
          <w:sz w:val="20"/>
          <w:szCs w:val="20"/>
          <w:vertAlign w:val="subscript"/>
        </w:rPr>
        <w:t>h</w:t>
      </w:r>
      <w:r w:rsidRPr="00165ED7">
        <w:rPr>
          <w:rFonts w:asciiTheme="majorHAnsi" w:hAnsiTheme="majorHAnsi" w:cstheme="majorHAnsi"/>
          <w:sz w:val="20"/>
          <w:szCs w:val="20"/>
        </w:rPr>
        <w:t>=2,1 súčiniteľ hodinovej nerovnomernosti</w:t>
      </w:r>
    </w:p>
    <w:p w:rsidR="00165ED7" w:rsidRPr="00165ED7" w:rsidRDefault="00165ED7" w:rsidP="00165ED7">
      <w:pPr>
        <w:pStyle w:val="Odsekzoznamu"/>
        <w:ind w:left="709"/>
        <w:rPr>
          <w:rFonts w:asciiTheme="majorHAnsi" w:hAnsiTheme="majorHAnsi" w:cstheme="majorHAnsi"/>
          <w:sz w:val="20"/>
          <w:szCs w:val="20"/>
        </w:rPr>
      </w:pPr>
    </w:p>
    <w:p w:rsidR="00165ED7" w:rsidRPr="00165ED7" w:rsidRDefault="00165ED7" w:rsidP="00165ED7">
      <w:pPr>
        <w:rPr>
          <w:rFonts w:asciiTheme="majorHAnsi" w:hAnsiTheme="majorHAnsi" w:cstheme="majorHAnsi"/>
          <w:b/>
          <w:sz w:val="20"/>
        </w:rPr>
      </w:pPr>
      <w:r w:rsidRPr="00165ED7">
        <w:rPr>
          <w:rFonts w:asciiTheme="majorHAnsi" w:hAnsiTheme="majorHAnsi" w:cstheme="majorHAnsi"/>
          <w:b/>
          <w:sz w:val="20"/>
        </w:rPr>
        <w:lastRenderedPageBreak/>
        <w:t>SO01 Potreba vody</w:t>
      </w:r>
    </w:p>
    <w:p w:rsidR="00165ED7" w:rsidRPr="00165ED7" w:rsidRDefault="00165ED7" w:rsidP="00165ED7">
      <w:pPr>
        <w:tabs>
          <w:tab w:val="left" w:pos="4253"/>
        </w:tabs>
        <w:rPr>
          <w:rFonts w:asciiTheme="majorHAnsi" w:hAnsiTheme="majorHAnsi" w:cstheme="majorHAnsi"/>
          <w:sz w:val="20"/>
        </w:rPr>
      </w:pPr>
      <w:r w:rsidRPr="00165ED7">
        <w:rPr>
          <w:rFonts w:asciiTheme="majorHAnsi" w:hAnsiTheme="majorHAnsi" w:cstheme="majorHAnsi"/>
          <w:sz w:val="20"/>
        </w:rPr>
        <w:t xml:space="preserve">Denná potreba vody: </w:t>
      </w:r>
      <w:r w:rsidRPr="00165ED7">
        <w:rPr>
          <w:rFonts w:asciiTheme="majorHAnsi" w:hAnsiTheme="majorHAnsi" w:cstheme="majorHAnsi"/>
          <w:sz w:val="20"/>
        </w:rPr>
        <w:tab/>
        <w:t>Q</w:t>
      </w:r>
      <w:r w:rsidRPr="00165ED7">
        <w:rPr>
          <w:rFonts w:asciiTheme="majorHAnsi" w:hAnsiTheme="majorHAnsi" w:cstheme="majorHAnsi"/>
          <w:sz w:val="20"/>
          <w:vertAlign w:val="subscript"/>
        </w:rPr>
        <w:t>p</w:t>
      </w:r>
      <w:r w:rsidRPr="00165ED7">
        <w:rPr>
          <w:rFonts w:asciiTheme="majorHAnsi" w:hAnsiTheme="majorHAnsi" w:cstheme="majorHAnsi"/>
          <w:sz w:val="20"/>
        </w:rPr>
        <w:t xml:space="preserve"> = n x q = 6 osôb x 135 l/os.deň = 810 l/deň </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Maximálna denná potreba vody:</w:t>
      </w:r>
      <w:r w:rsidRPr="00165ED7">
        <w:rPr>
          <w:rFonts w:asciiTheme="majorHAnsi" w:hAnsiTheme="majorHAnsi" w:cstheme="majorHAnsi"/>
          <w:sz w:val="20"/>
        </w:rPr>
        <w:tab/>
      </w:r>
      <w:r w:rsidRPr="00165ED7">
        <w:rPr>
          <w:rFonts w:asciiTheme="majorHAnsi" w:hAnsiTheme="majorHAnsi" w:cstheme="majorHAnsi"/>
          <w:sz w:val="20"/>
        </w:rPr>
        <w:tab/>
        <w:t>Q</w:t>
      </w:r>
      <w:r w:rsidRPr="00165ED7">
        <w:rPr>
          <w:rFonts w:asciiTheme="majorHAnsi" w:hAnsiTheme="majorHAnsi" w:cstheme="majorHAnsi"/>
          <w:sz w:val="20"/>
          <w:vertAlign w:val="subscript"/>
        </w:rPr>
        <w:t>m</w:t>
      </w:r>
      <w:r w:rsidRPr="00165ED7">
        <w:rPr>
          <w:rFonts w:asciiTheme="majorHAnsi" w:hAnsiTheme="majorHAnsi" w:cstheme="majorHAnsi"/>
          <w:sz w:val="20"/>
        </w:rPr>
        <w:t>=Q</w:t>
      </w:r>
      <w:r w:rsidRPr="00165ED7">
        <w:rPr>
          <w:rFonts w:asciiTheme="majorHAnsi" w:hAnsiTheme="majorHAnsi" w:cstheme="majorHAnsi"/>
          <w:sz w:val="20"/>
          <w:vertAlign w:val="subscript"/>
        </w:rPr>
        <w:t>p</w:t>
      </w:r>
      <w:r w:rsidRPr="00165ED7">
        <w:rPr>
          <w:rFonts w:asciiTheme="majorHAnsi" w:hAnsiTheme="majorHAnsi" w:cstheme="majorHAnsi"/>
          <w:sz w:val="20"/>
        </w:rPr>
        <w:t xml:space="preserve"> x k</w:t>
      </w:r>
      <w:r w:rsidRPr="00165ED7">
        <w:rPr>
          <w:rFonts w:asciiTheme="majorHAnsi" w:hAnsiTheme="majorHAnsi" w:cstheme="majorHAnsi"/>
          <w:sz w:val="20"/>
          <w:vertAlign w:val="subscript"/>
        </w:rPr>
        <w:t>d</w:t>
      </w:r>
      <w:r w:rsidRPr="00165ED7">
        <w:rPr>
          <w:rFonts w:asciiTheme="majorHAnsi" w:hAnsiTheme="majorHAnsi" w:cstheme="majorHAnsi"/>
          <w:sz w:val="20"/>
        </w:rPr>
        <w:t xml:space="preserve"> = 810 l/deň x 1,4 = 1 134 l/deň</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 xml:space="preserve">Maximálna hodinová potreba vody: </w:t>
      </w:r>
      <w:r w:rsidRPr="00165ED7">
        <w:rPr>
          <w:rFonts w:asciiTheme="majorHAnsi" w:hAnsiTheme="majorHAnsi" w:cstheme="majorHAnsi"/>
          <w:sz w:val="20"/>
        </w:rPr>
        <w:tab/>
      </w:r>
      <w:r w:rsidRPr="00165ED7">
        <w:rPr>
          <w:rFonts w:asciiTheme="majorHAnsi" w:hAnsiTheme="majorHAnsi" w:cstheme="majorHAnsi"/>
          <w:sz w:val="20"/>
        </w:rPr>
        <w:tab/>
        <w:t>Q</w:t>
      </w:r>
      <w:r w:rsidRPr="00165ED7">
        <w:rPr>
          <w:rFonts w:asciiTheme="majorHAnsi" w:hAnsiTheme="majorHAnsi" w:cstheme="majorHAnsi"/>
          <w:sz w:val="20"/>
          <w:vertAlign w:val="subscript"/>
        </w:rPr>
        <w:t>h</w:t>
      </w:r>
      <w:r w:rsidRPr="00165ED7">
        <w:rPr>
          <w:rFonts w:asciiTheme="majorHAnsi" w:hAnsiTheme="majorHAnsi" w:cstheme="majorHAnsi"/>
          <w:sz w:val="20"/>
        </w:rPr>
        <w:t>=(Q</w:t>
      </w:r>
      <w:r w:rsidRPr="00165ED7">
        <w:rPr>
          <w:rFonts w:asciiTheme="majorHAnsi" w:hAnsiTheme="majorHAnsi" w:cstheme="majorHAnsi"/>
          <w:sz w:val="20"/>
          <w:vertAlign w:val="subscript"/>
        </w:rPr>
        <w:t>m</w:t>
      </w:r>
      <w:r w:rsidRPr="00165ED7">
        <w:rPr>
          <w:rFonts w:asciiTheme="majorHAnsi" w:hAnsiTheme="majorHAnsi" w:cstheme="majorHAnsi"/>
          <w:sz w:val="20"/>
        </w:rPr>
        <w:t xml:space="preserve"> x k</w:t>
      </w:r>
      <w:r w:rsidRPr="00165ED7">
        <w:rPr>
          <w:rFonts w:asciiTheme="majorHAnsi" w:hAnsiTheme="majorHAnsi" w:cstheme="majorHAnsi"/>
          <w:sz w:val="20"/>
          <w:vertAlign w:val="subscript"/>
        </w:rPr>
        <w:t>h</w:t>
      </w:r>
      <w:r w:rsidRPr="00165ED7">
        <w:rPr>
          <w:rFonts w:asciiTheme="majorHAnsi" w:hAnsiTheme="majorHAnsi" w:cstheme="majorHAnsi"/>
          <w:sz w:val="20"/>
        </w:rPr>
        <w:t>)/24=(1 134 l/deň x 2,1)/24=99,2 l/hod</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Ročná potreba vody (víkendové využitie):</w:t>
      </w:r>
      <w:r w:rsidRPr="00165ED7">
        <w:rPr>
          <w:rFonts w:asciiTheme="majorHAnsi" w:hAnsiTheme="majorHAnsi" w:cstheme="majorHAnsi"/>
          <w:sz w:val="20"/>
        </w:rPr>
        <w:tab/>
        <w:t>Q</w:t>
      </w:r>
      <w:r w:rsidRPr="00165ED7">
        <w:rPr>
          <w:rFonts w:asciiTheme="majorHAnsi" w:hAnsiTheme="majorHAnsi" w:cstheme="majorHAnsi"/>
          <w:sz w:val="20"/>
          <w:vertAlign w:val="subscript"/>
        </w:rPr>
        <w:t>rok</w:t>
      </w:r>
      <w:r w:rsidRPr="00165ED7">
        <w:rPr>
          <w:rFonts w:asciiTheme="majorHAnsi" w:hAnsiTheme="majorHAnsi" w:cstheme="majorHAnsi"/>
          <w:sz w:val="20"/>
        </w:rPr>
        <w:t>=Q</w:t>
      </w:r>
      <w:r w:rsidRPr="00165ED7">
        <w:rPr>
          <w:rFonts w:asciiTheme="majorHAnsi" w:hAnsiTheme="majorHAnsi" w:cstheme="majorHAnsi"/>
          <w:sz w:val="20"/>
          <w:vertAlign w:val="subscript"/>
        </w:rPr>
        <w:t>p</w:t>
      </w:r>
      <w:r w:rsidRPr="00165ED7">
        <w:rPr>
          <w:rFonts w:asciiTheme="majorHAnsi" w:hAnsiTheme="majorHAnsi" w:cstheme="majorHAnsi"/>
          <w:sz w:val="20"/>
        </w:rPr>
        <w:t xml:space="preserve"> x d=810l/dx106d=85 860l/rok=5,86 m</w:t>
      </w:r>
      <w:r w:rsidRPr="00165ED7">
        <w:rPr>
          <w:rFonts w:asciiTheme="majorHAnsi" w:hAnsiTheme="majorHAnsi" w:cstheme="majorHAnsi"/>
          <w:sz w:val="20"/>
          <w:vertAlign w:val="superscript"/>
        </w:rPr>
        <w:t>3</w:t>
      </w:r>
      <w:r w:rsidRPr="00165ED7">
        <w:rPr>
          <w:rFonts w:asciiTheme="majorHAnsi" w:hAnsiTheme="majorHAnsi" w:cstheme="majorHAnsi"/>
          <w:sz w:val="20"/>
        </w:rPr>
        <w:t>/rok</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 xml:space="preserve"> </w:t>
      </w:r>
    </w:p>
    <w:p w:rsidR="00165ED7" w:rsidRPr="00165ED7" w:rsidRDefault="00165ED7" w:rsidP="00165ED7">
      <w:pPr>
        <w:rPr>
          <w:rFonts w:asciiTheme="majorHAnsi" w:hAnsiTheme="majorHAnsi" w:cstheme="majorHAnsi"/>
          <w:b/>
          <w:sz w:val="20"/>
        </w:rPr>
      </w:pPr>
      <w:r w:rsidRPr="00165ED7">
        <w:rPr>
          <w:rFonts w:asciiTheme="majorHAnsi" w:hAnsiTheme="majorHAnsi" w:cstheme="majorHAnsi"/>
          <w:b/>
          <w:sz w:val="20"/>
        </w:rPr>
        <w:t>SO 02 Potreba vody</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Voda (technologická)</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Spotreba vody pri výrobe vína je 0,3 m</w:t>
      </w:r>
      <w:r w:rsidRPr="00165ED7">
        <w:rPr>
          <w:rFonts w:asciiTheme="majorHAnsi" w:hAnsiTheme="majorHAnsi" w:cstheme="majorHAnsi"/>
          <w:sz w:val="20"/>
          <w:vertAlign w:val="superscript"/>
        </w:rPr>
        <w:t>3</w:t>
      </w:r>
      <w:r w:rsidRPr="00165ED7">
        <w:rPr>
          <w:rFonts w:asciiTheme="majorHAnsi" w:hAnsiTheme="majorHAnsi" w:cstheme="majorHAnsi"/>
          <w:sz w:val="20"/>
        </w:rPr>
        <w:t xml:space="preserve"> / 1 hl vyrobeného vína</w:t>
      </w:r>
      <w:r w:rsidRPr="00165ED7">
        <w:rPr>
          <w:rFonts w:asciiTheme="majorHAnsi" w:hAnsiTheme="majorHAnsi" w:cstheme="majorHAnsi"/>
          <w:sz w:val="20"/>
        </w:rPr>
        <w:tab/>
        <w:t>220 hl x 0,3 = 66  m</w:t>
      </w:r>
      <w:r w:rsidRPr="00165ED7">
        <w:rPr>
          <w:rFonts w:asciiTheme="majorHAnsi" w:hAnsiTheme="majorHAnsi" w:cstheme="majorHAnsi"/>
          <w:sz w:val="20"/>
          <w:vertAlign w:val="superscript"/>
        </w:rPr>
        <w:t>3</w:t>
      </w:r>
      <w:r w:rsidRPr="00165ED7">
        <w:rPr>
          <w:rFonts w:asciiTheme="majorHAnsi" w:hAnsiTheme="majorHAnsi" w:cstheme="majorHAnsi"/>
          <w:sz w:val="20"/>
        </w:rPr>
        <w:t>/rok</w:t>
      </w:r>
      <w:r w:rsidRPr="00165ED7">
        <w:rPr>
          <w:rFonts w:asciiTheme="majorHAnsi" w:hAnsiTheme="majorHAnsi" w:cstheme="majorHAnsi"/>
          <w:sz w:val="20"/>
        </w:rPr>
        <w:tab/>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Spolu ročná potreba vody:</w:t>
      </w:r>
      <w:r w:rsidRPr="00165ED7">
        <w:rPr>
          <w:rFonts w:asciiTheme="majorHAnsi" w:hAnsiTheme="majorHAnsi" w:cstheme="majorHAnsi"/>
          <w:sz w:val="20"/>
        </w:rPr>
        <w:tab/>
      </w:r>
      <w:r w:rsidRPr="00165ED7">
        <w:rPr>
          <w:rFonts w:asciiTheme="majorHAnsi" w:hAnsiTheme="majorHAnsi" w:cstheme="majorHAnsi"/>
          <w:sz w:val="20"/>
        </w:rPr>
        <w:tab/>
      </w:r>
      <w:r w:rsidRPr="00165ED7">
        <w:rPr>
          <w:rFonts w:asciiTheme="majorHAnsi" w:hAnsiTheme="majorHAnsi" w:cstheme="majorHAnsi"/>
          <w:sz w:val="20"/>
        </w:rPr>
        <w:tab/>
        <w:t>Q</w:t>
      </w:r>
      <w:r w:rsidRPr="00165ED7">
        <w:rPr>
          <w:rFonts w:asciiTheme="majorHAnsi" w:hAnsiTheme="majorHAnsi" w:cstheme="majorHAnsi"/>
          <w:sz w:val="20"/>
          <w:vertAlign w:val="subscript"/>
        </w:rPr>
        <w:t>rok</w:t>
      </w:r>
      <w:r w:rsidRPr="00165ED7">
        <w:rPr>
          <w:rFonts w:asciiTheme="majorHAnsi" w:hAnsiTheme="majorHAnsi" w:cstheme="majorHAnsi"/>
          <w:sz w:val="20"/>
        </w:rPr>
        <w:t xml:space="preserve"> = 85,86 + 66 = 151,86 m</w:t>
      </w:r>
      <w:r w:rsidRPr="00165ED7">
        <w:rPr>
          <w:rFonts w:asciiTheme="majorHAnsi" w:hAnsiTheme="majorHAnsi" w:cstheme="majorHAnsi"/>
          <w:sz w:val="20"/>
          <w:vertAlign w:val="superscript"/>
        </w:rPr>
        <w:t>3</w:t>
      </w:r>
      <w:r w:rsidRPr="00165ED7">
        <w:rPr>
          <w:rFonts w:asciiTheme="majorHAnsi" w:hAnsiTheme="majorHAnsi" w:cstheme="majorHAnsi"/>
          <w:sz w:val="20"/>
        </w:rPr>
        <w:t>/rok</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 xml:space="preserve"> </w:t>
      </w:r>
    </w:p>
    <w:p w:rsidR="00165ED7" w:rsidRPr="00165ED7" w:rsidRDefault="00165ED7" w:rsidP="00165ED7">
      <w:pPr>
        <w:pStyle w:val="Hlavika"/>
        <w:rPr>
          <w:rFonts w:asciiTheme="majorHAnsi" w:hAnsiTheme="majorHAnsi" w:cstheme="majorHAnsi"/>
          <w:b/>
          <w:i/>
        </w:rPr>
      </w:pPr>
      <w:r w:rsidRPr="00165ED7">
        <w:rPr>
          <w:rFonts w:asciiTheme="majorHAnsi" w:hAnsiTheme="majorHAnsi" w:cstheme="majorHAnsi"/>
          <w:b/>
          <w:i/>
        </w:rPr>
        <w:t xml:space="preserve">        </w:t>
      </w:r>
    </w:p>
    <w:p w:rsidR="00165ED7" w:rsidRPr="00165ED7" w:rsidRDefault="00165ED7" w:rsidP="00165ED7">
      <w:pPr>
        <w:pStyle w:val="Nadpis1"/>
      </w:pPr>
      <w:r w:rsidRPr="00165ED7">
        <w:t>Zemné - výkopové práce</w:t>
      </w:r>
      <w:bookmarkEnd w:id="120"/>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Pred zahájením výkopových prác je investor stavby povinný zabezpečiť vytýčenie všetkých inžinierskych sietí a ich prípojok ich správcami (smerove, situatívne, hĺbky uloženia p. t.) a i tých sietí, ktoré boli vybudované medzičasom. O vytýčení sa urobí záznam do stavebného denník</w:t>
      </w:r>
      <w:r w:rsidRPr="00165ED7">
        <w:rPr>
          <w:rFonts w:asciiTheme="majorHAnsi" w:hAnsiTheme="majorHAnsi" w:cstheme="majorHAnsi"/>
          <w:bCs/>
          <w:sz w:val="20"/>
        </w:rPr>
        <w:t>a</w:t>
      </w:r>
      <w:r w:rsidRPr="00165ED7">
        <w:rPr>
          <w:rFonts w:asciiTheme="majorHAnsi" w:hAnsiTheme="majorHAnsi" w:cstheme="majorHAnsi"/>
          <w:sz w:val="20"/>
        </w:rPr>
        <w:t xml:space="preserve">. V rámci realizácie stavby je nutné rešpektovať STN 73 6005, ochranné pásma vedení, resp..požiadavky ich správcov. </w:t>
      </w:r>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 xml:space="preserve">Prebytočnú zeminu je možné odviezť na skládku. </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 xml:space="preserve">Výkopové práce sa budú realizovať od úrovne pôvodného terénu v otvorenej stavebnej ryhe s kolmými stenami strojný, v mieste križovania s existujúcimi vedeniami ručným výkopom pod ochranou príložného (do hl. 2m) alebo záťažného (pri hl. </w:t>
      </w:r>
      <w:r w:rsidRPr="00165ED7">
        <w:rPr>
          <w:rFonts w:asciiTheme="majorHAnsi" w:hAnsiTheme="majorHAnsi" w:cstheme="majorHAnsi"/>
          <w:sz w:val="20"/>
        </w:rPr>
        <w:sym w:font="Arial" w:char="003E"/>
      </w:r>
      <w:r w:rsidRPr="00165ED7">
        <w:rPr>
          <w:rFonts w:asciiTheme="majorHAnsi" w:hAnsiTheme="majorHAnsi" w:cstheme="majorHAnsi"/>
          <w:sz w:val="20"/>
        </w:rPr>
        <w:t xml:space="preserve"> 2m) paženia- veľkoplošné pažiace boxy. Výkopy hlbšie ako 4,0 m (resp. pod HPV) je nutné robiť pod ochranou hnaného paženia – štetovnice.</w:t>
      </w:r>
    </w:p>
    <w:p w:rsidR="00165ED7" w:rsidRPr="00165ED7" w:rsidRDefault="00165ED7" w:rsidP="00165ED7">
      <w:pPr>
        <w:tabs>
          <w:tab w:val="left" w:pos="284"/>
        </w:tabs>
        <w:rPr>
          <w:rFonts w:asciiTheme="majorHAnsi" w:hAnsiTheme="majorHAnsi" w:cstheme="majorHAnsi"/>
          <w:sz w:val="20"/>
        </w:rPr>
      </w:pPr>
      <w:r w:rsidRPr="00165ED7">
        <w:rPr>
          <w:rFonts w:asciiTheme="majorHAnsi" w:hAnsiTheme="majorHAnsi" w:cstheme="majorHAnsi"/>
          <w:sz w:val="20"/>
        </w:rPr>
        <w:tab/>
      </w:r>
      <w:r w:rsidRPr="00165ED7">
        <w:rPr>
          <w:rFonts w:asciiTheme="majorHAnsi" w:hAnsiTheme="majorHAnsi" w:cstheme="majorHAnsi"/>
          <w:sz w:val="20"/>
        </w:rPr>
        <w:tab/>
        <w:t>Priamo v trase navrhovaných inžinierskych objektov nebol robený IGP predpokladáme 3. a 4. triedu ťažiteľnosti hornín.</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 xml:space="preserve">Zemné práce sa budú vykonávať v nadväznosti na ustanovenia STN 73 3050 a STN EN 1610  75 6910. </w:t>
      </w:r>
    </w:p>
    <w:p w:rsidR="00165ED7" w:rsidRPr="00165ED7" w:rsidRDefault="00165ED7" w:rsidP="00165ED7">
      <w:pPr>
        <w:rPr>
          <w:rFonts w:asciiTheme="majorHAnsi" w:hAnsiTheme="majorHAnsi" w:cstheme="majorHAnsi"/>
          <w:sz w:val="20"/>
        </w:rPr>
      </w:pPr>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Poloha aj výškové osadenie exist. vedení musia byť vopred overené vytýčením objektu priamo v teréne a sondami vykonanými v miestach napojenia. V prípade iných údajov, ako bolo v projektovej dokumentácii  uvažované, je nutné konzultovať s jej spracovateľom.</w:t>
      </w:r>
    </w:p>
    <w:p w:rsidR="00165ED7" w:rsidRPr="00165ED7" w:rsidRDefault="00165ED7" w:rsidP="00165ED7">
      <w:pPr>
        <w:rPr>
          <w:rFonts w:asciiTheme="majorHAnsi" w:hAnsiTheme="majorHAnsi" w:cstheme="majorHAnsi"/>
          <w:sz w:val="20"/>
        </w:rPr>
      </w:pPr>
    </w:p>
    <w:p w:rsidR="00165ED7" w:rsidRPr="00165ED7" w:rsidRDefault="00165ED7" w:rsidP="00165ED7">
      <w:pPr>
        <w:pStyle w:val="Nadpis1"/>
      </w:pPr>
      <w:bookmarkStart w:id="121" w:name="_Toc88618009"/>
      <w:bookmarkStart w:id="122" w:name="_Toc94952286"/>
      <w:bookmarkStart w:id="123" w:name="_Toc9831872"/>
      <w:r w:rsidRPr="00165ED7">
        <w:t>SKÚŠKY na potrubí</w:t>
      </w:r>
      <w:bookmarkEnd w:id="121"/>
      <w:bookmarkEnd w:id="122"/>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Na vodovodnom potrubí je nutné vykonať tlakové skúšky v zmysle STN EN 805 Tlakové skúšky vodovodného a závlahového potrubia. Pred tlakovými skúškami musí byť potrubie zabezpečené proti posunu. Pred uvedením potrubia do prevádzky musí byť vykovaný preplach a dezinfekcia potrubia a bakteriologický rozbor vody z potrubia.</w:t>
      </w:r>
    </w:p>
    <w:p w:rsidR="00165ED7" w:rsidRPr="00165ED7" w:rsidRDefault="00165ED7" w:rsidP="00165ED7">
      <w:pPr>
        <w:rPr>
          <w:rFonts w:asciiTheme="majorHAnsi" w:hAnsiTheme="majorHAnsi" w:cstheme="majorHAnsi"/>
          <w:sz w:val="20"/>
        </w:rPr>
      </w:pPr>
    </w:p>
    <w:p w:rsidR="00165ED7" w:rsidRPr="00165ED7" w:rsidRDefault="00165ED7" w:rsidP="00165ED7">
      <w:pPr>
        <w:pStyle w:val="Nadpis1"/>
      </w:pPr>
      <w:bookmarkStart w:id="124" w:name="_Toc94952287"/>
      <w:r w:rsidRPr="00165ED7">
        <w:t>Ochrana proti korózii</w:t>
      </w:r>
      <w:bookmarkEnd w:id="123"/>
      <w:bookmarkEnd w:id="124"/>
    </w:p>
    <w:p w:rsidR="00165ED7" w:rsidRPr="00165ED7" w:rsidRDefault="00165ED7" w:rsidP="00165ED7">
      <w:pPr>
        <w:pStyle w:val="Zkladntext32"/>
        <w:ind w:firstLine="720"/>
        <w:rPr>
          <w:rFonts w:asciiTheme="majorHAnsi" w:hAnsiTheme="majorHAnsi" w:cstheme="majorHAnsi"/>
          <w:sz w:val="20"/>
          <w:lang w:val="sk-SK"/>
        </w:rPr>
      </w:pPr>
      <w:r w:rsidRPr="00165ED7">
        <w:rPr>
          <w:rFonts w:asciiTheme="majorHAnsi" w:hAnsiTheme="majorHAnsi" w:cstheme="majorHAnsi"/>
          <w:sz w:val="20"/>
          <w:lang w:val="sk-SK"/>
        </w:rPr>
        <w:t xml:space="preserve">Kovové konštrukcie budú chránené ochranou v zmysle STN 038375. </w:t>
      </w:r>
    </w:p>
    <w:p w:rsidR="00165ED7" w:rsidRPr="00165ED7" w:rsidRDefault="00165ED7" w:rsidP="00165ED7">
      <w:pPr>
        <w:pStyle w:val="Zkladntext32"/>
        <w:rPr>
          <w:rFonts w:asciiTheme="majorHAnsi" w:hAnsiTheme="majorHAnsi" w:cstheme="majorHAnsi"/>
          <w:sz w:val="20"/>
          <w:lang w:val="sk-SK"/>
        </w:rPr>
      </w:pPr>
    </w:p>
    <w:p w:rsidR="00165ED7" w:rsidRPr="00165ED7" w:rsidRDefault="00165ED7" w:rsidP="00165ED7">
      <w:pPr>
        <w:pStyle w:val="Nadpis1"/>
      </w:pPr>
      <w:bookmarkStart w:id="125" w:name="_Toc9831873"/>
      <w:bookmarkStart w:id="126" w:name="_Toc94952288"/>
      <w:r w:rsidRPr="00165ED7">
        <w:t>Osobitné požiadavky na postup prác</w:t>
      </w:r>
      <w:bookmarkEnd w:id="125"/>
      <w:bookmarkEnd w:id="126"/>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 xml:space="preserve">Výstavba bude realizovaná v súlade s POV stavby, ktorú zabezpečuje investor a nie je predmetom tejto PD. </w:t>
      </w:r>
    </w:p>
    <w:p w:rsidR="00165ED7" w:rsidRPr="00165ED7" w:rsidRDefault="00165ED7" w:rsidP="00165ED7">
      <w:pPr>
        <w:pStyle w:val="Zkladntext25"/>
        <w:ind w:firstLine="720"/>
        <w:rPr>
          <w:rFonts w:asciiTheme="majorHAnsi" w:hAnsiTheme="majorHAnsi" w:cstheme="majorHAnsi"/>
          <w:b/>
          <w:sz w:val="20"/>
          <w:lang w:val="sk-SK"/>
        </w:rPr>
      </w:pPr>
      <w:r w:rsidRPr="00165ED7">
        <w:rPr>
          <w:rFonts w:asciiTheme="majorHAnsi" w:hAnsiTheme="majorHAnsi" w:cstheme="majorHAnsi"/>
          <w:b/>
          <w:sz w:val="20"/>
          <w:lang w:val="sk-SK"/>
        </w:rPr>
        <w:t>Pred zahájenim výkopových prác je nutné zistiť smerové a výškové umiestnenie existujúceho potrubia kopanou sondou.</w:t>
      </w:r>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V prípade nesúladu s projektovanou výškou napojenia predpokladanú projektantom vzhľadom na absentujúci údaj o výškovom uložení od správcu siete, zhotoviteľ  zabezpečí dopracovanie PD na zmenené podmienky.</w:t>
      </w:r>
    </w:p>
    <w:p w:rsidR="00165ED7" w:rsidRPr="00165ED7" w:rsidRDefault="00165ED7" w:rsidP="00165ED7">
      <w:pPr>
        <w:pStyle w:val="Zkladntext25"/>
        <w:rPr>
          <w:rFonts w:asciiTheme="majorHAnsi" w:hAnsiTheme="majorHAnsi" w:cstheme="majorHAnsi"/>
          <w:sz w:val="20"/>
        </w:rPr>
      </w:pPr>
      <w:r w:rsidRPr="00165ED7">
        <w:rPr>
          <w:rFonts w:asciiTheme="majorHAnsi" w:hAnsiTheme="majorHAnsi" w:cstheme="majorHAnsi"/>
          <w:sz w:val="20"/>
          <w:u w:val="single"/>
        </w:rPr>
        <w:t>Pri stavebných prácach je nutné dodržať plynulú dodávku vody s výnimkou prepojenia nového potrubia.</w:t>
      </w:r>
      <w:r w:rsidRPr="00165ED7">
        <w:rPr>
          <w:rFonts w:asciiTheme="majorHAnsi" w:hAnsiTheme="majorHAnsi" w:cstheme="majorHAnsi"/>
          <w:sz w:val="20"/>
        </w:rPr>
        <w:t xml:space="preserve"> Nutné prerušenie prevádzky existujúceho vodovodu uskutočniť v čase minimálnych prietokov a za súčinnosti s prevádzkovateľom – Bratislavská vodárenská spoločnosť a.s. a za jeho účasti. </w:t>
      </w:r>
    </w:p>
    <w:p w:rsidR="00165ED7" w:rsidRPr="00165ED7" w:rsidRDefault="00165ED7" w:rsidP="00165ED7">
      <w:pPr>
        <w:pStyle w:val="Zkladntext25"/>
        <w:rPr>
          <w:rFonts w:asciiTheme="majorHAnsi" w:hAnsiTheme="majorHAnsi" w:cstheme="majorHAnsi"/>
          <w:sz w:val="20"/>
        </w:rPr>
      </w:pPr>
      <w:r w:rsidRPr="00165ED7">
        <w:rPr>
          <w:rFonts w:asciiTheme="majorHAnsi" w:hAnsiTheme="majorHAnsi" w:cstheme="majorHAnsi"/>
          <w:sz w:val="20"/>
        </w:rPr>
        <w:t xml:space="preserve">Práce v ochrannom pásme jednotlivých vedení je možné vykonávať po dohode s majiteľom a správcom siete. </w:t>
      </w:r>
    </w:p>
    <w:p w:rsidR="00165ED7" w:rsidRPr="00165ED7" w:rsidRDefault="00165ED7" w:rsidP="00165ED7">
      <w:pPr>
        <w:pStyle w:val="Zkladntext25"/>
        <w:rPr>
          <w:rFonts w:asciiTheme="majorHAnsi" w:hAnsiTheme="majorHAnsi" w:cstheme="majorHAnsi"/>
          <w:sz w:val="20"/>
        </w:rPr>
      </w:pPr>
    </w:p>
    <w:p w:rsidR="00165ED7" w:rsidRPr="00165ED7" w:rsidRDefault="00165ED7" w:rsidP="00165ED7">
      <w:pPr>
        <w:pStyle w:val="Nadpis1"/>
      </w:pPr>
      <w:bookmarkStart w:id="127" w:name="_Toc9831874"/>
      <w:bookmarkStart w:id="128" w:name="_Toc94952290"/>
      <w:r w:rsidRPr="00165ED7">
        <w:t>Bezpečnosť a ochrana zdravia pri práci</w:t>
      </w:r>
      <w:bookmarkEnd w:id="127"/>
      <w:bookmarkEnd w:id="128"/>
    </w:p>
    <w:p w:rsidR="00165ED7" w:rsidRPr="00165ED7" w:rsidRDefault="00165ED7" w:rsidP="00165ED7">
      <w:pPr>
        <w:pStyle w:val="Zkladntext25"/>
        <w:ind w:firstLine="567"/>
        <w:rPr>
          <w:rFonts w:asciiTheme="majorHAnsi" w:hAnsiTheme="majorHAnsi" w:cstheme="majorHAnsi"/>
          <w:sz w:val="20"/>
          <w:lang w:val="sk-SK"/>
        </w:rPr>
      </w:pPr>
      <w:bookmarkStart w:id="129" w:name="_Toc88618016"/>
      <w:bookmarkStart w:id="130" w:name="_Toc94952291"/>
      <w:r w:rsidRPr="00165ED7">
        <w:rPr>
          <w:rFonts w:asciiTheme="majorHAnsi" w:hAnsiTheme="majorHAnsi" w:cstheme="majorHAnsi"/>
          <w:sz w:val="20"/>
          <w:lang w:val="sk-SK"/>
        </w:rPr>
        <w:t>Počas realizácie stavby je potrebné dôsledne dodržiavať všetky bezpečnostné predpisy a nariadenia týkajúce sa ochrany zdravia pri práci. Bezpečnosť a ochranu zdravia pri práci sú povinní zaistiť dodávatelia preškolením a poučením pracovníkov stavby.</w:t>
      </w:r>
    </w:p>
    <w:p w:rsidR="00165ED7" w:rsidRPr="00165ED7" w:rsidRDefault="00165ED7" w:rsidP="00165ED7">
      <w:pPr>
        <w:pStyle w:val="Zkladntext25"/>
        <w:ind w:firstLine="567"/>
        <w:rPr>
          <w:rFonts w:asciiTheme="majorHAnsi" w:hAnsiTheme="majorHAnsi" w:cstheme="majorHAnsi"/>
          <w:sz w:val="20"/>
          <w:lang w:val="sk-SK"/>
        </w:rPr>
      </w:pPr>
    </w:p>
    <w:p w:rsidR="00165ED7" w:rsidRPr="00165ED7" w:rsidRDefault="00165ED7" w:rsidP="00165ED7">
      <w:pPr>
        <w:ind w:firstLine="567"/>
        <w:rPr>
          <w:rFonts w:asciiTheme="majorHAnsi" w:hAnsiTheme="majorHAnsi" w:cstheme="majorHAnsi"/>
          <w:sz w:val="20"/>
        </w:rPr>
      </w:pPr>
      <w:r w:rsidRPr="00165ED7">
        <w:rPr>
          <w:rFonts w:asciiTheme="majorHAnsi" w:hAnsiTheme="majorHAnsi" w:cstheme="majorHAnsi"/>
          <w:sz w:val="20"/>
        </w:rPr>
        <w:t>Mimoriadnu pozornosť je potrebné venovať všetkým prácam v blízkosti podzemných a nadzemných vedení, aby sa predišlo ich poškodeniu a ublíženiu na zdraví. Podzemné vedenia je potrebné pred začatím stavebných prác vytýčiť v teréne ich správcami!</w:t>
      </w:r>
    </w:p>
    <w:p w:rsidR="00165ED7" w:rsidRPr="00165ED7" w:rsidRDefault="00165ED7" w:rsidP="00165ED7">
      <w:pPr>
        <w:ind w:firstLine="567"/>
        <w:rPr>
          <w:rFonts w:asciiTheme="majorHAnsi" w:hAnsiTheme="majorHAnsi" w:cstheme="majorHAnsi"/>
          <w:sz w:val="20"/>
        </w:rPr>
      </w:pPr>
      <w:r w:rsidRPr="00165ED7">
        <w:rPr>
          <w:rFonts w:asciiTheme="majorHAnsi" w:hAnsiTheme="majorHAnsi" w:cstheme="majorHAnsi"/>
          <w:sz w:val="20"/>
        </w:rPr>
        <w:t xml:space="preserve">Všetky prekážky je potrebné označiť, v noci a za zníženej viditeľnosti osvetliť. Výkopy zabezpečiť proti pádu osôb. </w:t>
      </w:r>
      <w:bookmarkEnd w:id="129"/>
      <w:bookmarkEnd w:id="130"/>
    </w:p>
    <w:p w:rsidR="00165ED7" w:rsidRPr="00165ED7" w:rsidRDefault="00165ED7" w:rsidP="00165ED7">
      <w:pPr>
        <w:rPr>
          <w:rFonts w:asciiTheme="majorHAnsi" w:hAnsiTheme="majorHAnsi" w:cstheme="majorHAnsi"/>
          <w:sz w:val="20"/>
        </w:rPr>
      </w:pPr>
    </w:p>
    <w:p w:rsidR="00165ED7" w:rsidRPr="00165ED7" w:rsidRDefault="00165ED7" w:rsidP="00165ED7">
      <w:pPr>
        <w:pStyle w:val="Nadpis1"/>
        <w:numPr>
          <w:ilvl w:val="0"/>
          <w:numId w:val="35"/>
        </w:numPr>
      </w:pPr>
      <w:r w:rsidRPr="00165ED7">
        <w:t>TECHNICKÉ RIEŠENIE KANALIZÁCIÍ</w:t>
      </w:r>
    </w:p>
    <w:p w:rsidR="00165ED7" w:rsidRPr="00165ED7" w:rsidRDefault="00165ED7" w:rsidP="00165ED7">
      <w:pPr>
        <w:rPr>
          <w:rFonts w:asciiTheme="majorHAnsi" w:hAnsiTheme="majorHAnsi" w:cstheme="majorHAnsi"/>
          <w:sz w:val="20"/>
        </w:rPr>
      </w:pPr>
    </w:p>
    <w:p w:rsidR="00165ED7" w:rsidRPr="00165ED7" w:rsidRDefault="00165ED7" w:rsidP="00165ED7">
      <w:pPr>
        <w:rPr>
          <w:rFonts w:asciiTheme="majorHAnsi" w:hAnsiTheme="majorHAnsi" w:cstheme="majorHAnsi"/>
          <w:b/>
          <w:i/>
          <w:sz w:val="20"/>
        </w:rPr>
      </w:pPr>
      <w:r w:rsidRPr="00165ED7">
        <w:rPr>
          <w:rFonts w:asciiTheme="majorHAnsi" w:hAnsiTheme="majorHAnsi" w:cstheme="majorHAnsi"/>
          <w:b/>
          <w:i/>
          <w:sz w:val="20"/>
        </w:rPr>
        <w:t>Súčasný stav</w:t>
      </w:r>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V území nie je vybudovaná kanalizácia</w:t>
      </w:r>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 xml:space="preserve"> </w:t>
      </w:r>
    </w:p>
    <w:p w:rsidR="00165ED7" w:rsidRPr="00165ED7" w:rsidRDefault="00165ED7" w:rsidP="00165ED7">
      <w:pPr>
        <w:pStyle w:val="Nadpis2"/>
        <w:numPr>
          <w:ilvl w:val="0"/>
          <w:numId w:val="0"/>
        </w:numPr>
        <w:spacing w:before="0" w:after="0"/>
        <w:rPr>
          <w:rFonts w:asciiTheme="majorHAnsi" w:hAnsiTheme="majorHAnsi" w:cstheme="majorHAnsi"/>
          <w:szCs w:val="20"/>
        </w:rPr>
      </w:pPr>
      <w:r w:rsidRPr="00165ED7">
        <w:rPr>
          <w:rFonts w:asciiTheme="majorHAnsi" w:hAnsiTheme="majorHAnsi" w:cstheme="majorHAnsi"/>
          <w:szCs w:val="20"/>
        </w:rPr>
        <w:t>Návrh riešenia</w:t>
      </w:r>
    </w:p>
    <w:p w:rsidR="00165ED7" w:rsidRPr="00165ED7" w:rsidRDefault="00165ED7" w:rsidP="00165ED7">
      <w:pPr>
        <w:rPr>
          <w:rFonts w:asciiTheme="majorHAnsi" w:hAnsiTheme="majorHAnsi" w:cstheme="majorHAnsi"/>
          <w:sz w:val="20"/>
        </w:rPr>
      </w:pPr>
    </w:p>
    <w:tbl>
      <w:tblPr>
        <w:tblW w:w="7680" w:type="dxa"/>
        <w:tblInd w:w="70" w:type="dxa"/>
        <w:tblCellMar>
          <w:left w:w="70" w:type="dxa"/>
          <w:right w:w="70" w:type="dxa"/>
        </w:tblCellMar>
        <w:tblLook w:val="04A0" w:firstRow="1" w:lastRow="0" w:firstColumn="1" w:lastColumn="0" w:noHBand="0" w:noVBand="1"/>
      </w:tblPr>
      <w:tblGrid>
        <w:gridCol w:w="1320"/>
        <w:gridCol w:w="6360"/>
      </w:tblGrid>
      <w:tr w:rsidR="00165ED7" w:rsidRPr="00165ED7" w:rsidTr="00DF684E">
        <w:trPr>
          <w:trHeight w:val="288"/>
        </w:trPr>
        <w:tc>
          <w:tcPr>
            <w:tcW w:w="1320" w:type="dxa"/>
            <w:tcBorders>
              <w:top w:val="nil"/>
              <w:left w:val="nil"/>
              <w:bottom w:val="nil"/>
              <w:right w:val="nil"/>
            </w:tcBorders>
            <w:shd w:val="clear" w:color="auto" w:fill="auto"/>
            <w:noWrap/>
            <w:vAlign w:val="center"/>
            <w:hideMark/>
          </w:tcPr>
          <w:p w:rsidR="00165ED7" w:rsidRPr="00165ED7" w:rsidRDefault="00165ED7" w:rsidP="00DF684E">
            <w:pPr>
              <w:rPr>
                <w:rFonts w:asciiTheme="majorHAnsi" w:hAnsiTheme="majorHAnsi" w:cstheme="majorHAnsi"/>
                <w:b/>
                <w:bCs/>
                <w:sz w:val="20"/>
              </w:rPr>
            </w:pPr>
            <w:r w:rsidRPr="00165ED7">
              <w:rPr>
                <w:rFonts w:asciiTheme="majorHAnsi" w:hAnsiTheme="majorHAnsi" w:cstheme="majorHAnsi"/>
                <w:b/>
                <w:bCs/>
                <w:sz w:val="20"/>
              </w:rPr>
              <w:t>SO 08.1</w:t>
            </w:r>
          </w:p>
        </w:tc>
        <w:tc>
          <w:tcPr>
            <w:tcW w:w="6360" w:type="dxa"/>
            <w:tcBorders>
              <w:top w:val="nil"/>
              <w:left w:val="nil"/>
              <w:bottom w:val="nil"/>
              <w:right w:val="nil"/>
            </w:tcBorders>
            <w:shd w:val="clear" w:color="auto" w:fill="auto"/>
            <w:noWrap/>
            <w:vAlign w:val="center"/>
            <w:hideMark/>
          </w:tcPr>
          <w:p w:rsidR="00165ED7" w:rsidRPr="00165ED7" w:rsidRDefault="00165ED7" w:rsidP="00DF684E">
            <w:pPr>
              <w:rPr>
                <w:rFonts w:asciiTheme="majorHAnsi" w:hAnsiTheme="majorHAnsi" w:cstheme="majorHAnsi"/>
                <w:b/>
                <w:bCs/>
                <w:sz w:val="20"/>
              </w:rPr>
            </w:pPr>
            <w:r w:rsidRPr="00165ED7">
              <w:rPr>
                <w:rFonts w:asciiTheme="majorHAnsi" w:hAnsiTheme="majorHAnsi" w:cstheme="majorHAnsi"/>
                <w:b/>
                <w:bCs/>
                <w:sz w:val="20"/>
              </w:rPr>
              <w:t>Splašková kanalizácia</w:t>
            </w:r>
          </w:p>
        </w:tc>
      </w:tr>
    </w:tbl>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Navrhované kanalizačné zberače „STOKA S1, STOKA S2“ DN 150 budú odvádzať splaškové odpadové vody z jednotlivých objektov a budú zaústené  do navrhnutej žumpy umiestnenej na pozemku investora. Na kanalizačné prípojky z objektov budú použité PVC potrubia, profilu DN 125,150. Prípojky budú zaústene do novonavrhovanej kanalizácie priamo do kanalizačných revíznych šachiet, ktoré sa osadia na trase. Šachty budú prefabrikované betónové D1000 a plastové D400.</w:t>
      </w:r>
    </w:p>
    <w:p w:rsidR="00165ED7" w:rsidRPr="00165ED7" w:rsidRDefault="00165ED7" w:rsidP="00165ED7">
      <w:pPr>
        <w:ind w:firstLine="720"/>
        <w:rPr>
          <w:rFonts w:asciiTheme="majorHAnsi" w:hAnsiTheme="majorHAnsi" w:cstheme="majorHAnsi"/>
          <w:sz w:val="20"/>
        </w:rPr>
      </w:pPr>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Odkanalizovanie technologickej linky je navrhnuté zberačom „STOKA K“ DN 150 do samostatnej žumpy identickej ako pre splaškovú kanalizáciu. Prípojka z objektu je DN125.</w:t>
      </w:r>
    </w:p>
    <w:p w:rsidR="00165ED7" w:rsidRPr="00165ED7" w:rsidRDefault="00165ED7" w:rsidP="00165ED7">
      <w:pPr>
        <w:ind w:firstLine="720"/>
        <w:rPr>
          <w:rFonts w:asciiTheme="majorHAnsi" w:hAnsiTheme="majorHAnsi" w:cstheme="majorHAnsi"/>
          <w:sz w:val="20"/>
        </w:rPr>
      </w:pPr>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Žumpa je prefabrikovaný podzemný objekt s objemom 12m3. Zdržanie v splaškovej žumpe bude 12/0,81= 14,81 dňa. Zdržanie v technologickej žumpe bude nepravideľné.</w:t>
      </w:r>
    </w:p>
    <w:p w:rsidR="00165ED7" w:rsidRPr="00165ED7" w:rsidRDefault="00165ED7" w:rsidP="00165ED7">
      <w:pPr>
        <w:ind w:firstLine="720"/>
        <w:rPr>
          <w:rFonts w:asciiTheme="majorHAnsi" w:hAnsiTheme="majorHAnsi" w:cstheme="majorHAnsi"/>
          <w:sz w:val="20"/>
        </w:rPr>
      </w:pPr>
    </w:p>
    <w:p w:rsidR="00165ED7" w:rsidRPr="00165ED7" w:rsidRDefault="00165ED7" w:rsidP="00165ED7">
      <w:pPr>
        <w:rPr>
          <w:rFonts w:asciiTheme="majorHAnsi" w:hAnsiTheme="majorHAnsi" w:cstheme="majorHAnsi"/>
          <w:sz w:val="20"/>
        </w:rPr>
      </w:pPr>
      <w:r w:rsidRPr="00165ED7">
        <w:rPr>
          <w:rFonts w:asciiTheme="majorHAnsi" w:hAnsiTheme="majorHAnsi" w:cstheme="majorHAnsi"/>
          <w:b/>
          <w:sz w:val="20"/>
        </w:rPr>
        <w:t xml:space="preserve">Niveleta potrubia. </w:t>
      </w:r>
      <w:r w:rsidRPr="00165ED7">
        <w:rPr>
          <w:rFonts w:asciiTheme="majorHAnsi" w:hAnsiTheme="majorHAnsi" w:cstheme="majorHAnsi"/>
          <w:sz w:val="20"/>
        </w:rPr>
        <w:t>Výškové osadenie potrubia vychádza z  výškového osadenia vnútorných zvodov a konfigurácie terénu. Niveleta navrhovaného potrubia je zrejmá z pozdĺžneho profilu.  Návrh nivelety potrubia rešpektuje STN 75 6101 a STN 75 6100 EN 752.</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 xml:space="preserve"> </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b/>
          <w:sz w:val="20"/>
        </w:rPr>
        <w:t xml:space="preserve">Materiál potrubia: </w:t>
      </w:r>
      <w:r w:rsidRPr="00165ED7">
        <w:rPr>
          <w:rFonts w:asciiTheme="majorHAnsi" w:hAnsiTheme="majorHAnsi" w:cstheme="majorHAnsi"/>
          <w:sz w:val="20"/>
        </w:rPr>
        <w:t>Na výstavbu kanalizačných zberačov a ich areálových častí sa použijú PVC kanalizačné potrubia DN 125, 150 mm spájané pomocou hrdlových spojov, tesnených gumovým krúžkom.</w:t>
      </w:r>
    </w:p>
    <w:p w:rsidR="00165ED7" w:rsidRPr="00165ED7" w:rsidRDefault="00165ED7" w:rsidP="00165ED7">
      <w:pPr>
        <w:rPr>
          <w:rFonts w:asciiTheme="majorHAnsi" w:hAnsiTheme="majorHAnsi" w:cstheme="majorHAnsi"/>
          <w:sz w:val="20"/>
        </w:rPr>
      </w:pPr>
    </w:p>
    <w:p w:rsidR="00165ED7" w:rsidRPr="00165ED7" w:rsidRDefault="00165ED7" w:rsidP="00165ED7">
      <w:pPr>
        <w:rPr>
          <w:rFonts w:asciiTheme="majorHAnsi" w:hAnsiTheme="majorHAnsi" w:cstheme="majorHAnsi"/>
          <w:sz w:val="20"/>
          <w:u w:val="single"/>
        </w:rPr>
      </w:pPr>
      <w:r w:rsidRPr="00165ED7">
        <w:rPr>
          <w:rFonts w:asciiTheme="majorHAnsi" w:hAnsiTheme="majorHAnsi" w:cstheme="majorHAnsi"/>
          <w:sz w:val="20"/>
          <w:u w:val="single"/>
        </w:rPr>
        <w:t>Výkaz materiálu a potrubí:</w:t>
      </w:r>
    </w:p>
    <w:p w:rsidR="00165ED7" w:rsidRPr="00165ED7" w:rsidRDefault="00165ED7" w:rsidP="00165ED7">
      <w:pPr>
        <w:rPr>
          <w:rFonts w:asciiTheme="majorHAnsi" w:hAnsiTheme="majorHAnsi" w:cstheme="majorHAnsi"/>
          <w:sz w:val="20"/>
          <w:u w:val="single"/>
        </w:rPr>
      </w:pPr>
    </w:p>
    <w:tbl>
      <w:tblPr>
        <w:tblW w:w="4621" w:type="dxa"/>
        <w:tblInd w:w="2524" w:type="dxa"/>
        <w:tblCellMar>
          <w:left w:w="70" w:type="dxa"/>
          <w:right w:w="70" w:type="dxa"/>
        </w:tblCellMar>
        <w:tblLook w:val="04A0" w:firstRow="1" w:lastRow="0" w:firstColumn="1" w:lastColumn="0" w:noHBand="0" w:noVBand="1"/>
      </w:tblPr>
      <w:tblGrid>
        <w:gridCol w:w="1460"/>
        <w:gridCol w:w="960"/>
        <w:gridCol w:w="1241"/>
        <w:gridCol w:w="960"/>
      </w:tblGrid>
      <w:tr w:rsidR="00165ED7" w:rsidRPr="00165ED7" w:rsidTr="00DF684E">
        <w:trPr>
          <w:trHeight w:val="300"/>
        </w:trPr>
        <w:tc>
          <w:tcPr>
            <w:tcW w:w="14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STOKA</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DN</w:t>
            </w:r>
          </w:p>
        </w:tc>
        <w:tc>
          <w:tcPr>
            <w:tcW w:w="1241"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MATERIÁL</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DĹŽKA</w:t>
            </w:r>
          </w:p>
        </w:tc>
      </w:tr>
      <w:tr w:rsidR="00165ED7" w:rsidRPr="00165ED7" w:rsidTr="00DF684E">
        <w:trPr>
          <w:trHeight w:val="300"/>
        </w:trPr>
        <w:tc>
          <w:tcPr>
            <w:tcW w:w="14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S1</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150</w:t>
            </w:r>
          </w:p>
        </w:tc>
        <w:tc>
          <w:tcPr>
            <w:tcW w:w="1241"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40,00</w:t>
            </w:r>
          </w:p>
        </w:tc>
      </w:tr>
      <w:tr w:rsidR="00165ED7" w:rsidRPr="00165ED7" w:rsidTr="00DF684E">
        <w:trPr>
          <w:trHeight w:val="300"/>
        </w:trPr>
        <w:tc>
          <w:tcPr>
            <w:tcW w:w="1460" w:type="dxa"/>
            <w:tcBorders>
              <w:top w:val="single" w:sz="2" w:space="0" w:color="auto"/>
              <w:left w:val="single" w:sz="2" w:space="0" w:color="auto"/>
              <w:bottom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S1</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125</w:t>
            </w:r>
          </w:p>
        </w:tc>
        <w:tc>
          <w:tcPr>
            <w:tcW w:w="1241" w:type="dxa"/>
            <w:tcBorders>
              <w:top w:val="single" w:sz="2" w:space="0" w:color="auto"/>
              <w:left w:val="single" w:sz="2" w:space="0" w:color="auto"/>
              <w:bottom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6,00</w:t>
            </w:r>
          </w:p>
        </w:tc>
      </w:tr>
      <w:tr w:rsidR="00165ED7" w:rsidRPr="00165ED7" w:rsidTr="00DF684E">
        <w:trPr>
          <w:trHeight w:val="300"/>
        </w:trPr>
        <w:tc>
          <w:tcPr>
            <w:tcW w:w="14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S2</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150</w:t>
            </w:r>
          </w:p>
        </w:tc>
        <w:tc>
          <w:tcPr>
            <w:tcW w:w="1241"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17,10</w:t>
            </w:r>
          </w:p>
        </w:tc>
      </w:tr>
      <w:tr w:rsidR="00165ED7" w:rsidRPr="00165ED7" w:rsidTr="00DF684E">
        <w:trPr>
          <w:trHeight w:val="300"/>
        </w:trPr>
        <w:tc>
          <w:tcPr>
            <w:tcW w:w="14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K</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150</w:t>
            </w:r>
          </w:p>
        </w:tc>
        <w:tc>
          <w:tcPr>
            <w:tcW w:w="1241"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21,00</w:t>
            </w:r>
          </w:p>
        </w:tc>
      </w:tr>
      <w:tr w:rsidR="00165ED7" w:rsidRPr="00165ED7" w:rsidTr="00DF684E">
        <w:trPr>
          <w:trHeight w:val="300"/>
        </w:trPr>
        <w:tc>
          <w:tcPr>
            <w:tcW w:w="1460" w:type="dxa"/>
            <w:vMerge w:val="restart"/>
            <w:tcBorders>
              <w:top w:val="single" w:sz="2" w:space="0" w:color="auto"/>
              <w:left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SPOLU</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125</w:t>
            </w:r>
          </w:p>
        </w:tc>
        <w:tc>
          <w:tcPr>
            <w:tcW w:w="1241" w:type="dxa"/>
            <w:tcBorders>
              <w:top w:val="single" w:sz="2" w:space="0" w:color="auto"/>
              <w:left w:val="single" w:sz="2" w:space="0" w:color="auto"/>
              <w:bottom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PVC</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6,00</w:t>
            </w:r>
          </w:p>
        </w:tc>
      </w:tr>
      <w:tr w:rsidR="00165ED7" w:rsidRPr="00165ED7" w:rsidTr="00DF684E">
        <w:trPr>
          <w:trHeight w:val="300"/>
        </w:trPr>
        <w:tc>
          <w:tcPr>
            <w:tcW w:w="1460" w:type="dxa"/>
            <w:vMerge/>
            <w:tcBorders>
              <w:left w:val="single" w:sz="2" w:space="0" w:color="auto"/>
              <w:bottom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b/>
                <w:bCs/>
                <w:color w:val="000000"/>
                <w:sz w:val="20"/>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150</w:t>
            </w:r>
          </w:p>
        </w:tc>
        <w:tc>
          <w:tcPr>
            <w:tcW w:w="1241" w:type="dxa"/>
            <w:tcBorders>
              <w:top w:val="single" w:sz="2" w:space="0" w:color="auto"/>
              <w:left w:val="single" w:sz="2" w:space="0" w:color="auto"/>
              <w:bottom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PVC</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78,10</w:t>
            </w:r>
          </w:p>
        </w:tc>
      </w:tr>
    </w:tbl>
    <w:p w:rsidR="00165ED7" w:rsidRPr="00165ED7" w:rsidRDefault="00165ED7" w:rsidP="00165ED7">
      <w:pPr>
        <w:rPr>
          <w:rFonts w:asciiTheme="majorHAnsi" w:hAnsiTheme="majorHAnsi" w:cstheme="majorHAnsi"/>
          <w:sz w:val="20"/>
          <w:u w:val="single"/>
        </w:rPr>
      </w:pPr>
    </w:p>
    <w:p w:rsidR="00165ED7" w:rsidRPr="00165ED7" w:rsidRDefault="00165ED7" w:rsidP="00165ED7">
      <w:pPr>
        <w:pStyle w:val="Nadpis3"/>
        <w:numPr>
          <w:ilvl w:val="0"/>
          <w:numId w:val="0"/>
        </w:numPr>
        <w:spacing w:before="0" w:after="0"/>
        <w:rPr>
          <w:rFonts w:asciiTheme="majorHAnsi" w:hAnsiTheme="majorHAnsi" w:cstheme="majorHAnsi"/>
        </w:rPr>
      </w:pPr>
      <w:r w:rsidRPr="00165ED7">
        <w:rPr>
          <w:rFonts w:asciiTheme="majorHAnsi" w:hAnsiTheme="majorHAnsi" w:cstheme="majorHAnsi"/>
        </w:rPr>
        <w:br/>
      </w:r>
    </w:p>
    <w:p w:rsidR="00165ED7" w:rsidRPr="00165ED7" w:rsidRDefault="00165ED7" w:rsidP="00165ED7">
      <w:pPr>
        <w:pStyle w:val="Nadpis3"/>
        <w:numPr>
          <w:ilvl w:val="0"/>
          <w:numId w:val="0"/>
        </w:numPr>
        <w:spacing w:before="0" w:after="0"/>
        <w:rPr>
          <w:rFonts w:asciiTheme="majorHAnsi" w:hAnsiTheme="majorHAnsi" w:cstheme="majorHAnsi"/>
        </w:rPr>
      </w:pPr>
      <w:r w:rsidRPr="00165ED7">
        <w:rPr>
          <w:rFonts w:asciiTheme="majorHAnsi" w:hAnsiTheme="majorHAnsi" w:cstheme="majorHAnsi"/>
        </w:rPr>
        <w:t>Hydrotechnický výpočet</w:t>
      </w:r>
    </w:p>
    <w:p w:rsidR="00165ED7" w:rsidRPr="00165ED7" w:rsidRDefault="00165ED7" w:rsidP="00165ED7">
      <w:pPr>
        <w:tabs>
          <w:tab w:val="right" w:pos="6379"/>
        </w:tabs>
        <w:rPr>
          <w:rFonts w:asciiTheme="majorHAnsi" w:hAnsiTheme="majorHAnsi" w:cstheme="majorHAnsi"/>
          <w:sz w:val="20"/>
        </w:rPr>
      </w:pPr>
    </w:p>
    <w:p w:rsidR="00165ED7" w:rsidRPr="00165ED7" w:rsidRDefault="00165ED7" w:rsidP="00165ED7">
      <w:pPr>
        <w:tabs>
          <w:tab w:val="right" w:pos="6379"/>
        </w:tabs>
        <w:rPr>
          <w:rFonts w:asciiTheme="majorHAnsi" w:hAnsiTheme="majorHAnsi" w:cstheme="majorHAnsi"/>
          <w:sz w:val="20"/>
        </w:rPr>
      </w:pPr>
      <w:r w:rsidRPr="00165ED7">
        <w:rPr>
          <w:rFonts w:asciiTheme="majorHAnsi" w:hAnsiTheme="majorHAnsi" w:cstheme="majorHAnsi"/>
          <w:sz w:val="20"/>
        </w:rPr>
        <w:t>Odtok splaškových vôd:</w:t>
      </w:r>
    </w:p>
    <w:p w:rsidR="00165ED7" w:rsidRPr="00165ED7" w:rsidRDefault="00165ED7" w:rsidP="00165ED7">
      <w:pPr>
        <w:tabs>
          <w:tab w:val="right" w:pos="6379"/>
        </w:tabs>
        <w:rPr>
          <w:rFonts w:asciiTheme="majorHAnsi" w:hAnsiTheme="majorHAnsi" w:cstheme="majorHAnsi"/>
          <w:sz w:val="20"/>
        </w:rPr>
      </w:pPr>
    </w:p>
    <w:p w:rsidR="00165ED7" w:rsidRPr="00165ED7" w:rsidRDefault="00165ED7" w:rsidP="00165ED7">
      <w:pPr>
        <w:pStyle w:val="Odsekzoznamu"/>
        <w:ind w:left="0"/>
        <w:rPr>
          <w:rFonts w:asciiTheme="majorHAnsi" w:hAnsiTheme="majorHAnsi" w:cstheme="majorHAnsi"/>
          <w:sz w:val="20"/>
          <w:szCs w:val="20"/>
        </w:rPr>
      </w:pPr>
      <w:r w:rsidRPr="00165ED7">
        <w:rPr>
          <w:rFonts w:asciiTheme="majorHAnsi" w:hAnsiTheme="majorHAnsi" w:cstheme="majorHAnsi"/>
          <w:b/>
          <w:sz w:val="20"/>
          <w:szCs w:val="20"/>
        </w:rPr>
        <w:t xml:space="preserve">SO 01:    </w:t>
      </w:r>
      <w:r w:rsidRPr="00165ED7">
        <w:rPr>
          <w:rFonts w:asciiTheme="majorHAnsi" w:hAnsiTheme="majorHAnsi" w:cstheme="majorHAnsi"/>
          <w:sz w:val="20"/>
          <w:szCs w:val="20"/>
        </w:rPr>
        <w:t>Q</w:t>
      </w:r>
      <w:r w:rsidRPr="00165ED7">
        <w:rPr>
          <w:rFonts w:asciiTheme="majorHAnsi" w:hAnsiTheme="majorHAnsi" w:cstheme="majorHAnsi"/>
          <w:sz w:val="20"/>
          <w:szCs w:val="20"/>
          <w:vertAlign w:val="subscript"/>
        </w:rPr>
        <w:t>p</w:t>
      </w:r>
      <w:r w:rsidRPr="00165ED7">
        <w:rPr>
          <w:rFonts w:asciiTheme="majorHAnsi" w:hAnsiTheme="majorHAnsi" w:cstheme="majorHAnsi"/>
          <w:sz w:val="20"/>
          <w:szCs w:val="20"/>
        </w:rPr>
        <w:t xml:space="preserve">  =  810 l/deň </w:t>
      </w:r>
      <w:r w:rsidRPr="00165ED7">
        <w:rPr>
          <w:rFonts w:asciiTheme="majorHAnsi" w:hAnsiTheme="majorHAnsi" w:cstheme="majorHAnsi"/>
          <w:sz w:val="20"/>
          <w:szCs w:val="20"/>
        </w:rPr>
        <w:tab/>
      </w:r>
    </w:p>
    <w:p w:rsidR="00165ED7" w:rsidRPr="00165ED7" w:rsidRDefault="00165ED7" w:rsidP="00165ED7">
      <w:pPr>
        <w:tabs>
          <w:tab w:val="right" w:pos="6379"/>
        </w:tabs>
        <w:rPr>
          <w:rFonts w:asciiTheme="majorHAnsi" w:hAnsiTheme="majorHAnsi" w:cstheme="majorHAnsi"/>
          <w:sz w:val="20"/>
        </w:rPr>
      </w:pPr>
      <w:r w:rsidRPr="00165ED7">
        <w:rPr>
          <w:rFonts w:asciiTheme="majorHAnsi" w:hAnsiTheme="majorHAnsi" w:cstheme="majorHAnsi"/>
          <w:sz w:val="20"/>
        </w:rPr>
        <w:t xml:space="preserve">               Q</w:t>
      </w:r>
      <w:r w:rsidRPr="00165ED7">
        <w:rPr>
          <w:rFonts w:asciiTheme="majorHAnsi" w:hAnsiTheme="majorHAnsi" w:cstheme="majorHAnsi"/>
          <w:sz w:val="20"/>
          <w:vertAlign w:val="subscript"/>
        </w:rPr>
        <w:t>h</w:t>
      </w:r>
      <w:r w:rsidRPr="00165ED7">
        <w:rPr>
          <w:rFonts w:asciiTheme="majorHAnsi" w:hAnsiTheme="majorHAnsi" w:cstheme="majorHAnsi"/>
          <w:sz w:val="20"/>
        </w:rPr>
        <w:t xml:space="preserve">  =  99,20l/h</w:t>
      </w:r>
    </w:p>
    <w:p w:rsidR="00165ED7" w:rsidRPr="00165ED7" w:rsidRDefault="00165ED7" w:rsidP="00165ED7">
      <w:pPr>
        <w:tabs>
          <w:tab w:val="right" w:pos="6379"/>
        </w:tabs>
        <w:rPr>
          <w:rFonts w:asciiTheme="majorHAnsi" w:hAnsiTheme="majorHAnsi" w:cstheme="majorHAnsi"/>
          <w:sz w:val="20"/>
        </w:rPr>
      </w:pPr>
    </w:p>
    <w:p w:rsidR="00165ED7" w:rsidRPr="00165ED7" w:rsidRDefault="00165ED7" w:rsidP="00165ED7">
      <w:pPr>
        <w:pStyle w:val="Odsekzoznamu"/>
        <w:ind w:left="0"/>
        <w:rPr>
          <w:rFonts w:asciiTheme="majorHAnsi" w:hAnsiTheme="majorHAnsi" w:cstheme="majorHAnsi"/>
          <w:sz w:val="20"/>
          <w:szCs w:val="20"/>
        </w:rPr>
      </w:pPr>
      <w:r w:rsidRPr="00165ED7">
        <w:rPr>
          <w:rFonts w:asciiTheme="majorHAnsi" w:hAnsiTheme="majorHAnsi" w:cstheme="majorHAnsi"/>
          <w:b/>
          <w:sz w:val="20"/>
          <w:szCs w:val="20"/>
        </w:rPr>
        <w:t xml:space="preserve">SO 02:    </w:t>
      </w:r>
      <w:r w:rsidRPr="00165ED7">
        <w:rPr>
          <w:rFonts w:asciiTheme="majorHAnsi" w:hAnsiTheme="majorHAnsi" w:cstheme="majorHAnsi"/>
          <w:sz w:val="20"/>
          <w:szCs w:val="20"/>
        </w:rPr>
        <w:t>Q</w:t>
      </w:r>
      <w:r w:rsidRPr="00165ED7">
        <w:rPr>
          <w:rFonts w:asciiTheme="majorHAnsi" w:hAnsiTheme="majorHAnsi" w:cstheme="majorHAnsi"/>
          <w:sz w:val="20"/>
          <w:szCs w:val="20"/>
          <w:vertAlign w:val="subscript"/>
        </w:rPr>
        <w:t>rok</w:t>
      </w:r>
      <w:r w:rsidRPr="00165ED7">
        <w:rPr>
          <w:rFonts w:asciiTheme="majorHAnsi" w:hAnsiTheme="majorHAnsi" w:cstheme="majorHAnsi"/>
          <w:sz w:val="20"/>
          <w:szCs w:val="20"/>
        </w:rPr>
        <w:t xml:space="preserve">  =  66m3/rok l/s</w:t>
      </w:r>
    </w:p>
    <w:p w:rsidR="00165ED7" w:rsidRPr="00165ED7" w:rsidRDefault="00165ED7" w:rsidP="00165ED7">
      <w:pPr>
        <w:tabs>
          <w:tab w:val="right" w:pos="6379"/>
        </w:tabs>
        <w:rPr>
          <w:rFonts w:asciiTheme="majorHAnsi" w:hAnsiTheme="majorHAnsi" w:cstheme="majorHAnsi"/>
          <w:b/>
          <w:sz w:val="20"/>
        </w:rPr>
      </w:pPr>
    </w:p>
    <w:p w:rsidR="00165ED7" w:rsidRPr="00165ED7" w:rsidRDefault="00165ED7" w:rsidP="00165ED7">
      <w:pPr>
        <w:pStyle w:val="Zkladntext25"/>
        <w:ind w:left="720"/>
        <w:rPr>
          <w:rFonts w:asciiTheme="majorHAnsi" w:hAnsiTheme="majorHAnsi" w:cstheme="majorHAnsi"/>
          <w:b/>
          <w:sz w:val="20"/>
          <w:lang w:val="sk-SK"/>
        </w:rPr>
      </w:pPr>
    </w:p>
    <w:tbl>
      <w:tblPr>
        <w:tblW w:w="12660" w:type="dxa"/>
        <w:tblInd w:w="70" w:type="dxa"/>
        <w:tblCellMar>
          <w:left w:w="70" w:type="dxa"/>
          <w:right w:w="70" w:type="dxa"/>
        </w:tblCellMar>
        <w:tblLook w:val="04A0" w:firstRow="1" w:lastRow="0" w:firstColumn="1" w:lastColumn="0" w:noHBand="0" w:noVBand="1"/>
      </w:tblPr>
      <w:tblGrid>
        <w:gridCol w:w="1320"/>
        <w:gridCol w:w="11340"/>
      </w:tblGrid>
      <w:tr w:rsidR="00165ED7" w:rsidRPr="00165ED7" w:rsidTr="00DF684E">
        <w:trPr>
          <w:trHeight w:val="288"/>
        </w:trPr>
        <w:tc>
          <w:tcPr>
            <w:tcW w:w="1320" w:type="dxa"/>
            <w:tcBorders>
              <w:top w:val="nil"/>
              <w:left w:val="nil"/>
              <w:bottom w:val="nil"/>
              <w:right w:val="nil"/>
            </w:tcBorders>
            <w:shd w:val="clear" w:color="auto" w:fill="auto"/>
            <w:noWrap/>
            <w:vAlign w:val="center"/>
            <w:hideMark/>
          </w:tcPr>
          <w:p w:rsidR="00165ED7" w:rsidRPr="00165ED7" w:rsidRDefault="00165ED7" w:rsidP="00DF684E">
            <w:pPr>
              <w:rPr>
                <w:rFonts w:asciiTheme="majorHAnsi" w:hAnsiTheme="majorHAnsi" w:cstheme="majorHAnsi"/>
                <w:b/>
                <w:bCs/>
                <w:sz w:val="20"/>
              </w:rPr>
            </w:pPr>
            <w:r w:rsidRPr="00165ED7">
              <w:rPr>
                <w:rFonts w:asciiTheme="majorHAnsi" w:hAnsiTheme="majorHAnsi" w:cstheme="majorHAnsi"/>
                <w:b/>
                <w:bCs/>
                <w:sz w:val="20"/>
              </w:rPr>
              <w:t>SO 08.2</w:t>
            </w:r>
          </w:p>
        </w:tc>
        <w:tc>
          <w:tcPr>
            <w:tcW w:w="11340" w:type="dxa"/>
            <w:tcBorders>
              <w:top w:val="nil"/>
              <w:left w:val="nil"/>
              <w:bottom w:val="nil"/>
              <w:right w:val="nil"/>
            </w:tcBorders>
            <w:shd w:val="clear" w:color="auto" w:fill="auto"/>
            <w:noWrap/>
            <w:vAlign w:val="center"/>
            <w:hideMark/>
          </w:tcPr>
          <w:p w:rsidR="00165ED7" w:rsidRPr="00165ED7" w:rsidRDefault="00165ED7" w:rsidP="00DF684E">
            <w:pPr>
              <w:rPr>
                <w:rFonts w:asciiTheme="majorHAnsi" w:hAnsiTheme="majorHAnsi" w:cstheme="majorHAnsi"/>
                <w:b/>
                <w:bCs/>
                <w:sz w:val="20"/>
              </w:rPr>
            </w:pPr>
            <w:r w:rsidRPr="00165ED7">
              <w:rPr>
                <w:rFonts w:asciiTheme="majorHAnsi" w:hAnsiTheme="majorHAnsi" w:cstheme="majorHAnsi"/>
                <w:b/>
                <w:bCs/>
                <w:sz w:val="20"/>
              </w:rPr>
              <w:t xml:space="preserve">Dažďová kanalizácia </w:t>
            </w:r>
          </w:p>
          <w:p w:rsidR="00165ED7" w:rsidRPr="00165ED7" w:rsidRDefault="00165ED7" w:rsidP="00DF684E">
            <w:pPr>
              <w:rPr>
                <w:rFonts w:asciiTheme="majorHAnsi" w:hAnsiTheme="majorHAnsi" w:cstheme="majorHAnsi"/>
                <w:b/>
                <w:bCs/>
                <w:sz w:val="20"/>
              </w:rPr>
            </w:pPr>
          </w:p>
        </w:tc>
      </w:tr>
    </w:tbl>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Odpadové dažďové vody zo striech a spevnených plôch budú odvádzané systémom gravitačných potrubí „STOKA D1, STOKA D2 a STOKA D3“ DN150-300  do dvoch retenčných nádrží. Pred zaústením do retenčnej nádrže bude na trase  osadená ŽB usadzovacia šachta FŠ ø 1000, ktorá bude slúžit na usadenie spláchnutých pevných častíc (piesok , prach ) zo striech. Retenčné nádrže budú vyhotovené z podzemné prefabrikované. Odtok z retenčných nádrží bude zabezpečený čerpaním do odparovacej plochy , ktorá bude navrhnutá a zrealizovaná odbornou firmou, vysadená vodomilnými rastlinami. Potrebná kapacita retencie je 22m3 . Do nádrží sa osadia čerpadlá s kapacitou cca 0,5l/s (napr. Grundfos Unilift Ap12.40.04.A1) a tlakovou kanalizáciou d32-d50 budú dažďové vody prečerpané do ukľudňovacej šachty pri odparovacej ploche. Z ukľudňovacej šachty pokračuje gravitačná kanalizácia DN 150 do odparovacej plochy. Výška osadenia čerpadla sa určí podľa požiadaviek prevádzkovateľa vzhľadom na to že investor požaduje v retenčných nádržiach zachovať určité (nešpedifikované) množstvo vody na polievanie.</w:t>
      </w:r>
    </w:p>
    <w:p w:rsidR="00165ED7" w:rsidRPr="00165ED7" w:rsidRDefault="00165ED7" w:rsidP="00165ED7">
      <w:pPr>
        <w:ind w:firstLine="720"/>
        <w:rPr>
          <w:rFonts w:asciiTheme="majorHAnsi" w:hAnsiTheme="majorHAnsi" w:cstheme="majorHAnsi"/>
          <w:sz w:val="20"/>
        </w:rPr>
      </w:pPr>
      <w:r w:rsidRPr="00165ED7">
        <w:rPr>
          <w:rFonts w:asciiTheme="majorHAnsi" w:hAnsiTheme="majorHAnsi" w:cstheme="majorHAnsi"/>
          <w:sz w:val="20"/>
        </w:rPr>
        <w:t xml:space="preserve">Retenčné nádrže budú tiež slúžiť ako zásoba vody na polievanie v prípade potreby. V retenčných nádržiach sa osadia čerpadlá na závlahu (napr. Grundfos SBA 3-45 A), výtlačné potrubie z čerpadla bude ukončené ventilom s hadicovou koncovkou. </w:t>
      </w:r>
    </w:p>
    <w:p w:rsidR="00165ED7" w:rsidRPr="00165ED7" w:rsidRDefault="00165ED7" w:rsidP="00165ED7">
      <w:pPr>
        <w:rPr>
          <w:rFonts w:asciiTheme="majorHAnsi" w:hAnsiTheme="majorHAnsi" w:cstheme="majorHAnsi"/>
          <w:sz w:val="20"/>
        </w:rPr>
      </w:pP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RN1</w:t>
      </w:r>
      <w:r w:rsidRPr="00165ED7">
        <w:rPr>
          <w:rFonts w:asciiTheme="majorHAnsi" w:hAnsiTheme="majorHAnsi" w:cstheme="majorHAnsi"/>
          <w:sz w:val="20"/>
        </w:rPr>
        <w:tab/>
      </w:r>
      <w:r w:rsidRPr="00165ED7">
        <w:rPr>
          <w:rFonts w:asciiTheme="majorHAnsi" w:hAnsiTheme="majorHAnsi" w:cstheme="majorHAnsi"/>
          <w:sz w:val="20"/>
        </w:rPr>
        <w:tab/>
        <w:t>V = 17m3</w:t>
      </w:r>
      <w:r w:rsidRPr="00165ED7">
        <w:rPr>
          <w:rFonts w:asciiTheme="majorHAnsi" w:hAnsiTheme="majorHAnsi" w:cstheme="majorHAnsi"/>
          <w:sz w:val="20"/>
        </w:rPr>
        <w:tab/>
        <w:t>výtlak DN25 ukočený ventilom v šachte vedľa RN2</w:t>
      </w:r>
      <w:r w:rsidRPr="00165ED7">
        <w:rPr>
          <w:rFonts w:asciiTheme="majorHAnsi" w:hAnsiTheme="majorHAnsi" w:cstheme="majorHAnsi"/>
          <w:sz w:val="20"/>
        </w:rPr>
        <w:tab/>
      </w:r>
      <w:r w:rsidRPr="00165ED7">
        <w:rPr>
          <w:rFonts w:asciiTheme="majorHAnsi" w:hAnsiTheme="majorHAnsi" w:cstheme="majorHAnsi"/>
          <w:sz w:val="20"/>
        </w:rPr>
        <w:tab/>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RN2</w:t>
      </w:r>
      <w:r w:rsidRPr="00165ED7">
        <w:rPr>
          <w:rFonts w:asciiTheme="majorHAnsi" w:hAnsiTheme="majorHAnsi" w:cstheme="majorHAnsi"/>
          <w:sz w:val="20"/>
        </w:rPr>
        <w:tab/>
      </w:r>
      <w:r w:rsidRPr="00165ED7">
        <w:rPr>
          <w:rFonts w:asciiTheme="majorHAnsi" w:hAnsiTheme="majorHAnsi" w:cstheme="majorHAnsi"/>
          <w:sz w:val="20"/>
        </w:rPr>
        <w:tab/>
        <w:t>V = 5m3</w:t>
      </w:r>
      <w:r w:rsidRPr="00165ED7">
        <w:rPr>
          <w:rFonts w:asciiTheme="majorHAnsi" w:hAnsiTheme="majorHAnsi" w:cstheme="majorHAnsi"/>
          <w:sz w:val="20"/>
        </w:rPr>
        <w:tab/>
        <w:t>výtlak DN25 ukončený ventilom na fasáde SO 02</w:t>
      </w:r>
      <w:r w:rsidRPr="00165ED7">
        <w:rPr>
          <w:rFonts w:asciiTheme="majorHAnsi" w:hAnsiTheme="majorHAnsi" w:cstheme="majorHAnsi"/>
          <w:sz w:val="20"/>
        </w:rPr>
        <w:tab/>
      </w:r>
      <w:r w:rsidRPr="00165ED7">
        <w:rPr>
          <w:rFonts w:asciiTheme="majorHAnsi" w:hAnsiTheme="majorHAnsi" w:cstheme="majorHAnsi"/>
          <w:sz w:val="20"/>
        </w:rPr>
        <w:tab/>
      </w:r>
    </w:p>
    <w:p w:rsidR="00165ED7" w:rsidRPr="00165ED7" w:rsidRDefault="00165ED7" w:rsidP="00165ED7">
      <w:pPr>
        <w:ind w:firstLine="720"/>
        <w:rPr>
          <w:rFonts w:asciiTheme="majorHAnsi" w:hAnsiTheme="majorHAnsi" w:cstheme="majorHAnsi"/>
          <w:sz w:val="20"/>
        </w:rPr>
      </w:pPr>
    </w:p>
    <w:p w:rsidR="00165ED7" w:rsidRPr="00165ED7" w:rsidRDefault="00165ED7" w:rsidP="00165ED7">
      <w:pPr>
        <w:rPr>
          <w:rFonts w:asciiTheme="majorHAnsi" w:hAnsiTheme="majorHAnsi" w:cstheme="majorHAnsi"/>
          <w:sz w:val="20"/>
        </w:rPr>
      </w:pPr>
      <w:r w:rsidRPr="00165ED7">
        <w:rPr>
          <w:rFonts w:asciiTheme="majorHAnsi" w:hAnsiTheme="majorHAnsi" w:cstheme="majorHAnsi"/>
          <w:b/>
          <w:sz w:val="20"/>
        </w:rPr>
        <w:t xml:space="preserve">Niveleta potrubia. </w:t>
      </w:r>
      <w:r w:rsidRPr="00165ED7">
        <w:rPr>
          <w:rFonts w:asciiTheme="majorHAnsi" w:hAnsiTheme="majorHAnsi" w:cstheme="majorHAnsi"/>
          <w:sz w:val="20"/>
        </w:rPr>
        <w:t>Výškové osadenie potrubia vychádza z  konfigurácie terénu. Niveleta navrhovaného potrubia je zrejmá z pozdĺžneho profilu .  Návrh nivelety potrubia rešpektuje STN 75 6101 a STN 75 6100 EN 752.</w:t>
      </w:r>
    </w:p>
    <w:p w:rsidR="00165ED7" w:rsidRPr="00165ED7" w:rsidRDefault="00165ED7" w:rsidP="00165ED7">
      <w:pPr>
        <w:ind w:firstLine="720"/>
        <w:rPr>
          <w:rFonts w:asciiTheme="majorHAnsi" w:hAnsiTheme="majorHAnsi" w:cstheme="majorHAnsi"/>
          <w:sz w:val="20"/>
        </w:rPr>
      </w:pPr>
    </w:p>
    <w:p w:rsidR="00165ED7" w:rsidRPr="00165ED7" w:rsidRDefault="00165ED7" w:rsidP="00165ED7">
      <w:pPr>
        <w:rPr>
          <w:rFonts w:asciiTheme="majorHAnsi" w:hAnsiTheme="majorHAnsi" w:cstheme="majorHAnsi"/>
          <w:sz w:val="20"/>
        </w:rPr>
      </w:pPr>
      <w:r w:rsidRPr="00165ED7">
        <w:rPr>
          <w:rFonts w:asciiTheme="majorHAnsi" w:hAnsiTheme="majorHAnsi" w:cstheme="majorHAnsi"/>
          <w:b/>
          <w:sz w:val="20"/>
        </w:rPr>
        <w:t xml:space="preserve">Materiál potrubia: </w:t>
      </w:r>
      <w:r w:rsidRPr="00165ED7">
        <w:rPr>
          <w:rFonts w:asciiTheme="majorHAnsi" w:hAnsiTheme="majorHAnsi" w:cstheme="majorHAnsi"/>
          <w:sz w:val="20"/>
        </w:rPr>
        <w:t xml:space="preserve">Na výstavbu dažďovej kanalizácie sa použijú PVC kanalizačné potrubia DN110- DN300 mm spájané pomocou hrdlových spojov tesnených gumovým krúžkom. </w:t>
      </w:r>
    </w:p>
    <w:p w:rsidR="00165ED7" w:rsidRPr="00165ED7" w:rsidRDefault="00165ED7" w:rsidP="00165ED7">
      <w:pPr>
        <w:ind w:firstLineChars="255" w:firstLine="510"/>
        <w:rPr>
          <w:rFonts w:asciiTheme="majorHAnsi" w:hAnsiTheme="majorHAnsi" w:cstheme="majorHAnsi"/>
          <w:sz w:val="20"/>
        </w:rPr>
      </w:pPr>
    </w:p>
    <w:p w:rsidR="00165ED7" w:rsidRPr="00165ED7" w:rsidRDefault="00165ED7" w:rsidP="00165ED7">
      <w:pPr>
        <w:rPr>
          <w:rFonts w:asciiTheme="majorHAnsi" w:hAnsiTheme="majorHAnsi" w:cstheme="majorHAnsi"/>
          <w:sz w:val="20"/>
          <w:u w:val="single"/>
        </w:rPr>
      </w:pPr>
      <w:r w:rsidRPr="00165ED7">
        <w:rPr>
          <w:rFonts w:asciiTheme="majorHAnsi" w:hAnsiTheme="majorHAnsi" w:cstheme="majorHAnsi"/>
          <w:sz w:val="20"/>
          <w:u w:val="single"/>
        </w:rPr>
        <w:t>Výkaz potrubí:</w:t>
      </w:r>
    </w:p>
    <w:tbl>
      <w:tblPr>
        <w:tblW w:w="4621" w:type="dxa"/>
        <w:tblInd w:w="252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460"/>
        <w:gridCol w:w="960"/>
        <w:gridCol w:w="1241"/>
        <w:gridCol w:w="960"/>
      </w:tblGrid>
      <w:tr w:rsidR="00165ED7" w:rsidRPr="00165ED7" w:rsidTr="00DF684E">
        <w:trPr>
          <w:trHeight w:val="315"/>
        </w:trPr>
        <w:tc>
          <w:tcPr>
            <w:tcW w:w="1460" w:type="dxa"/>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STOKA</w:t>
            </w:r>
          </w:p>
        </w:tc>
        <w:tc>
          <w:tcPr>
            <w:tcW w:w="960" w:type="dxa"/>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DN</w:t>
            </w:r>
          </w:p>
        </w:tc>
        <w:tc>
          <w:tcPr>
            <w:tcW w:w="1241" w:type="dxa"/>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MATERIÁL</w:t>
            </w:r>
          </w:p>
        </w:tc>
        <w:tc>
          <w:tcPr>
            <w:tcW w:w="960" w:type="dxa"/>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DĹŽKA</w:t>
            </w:r>
          </w:p>
        </w:tc>
      </w:tr>
      <w:tr w:rsidR="00165ED7" w:rsidRPr="00165ED7" w:rsidTr="00DF684E">
        <w:trPr>
          <w:trHeight w:val="300"/>
        </w:trPr>
        <w:tc>
          <w:tcPr>
            <w:tcW w:w="1460" w:type="dxa"/>
            <w:shd w:val="clear" w:color="auto" w:fill="auto"/>
            <w:noWrap/>
            <w:vAlign w:val="center"/>
          </w:tcPr>
          <w:p w:rsidR="00165ED7" w:rsidRPr="00165ED7" w:rsidRDefault="00165ED7" w:rsidP="00DF684E">
            <w:pPr>
              <w:jc w:val="center"/>
              <w:rPr>
                <w:rFonts w:asciiTheme="majorHAnsi" w:hAnsiTheme="majorHAnsi" w:cstheme="majorHAnsi"/>
                <w:b/>
                <w:color w:val="000000"/>
                <w:sz w:val="20"/>
              </w:rPr>
            </w:pPr>
            <w:r w:rsidRPr="00165ED7">
              <w:rPr>
                <w:rFonts w:asciiTheme="majorHAnsi" w:hAnsiTheme="majorHAnsi" w:cstheme="majorHAnsi"/>
                <w:b/>
                <w:color w:val="000000"/>
                <w:sz w:val="20"/>
              </w:rPr>
              <w:t>D1</w:t>
            </w:r>
          </w:p>
        </w:tc>
        <w:tc>
          <w:tcPr>
            <w:tcW w:w="960" w:type="dxa"/>
            <w:shd w:val="clear" w:color="auto" w:fill="auto"/>
            <w:noWrap/>
            <w:vAlign w:val="center"/>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300</w:t>
            </w:r>
          </w:p>
        </w:tc>
        <w:tc>
          <w:tcPr>
            <w:tcW w:w="1241" w:type="dxa"/>
            <w:shd w:val="clear" w:color="auto" w:fill="auto"/>
            <w:noWrap/>
            <w:vAlign w:val="center"/>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shd w:val="clear" w:color="auto" w:fill="auto"/>
            <w:noWrap/>
            <w:vAlign w:val="center"/>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2,50</w:t>
            </w:r>
          </w:p>
        </w:tc>
      </w:tr>
      <w:tr w:rsidR="00165ED7" w:rsidRPr="00165ED7" w:rsidTr="00DF684E">
        <w:trPr>
          <w:trHeight w:val="300"/>
        </w:trPr>
        <w:tc>
          <w:tcPr>
            <w:tcW w:w="1460" w:type="dxa"/>
            <w:shd w:val="clear" w:color="auto" w:fill="auto"/>
            <w:noWrap/>
            <w:vAlign w:val="center"/>
            <w:hideMark/>
          </w:tcPr>
          <w:p w:rsidR="00165ED7" w:rsidRPr="00165ED7" w:rsidRDefault="00165ED7" w:rsidP="00DF684E">
            <w:pPr>
              <w:jc w:val="center"/>
              <w:rPr>
                <w:rFonts w:asciiTheme="majorHAnsi" w:hAnsiTheme="majorHAnsi" w:cstheme="majorHAnsi"/>
                <w:b/>
                <w:color w:val="000000"/>
                <w:sz w:val="20"/>
              </w:rPr>
            </w:pPr>
            <w:r w:rsidRPr="00165ED7">
              <w:rPr>
                <w:rFonts w:asciiTheme="majorHAnsi" w:hAnsiTheme="majorHAnsi" w:cstheme="majorHAnsi"/>
                <w:b/>
                <w:color w:val="000000"/>
                <w:sz w:val="20"/>
              </w:rPr>
              <w:t>D1</w:t>
            </w:r>
          </w:p>
        </w:tc>
        <w:tc>
          <w:tcPr>
            <w:tcW w:w="960" w:type="dxa"/>
            <w:shd w:val="clear" w:color="auto" w:fill="auto"/>
            <w:noWrap/>
            <w:vAlign w:val="center"/>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200</w:t>
            </w:r>
          </w:p>
        </w:tc>
        <w:tc>
          <w:tcPr>
            <w:tcW w:w="1241" w:type="dxa"/>
            <w:shd w:val="clear" w:color="auto" w:fill="auto"/>
            <w:noWrap/>
            <w:vAlign w:val="center"/>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shd w:val="clear" w:color="auto" w:fill="auto"/>
            <w:noWrap/>
            <w:vAlign w:val="center"/>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51,00</w:t>
            </w:r>
          </w:p>
        </w:tc>
      </w:tr>
      <w:tr w:rsidR="00165ED7" w:rsidRPr="00165ED7" w:rsidTr="00DF684E">
        <w:trPr>
          <w:trHeight w:val="300"/>
        </w:trPr>
        <w:tc>
          <w:tcPr>
            <w:tcW w:w="1460" w:type="dxa"/>
            <w:shd w:val="clear" w:color="auto" w:fill="auto"/>
            <w:noWrap/>
            <w:vAlign w:val="center"/>
          </w:tcPr>
          <w:p w:rsidR="00165ED7" w:rsidRPr="00165ED7" w:rsidRDefault="00165ED7" w:rsidP="00DF684E">
            <w:pPr>
              <w:jc w:val="center"/>
              <w:rPr>
                <w:rFonts w:asciiTheme="majorHAnsi" w:hAnsiTheme="majorHAnsi" w:cstheme="majorHAnsi"/>
                <w:b/>
                <w:color w:val="000000"/>
                <w:sz w:val="20"/>
              </w:rPr>
            </w:pPr>
            <w:r w:rsidRPr="00165ED7">
              <w:rPr>
                <w:rFonts w:asciiTheme="majorHAnsi" w:hAnsiTheme="majorHAnsi" w:cstheme="majorHAnsi"/>
                <w:b/>
                <w:color w:val="000000"/>
                <w:sz w:val="20"/>
              </w:rPr>
              <w:t>D1</w:t>
            </w:r>
          </w:p>
        </w:tc>
        <w:tc>
          <w:tcPr>
            <w:tcW w:w="960" w:type="dxa"/>
            <w:shd w:val="clear" w:color="auto" w:fill="auto"/>
            <w:noWrap/>
            <w:vAlign w:val="center"/>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150</w:t>
            </w:r>
          </w:p>
        </w:tc>
        <w:tc>
          <w:tcPr>
            <w:tcW w:w="1241" w:type="dxa"/>
            <w:shd w:val="clear" w:color="auto" w:fill="auto"/>
            <w:noWrap/>
            <w:vAlign w:val="center"/>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shd w:val="clear" w:color="auto" w:fill="auto"/>
            <w:noWrap/>
            <w:vAlign w:val="center"/>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36,00</w:t>
            </w:r>
          </w:p>
        </w:tc>
      </w:tr>
      <w:tr w:rsidR="00165ED7" w:rsidRPr="00165ED7" w:rsidTr="00DF684E">
        <w:trPr>
          <w:trHeight w:val="300"/>
        </w:trPr>
        <w:tc>
          <w:tcPr>
            <w:tcW w:w="1460" w:type="dxa"/>
            <w:shd w:val="clear" w:color="auto" w:fill="auto"/>
            <w:noWrap/>
            <w:vAlign w:val="center"/>
          </w:tcPr>
          <w:p w:rsidR="00165ED7" w:rsidRPr="00165ED7" w:rsidRDefault="00165ED7" w:rsidP="00DF684E">
            <w:pPr>
              <w:jc w:val="center"/>
              <w:rPr>
                <w:rFonts w:asciiTheme="majorHAnsi" w:hAnsiTheme="majorHAnsi" w:cstheme="majorHAnsi"/>
                <w:b/>
                <w:color w:val="000000"/>
                <w:sz w:val="20"/>
              </w:rPr>
            </w:pPr>
            <w:r w:rsidRPr="00165ED7">
              <w:rPr>
                <w:rFonts w:asciiTheme="majorHAnsi" w:hAnsiTheme="majorHAnsi" w:cstheme="majorHAnsi"/>
                <w:b/>
                <w:color w:val="000000"/>
                <w:sz w:val="20"/>
              </w:rPr>
              <w:t>D1</w:t>
            </w:r>
          </w:p>
        </w:tc>
        <w:tc>
          <w:tcPr>
            <w:tcW w:w="960" w:type="dxa"/>
            <w:shd w:val="clear" w:color="auto" w:fill="auto"/>
            <w:noWrap/>
            <w:vAlign w:val="center"/>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125</w:t>
            </w:r>
          </w:p>
        </w:tc>
        <w:tc>
          <w:tcPr>
            <w:tcW w:w="1241" w:type="dxa"/>
            <w:shd w:val="clear" w:color="auto" w:fill="auto"/>
            <w:noWrap/>
            <w:vAlign w:val="center"/>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shd w:val="clear" w:color="auto" w:fill="auto"/>
            <w:noWrap/>
            <w:vAlign w:val="center"/>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13,00</w:t>
            </w:r>
          </w:p>
        </w:tc>
      </w:tr>
      <w:tr w:rsidR="00165ED7" w:rsidRPr="00165ED7" w:rsidTr="00DF684E">
        <w:trPr>
          <w:trHeight w:val="300"/>
        </w:trPr>
        <w:tc>
          <w:tcPr>
            <w:tcW w:w="1460" w:type="dxa"/>
            <w:shd w:val="clear" w:color="auto" w:fill="auto"/>
            <w:noWrap/>
            <w:vAlign w:val="center"/>
            <w:hideMark/>
          </w:tcPr>
          <w:p w:rsidR="00165ED7" w:rsidRPr="00165ED7" w:rsidRDefault="00165ED7" w:rsidP="00DF684E">
            <w:pPr>
              <w:jc w:val="center"/>
              <w:rPr>
                <w:rFonts w:asciiTheme="majorHAnsi" w:hAnsiTheme="majorHAnsi" w:cstheme="majorHAnsi"/>
                <w:b/>
                <w:color w:val="000000"/>
                <w:sz w:val="20"/>
              </w:rPr>
            </w:pPr>
            <w:r w:rsidRPr="00165ED7">
              <w:rPr>
                <w:rFonts w:asciiTheme="majorHAnsi" w:hAnsiTheme="majorHAnsi" w:cstheme="majorHAnsi"/>
                <w:b/>
                <w:color w:val="000000"/>
                <w:sz w:val="20"/>
              </w:rPr>
              <w:t>D2</w:t>
            </w:r>
          </w:p>
        </w:tc>
        <w:tc>
          <w:tcPr>
            <w:tcW w:w="960" w:type="dxa"/>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200</w:t>
            </w:r>
          </w:p>
        </w:tc>
        <w:tc>
          <w:tcPr>
            <w:tcW w:w="1241" w:type="dxa"/>
            <w:shd w:val="clear" w:color="auto" w:fill="auto"/>
            <w:noWrap/>
            <w:vAlign w:val="center"/>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15,50</w:t>
            </w:r>
          </w:p>
        </w:tc>
      </w:tr>
      <w:tr w:rsidR="00165ED7" w:rsidRPr="00165ED7" w:rsidTr="00DF684E">
        <w:trPr>
          <w:trHeight w:val="300"/>
        </w:trPr>
        <w:tc>
          <w:tcPr>
            <w:tcW w:w="1460" w:type="dxa"/>
            <w:shd w:val="clear" w:color="auto" w:fill="auto"/>
            <w:noWrap/>
            <w:vAlign w:val="center"/>
            <w:hideMark/>
          </w:tcPr>
          <w:p w:rsidR="00165ED7" w:rsidRPr="00165ED7" w:rsidRDefault="00165ED7" w:rsidP="00DF684E">
            <w:pPr>
              <w:jc w:val="center"/>
              <w:rPr>
                <w:rFonts w:asciiTheme="majorHAnsi" w:hAnsiTheme="majorHAnsi" w:cstheme="majorHAnsi"/>
                <w:b/>
                <w:color w:val="000000"/>
                <w:sz w:val="20"/>
              </w:rPr>
            </w:pPr>
            <w:r w:rsidRPr="00165ED7">
              <w:rPr>
                <w:rFonts w:asciiTheme="majorHAnsi" w:hAnsiTheme="majorHAnsi" w:cstheme="majorHAnsi"/>
                <w:b/>
                <w:color w:val="000000"/>
                <w:sz w:val="20"/>
              </w:rPr>
              <w:t>D2</w:t>
            </w:r>
          </w:p>
        </w:tc>
        <w:tc>
          <w:tcPr>
            <w:tcW w:w="960" w:type="dxa"/>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150</w:t>
            </w:r>
          </w:p>
        </w:tc>
        <w:tc>
          <w:tcPr>
            <w:tcW w:w="1241" w:type="dxa"/>
            <w:shd w:val="clear" w:color="auto" w:fill="auto"/>
            <w:noWrap/>
            <w:vAlign w:val="center"/>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shd w:val="clear" w:color="auto" w:fill="auto"/>
            <w:noWrap/>
            <w:vAlign w:val="bottom"/>
            <w:hideMark/>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17,70</w:t>
            </w:r>
          </w:p>
        </w:tc>
      </w:tr>
      <w:tr w:rsidR="00165ED7" w:rsidRPr="00165ED7" w:rsidTr="00DF684E">
        <w:trPr>
          <w:trHeight w:val="300"/>
        </w:trPr>
        <w:tc>
          <w:tcPr>
            <w:tcW w:w="1460" w:type="dxa"/>
            <w:shd w:val="clear" w:color="auto" w:fill="auto"/>
            <w:noWrap/>
            <w:vAlign w:val="center"/>
          </w:tcPr>
          <w:p w:rsidR="00165ED7" w:rsidRPr="00165ED7" w:rsidRDefault="00165ED7" w:rsidP="00DF684E">
            <w:pPr>
              <w:jc w:val="center"/>
              <w:rPr>
                <w:rFonts w:asciiTheme="majorHAnsi" w:hAnsiTheme="majorHAnsi" w:cstheme="majorHAnsi"/>
                <w:b/>
                <w:color w:val="000000"/>
                <w:sz w:val="20"/>
              </w:rPr>
            </w:pPr>
            <w:r w:rsidRPr="00165ED7">
              <w:rPr>
                <w:rFonts w:asciiTheme="majorHAnsi" w:hAnsiTheme="majorHAnsi" w:cstheme="majorHAnsi"/>
                <w:b/>
                <w:color w:val="000000"/>
                <w:sz w:val="20"/>
              </w:rPr>
              <w:t>D2</w:t>
            </w:r>
          </w:p>
        </w:tc>
        <w:tc>
          <w:tcPr>
            <w:tcW w:w="960" w:type="dxa"/>
            <w:shd w:val="clear" w:color="auto" w:fill="auto"/>
            <w:noWrap/>
            <w:vAlign w:val="bottom"/>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125</w:t>
            </w:r>
          </w:p>
        </w:tc>
        <w:tc>
          <w:tcPr>
            <w:tcW w:w="1241" w:type="dxa"/>
            <w:shd w:val="clear" w:color="auto" w:fill="auto"/>
            <w:noWrap/>
            <w:vAlign w:val="center"/>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shd w:val="clear" w:color="auto" w:fill="auto"/>
            <w:noWrap/>
            <w:vAlign w:val="bottom"/>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10,20</w:t>
            </w:r>
          </w:p>
        </w:tc>
      </w:tr>
      <w:tr w:rsidR="00165ED7" w:rsidRPr="00165ED7" w:rsidTr="00DF684E">
        <w:trPr>
          <w:trHeight w:val="300"/>
        </w:trPr>
        <w:tc>
          <w:tcPr>
            <w:tcW w:w="1460" w:type="dxa"/>
            <w:shd w:val="clear" w:color="auto" w:fill="auto"/>
            <w:noWrap/>
            <w:vAlign w:val="center"/>
          </w:tcPr>
          <w:p w:rsidR="00165ED7" w:rsidRPr="00165ED7" w:rsidRDefault="00165ED7" w:rsidP="00DF684E">
            <w:pPr>
              <w:jc w:val="center"/>
              <w:rPr>
                <w:rFonts w:asciiTheme="majorHAnsi" w:hAnsiTheme="majorHAnsi" w:cstheme="majorHAnsi"/>
                <w:b/>
                <w:color w:val="000000"/>
                <w:sz w:val="20"/>
              </w:rPr>
            </w:pPr>
            <w:r w:rsidRPr="00165ED7">
              <w:rPr>
                <w:rFonts w:asciiTheme="majorHAnsi" w:hAnsiTheme="majorHAnsi" w:cstheme="majorHAnsi"/>
                <w:b/>
                <w:color w:val="000000"/>
                <w:sz w:val="20"/>
              </w:rPr>
              <w:t>D3</w:t>
            </w:r>
          </w:p>
        </w:tc>
        <w:tc>
          <w:tcPr>
            <w:tcW w:w="960" w:type="dxa"/>
            <w:shd w:val="clear" w:color="auto" w:fill="auto"/>
            <w:noWrap/>
            <w:vAlign w:val="bottom"/>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200</w:t>
            </w:r>
          </w:p>
        </w:tc>
        <w:tc>
          <w:tcPr>
            <w:tcW w:w="1241" w:type="dxa"/>
            <w:shd w:val="clear" w:color="auto" w:fill="auto"/>
            <w:noWrap/>
            <w:vAlign w:val="center"/>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shd w:val="clear" w:color="auto" w:fill="auto"/>
            <w:noWrap/>
            <w:vAlign w:val="bottom"/>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12,80</w:t>
            </w:r>
          </w:p>
        </w:tc>
      </w:tr>
      <w:tr w:rsidR="00165ED7" w:rsidRPr="00165ED7" w:rsidTr="00DF684E">
        <w:trPr>
          <w:trHeight w:val="300"/>
        </w:trPr>
        <w:tc>
          <w:tcPr>
            <w:tcW w:w="1460" w:type="dxa"/>
            <w:shd w:val="clear" w:color="auto" w:fill="auto"/>
            <w:noWrap/>
            <w:vAlign w:val="center"/>
          </w:tcPr>
          <w:p w:rsidR="00165ED7" w:rsidRPr="00165ED7" w:rsidRDefault="00165ED7" w:rsidP="00DF684E">
            <w:pPr>
              <w:jc w:val="center"/>
              <w:rPr>
                <w:rFonts w:asciiTheme="majorHAnsi" w:hAnsiTheme="majorHAnsi" w:cstheme="majorHAnsi"/>
                <w:b/>
                <w:color w:val="000000"/>
                <w:sz w:val="20"/>
              </w:rPr>
            </w:pPr>
            <w:r w:rsidRPr="00165ED7">
              <w:rPr>
                <w:rFonts w:asciiTheme="majorHAnsi" w:hAnsiTheme="majorHAnsi" w:cstheme="majorHAnsi"/>
                <w:b/>
                <w:color w:val="000000"/>
                <w:sz w:val="20"/>
              </w:rPr>
              <w:t>D3</w:t>
            </w:r>
          </w:p>
        </w:tc>
        <w:tc>
          <w:tcPr>
            <w:tcW w:w="960" w:type="dxa"/>
            <w:shd w:val="clear" w:color="auto" w:fill="auto"/>
            <w:noWrap/>
            <w:vAlign w:val="bottom"/>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125</w:t>
            </w:r>
          </w:p>
        </w:tc>
        <w:tc>
          <w:tcPr>
            <w:tcW w:w="1241" w:type="dxa"/>
            <w:shd w:val="clear" w:color="auto" w:fill="auto"/>
            <w:noWrap/>
            <w:vAlign w:val="center"/>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PVC</w:t>
            </w:r>
          </w:p>
        </w:tc>
        <w:tc>
          <w:tcPr>
            <w:tcW w:w="960" w:type="dxa"/>
            <w:shd w:val="clear" w:color="auto" w:fill="auto"/>
            <w:noWrap/>
            <w:vAlign w:val="bottom"/>
          </w:tcPr>
          <w:p w:rsidR="00165ED7" w:rsidRPr="00165ED7" w:rsidRDefault="00165ED7" w:rsidP="00DF684E">
            <w:pPr>
              <w:jc w:val="center"/>
              <w:rPr>
                <w:rFonts w:asciiTheme="majorHAnsi" w:hAnsiTheme="majorHAnsi" w:cstheme="majorHAnsi"/>
                <w:color w:val="000000"/>
                <w:sz w:val="20"/>
              </w:rPr>
            </w:pPr>
            <w:r w:rsidRPr="00165ED7">
              <w:rPr>
                <w:rFonts w:asciiTheme="majorHAnsi" w:hAnsiTheme="majorHAnsi" w:cstheme="majorHAnsi"/>
                <w:color w:val="000000"/>
                <w:sz w:val="20"/>
              </w:rPr>
              <w:t>8,10</w:t>
            </w:r>
          </w:p>
        </w:tc>
      </w:tr>
      <w:tr w:rsidR="00165ED7" w:rsidRPr="00165ED7" w:rsidTr="00DF684E">
        <w:trPr>
          <w:trHeight w:val="300"/>
        </w:trPr>
        <w:tc>
          <w:tcPr>
            <w:tcW w:w="1460" w:type="dxa"/>
            <w:vMerge w:val="restart"/>
            <w:shd w:val="clear" w:color="auto" w:fill="auto"/>
            <w:noWrap/>
            <w:vAlign w:val="center"/>
            <w:hideMark/>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SPOLU</w:t>
            </w:r>
          </w:p>
        </w:tc>
        <w:tc>
          <w:tcPr>
            <w:tcW w:w="960" w:type="dxa"/>
            <w:shd w:val="clear" w:color="auto" w:fill="auto"/>
            <w:noWrap/>
            <w:vAlign w:val="bottom"/>
            <w:hideMark/>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300</w:t>
            </w:r>
          </w:p>
        </w:tc>
        <w:tc>
          <w:tcPr>
            <w:tcW w:w="1241" w:type="dxa"/>
            <w:shd w:val="clear" w:color="auto" w:fill="auto"/>
            <w:noWrap/>
            <w:vAlign w:val="center"/>
            <w:hideMark/>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PVC</w:t>
            </w:r>
          </w:p>
        </w:tc>
        <w:tc>
          <w:tcPr>
            <w:tcW w:w="960" w:type="dxa"/>
            <w:shd w:val="clear" w:color="auto" w:fill="auto"/>
            <w:noWrap/>
            <w:vAlign w:val="center"/>
            <w:hideMark/>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2,50</w:t>
            </w:r>
          </w:p>
        </w:tc>
      </w:tr>
      <w:tr w:rsidR="00165ED7" w:rsidRPr="00165ED7" w:rsidTr="00DF684E">
        <w:trPr>
          <w:trHeight w:val="300"/>
        </w:trPr>
        <w:tc>
          <w:tcPr>
            <w:tcW w:w="1460" w:type="dxa"/>
            <w:vMerge/>
            <w:vAlign w:val="center"/>
          </w:tcPr>
          <w:p w:rsidR="00165ED7" w:rsidRPr="00165ED7" w:rsidRDefault="00165ED7" w:rsidP="00DF684E">
            <w:pPr>
              <w:rPr>
                <w:rFonts w:asciiTheme="majorHAnsi" w:hAnsiTheme="majorHAnsi" w:cstheme="majorHAnsi"/>
                <w:b/>
                <w:bCs/>
                <w:color w:val="000000"/>
                <w:sz w:val="20"/>
              </w:rPr>
            </w:pPr>
          </w:p>
        </w:tc>
        <w:tc>
          <w:tcPr>
            <w:tcW w:w="960" w:type="dxa"/>
            <w:shd w:val="clear" w:color="auto" w:fill="auto"/>
            <w:noWrap/>
            <w:vAlign w:val="bottom"/>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200</w:t>
            </w:r>
          </w:p>
        </w:tc>
        <w:tc>
          <w:tcPr>
            <w:tcW w:w="1241" w:type="dxa"/>
            <w:shd w:val="clear" w:color="auto" w:fill="auto"/>
            <w:noWrap/>
            <w:vAlign w:val="center"/>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PVC</w:t>
            </w:r>
          </w:p>
        </w:tc>
        <w:tc>
          <w:tcPr>
            <w:tcW w:w="960" w:type="dxa"/>
            <w:shd w:val="clear" w:color="auto" w:fill="auto"/>
            <w:noWrap/>
            <w:vAlign w:val="center"/>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79,30</w:t>
            </w:r>
          </w:p>
        </w:tc>
      </w:tr>
      <w:tr w:rsidR="00165ED7" w:rsidRPr="00165ED7" w:rsidTr="00DF684E">
        <w:trPr>
          <w:trHeight w:val="315"/>
        </w:trPr>
        <w:tc>
          <w:tcPr>
            <w:tcW w:w="1460" w:type="dxa"/>
            <w:vMerge/>
            <w:vAlign w:val="center"/>
            <w:hideMark/>
          </w:tcPr>
          <w:p w:rsidR="00165ED7" w:rsidRPr="00165ED7" w:rsidRDefault="00165ED7" w:rsidP="00DF684E">
            <w:pPr>
              <w:rPr>
                <w:rFonts w:asciiTheme="majorHAnsi" w:hAnsiTheme="majorHAnsi" w:cstheme="majorHAnsi"/>
                <w:b/>
                <w:bCs/>
                <w:color w:val="000000"/>
                <w:sz w:val="20"/>
              </w:rPr>
            </w:pPr>
          </w:p>
        </w:tc>
        <w:tc>
          <w:tcPr>
            <w:tcW w:w="960" w:type="dxa"/>
            <w:shd w:val="clear" w:color="auto" w:fill="auto"/>
            <w:noWrap/>
            <w:vAlign w:val="bottom"/>
            <w:hideMark/>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150</w:t>
            </w:r>
          </w:p>
        </w:tc>
        <w:tc>
          <w:tcPr>
            <w:tcW w:w="1241" w:type="dxa"/>
            <w:shd w:val="clear" w:color="auto" w:fill="auto"/>
            <w:noWrap/>
            <w:vAlign w:val="center"/>
            <w:hideMark/>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PVC</w:t>
            </w:r>
          </w:p>
        </w:tc>
        <w:tc>
          <w:tcPr>
            <w:tcW w:w="960" w:type="dxa"/>
            <w:shd w:val="clear" w:color="auto" w:fill="auto"/>
            <w:noWrap/>
            <w:vAlign w:val="center"/>
            <w:hideMark/>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53,70</w:t>
            </w:r>
          </w:p>
        </w:tc>
      </w:tr>
      <w:tr w:rsidR="00165ED7" w:rsidRPr="00165ED7" w:rsidTr="00DF684E">
        <w:trPr>
          <w:trHeight w:val="315"/>
        </w:trPr>
        <w:tc>
          <w:tcPr>
            <w:tcW w:w="1460" w:type="dxa"/>
            <w:vMerge/>
            <w:vAlign w:val="center"/>
          </w:tcPr>
          <w:p w:rsidR="00165ED7" w:rsidRPr="00165ED7" w:rsidRDefault="00165ED7" w:rsidP="00DF684E">
            <w:pPr>
              <w:rPr>
                <w:rFonts w:asciiTheme="majorHAnsi" w:hAnsiTheme="majorHAnsi" w:cstheme="majorHAnsi"/>
                <w:b/>
                <w:bCs/>
                <w:color w:val="000000"/>
                <w:sz w:val="20"/>
              </w:rPr>
            </w:pPr>
          </w:p>
        </w:tc>
        <w:tc>
          <w:tcPr>
            <w:tcW w:w="960" w:type="dxa"/>
            <w:shd w:val="clear" w:color="auto" w:fill="auto"/>
            <w:noWrap/>
            <w:vAlign w:val="bottom"/>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125</w:t>
            </w:r>
          </w:p>
        </w:tc>
        <w:tc>
          <w:tcPr>
            <w:tcW w:w="1241" w:type="dxa"/>
            <w:shd w:val="clear" w:color="auto" w:fill="auto"/>
            <w:noWrap/>
            <w:vAlign w:val="center"/>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PVC</w:t>
            </w:r>
          </w:p>
        </w:tc>
        <w:tc>
          <w:tcPr>
            <w:tcW w:w="960" w:type="dxa"/>
            <w:shd w:val="clear" w:color="auto" w:fill="auto"/>
            <w:noWrap/>
            <w:vAlign w:val="center"/>
          </w:tcPr>
          <w:p w:rsidR="00165ED7" w:rsidRPr="00165ED7" w:rsidRDefault="00165ED7" w:rsidP="00DF684E">
            <w:pPr>
              <w:jc w:val="center"/>
              <w:rPr>
                <w:rFonts w:asciiTheme="majorHAnsi" w:hAnsiTheme="majorHAnsi" w:cstheme="majorHAnsi"/>
                <w:b/>
                <w:bCs/>
                <w:color w:val="000000"/>
                <w:sz w:val="20"/>
              </w:rPr>
            </w:pPr>
            <w:r w:rsidRPr="00165ED7">
              <w:rPr>
                <w:rFonts w:asciiTheme="majorHAnsi" w:hAnsiTheme="majorHAnsi" w:cstheme="majorHAnsi"/>
                <w:b/>
                <w:bCs/>
                <w:color w:val="000000"/>
                <w:sz w:val="20"/>
              </w:rPr>
              <w:t>31,30</w:t>
            </w:r>
          </w:p>
        </w:tc>
      </w:tr>
    </w:tbl>
    <w:p w:rsidR="00165ED7" w:rsidRPr="00165ED7" w:rsidRDefault="00165ED7" w:rsidP="00165ED7">
      <w:pPr>
        <w:ind w:left="720" w:firstLine="720"/>
        <w:rPr>
          <w:rFonts w:asciiTheme="majorHAnsi" w:hAnsiTheme="majorHAnsi" w:cstheme="majorHAnsi"/>
          <w:b/>
          <w:sz w:val="20"/>
        </w:rPr>
      </w:pPr>
    </w:p>
    <w:p w:rsidR="00165ED7" w:rsidRPr="00165ED7" w:rsidRDefault="00165ED7" w:rsidP="00165ED7">
      <w:pPr>
        <w:ind w:left="720" w:firstLine="720"/>
        <w:rPr>
          <w:rFonts w:asciiTheme="majorHAnsi" w:hAnsiTheme="majorHAnsi" w:cstheme="majorHAnsi"/>
          <w:b/>
          <w:sz w:val="20"/>
        </w:rPr>
      </w:pPr>
    </w:p>
    <w:p w:rsidR="00165ED7" w:rsidRPr="009F7606" w:rsidRDefault="00165ED7" w:rsidP="00165ED7">
      <w:pPr>
        <w:pStyle w:val="Nadpis4"/>
        <w:spacing w:before="0"/>
        <w:rPr>
          <w:rFonts w:cstheme="majorHAnsi"/>
          <w:b/>
          <w:i w:val="0"/>
          <w:color w:val="auto"/>
          <w:sz w:val="20"/>
        </w:rPr>
      </w:pPr>
      <w:r w:rsidRPr="009F7606">
        <w:rPr>
          <w:rFonts w:cstheme="majorHAnsi"/>
          <w:b/>
          <w:i w:val="0"/>
          <w:color w:val="auto"/>
          <w:sz w:val="20"/>
        </w:rPr>
        <w:t>Hydrotechnický výpočet:</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 xml:space="preserve">Pri výpočte množstva zrážkových vôd pre dimenzovanie kanalizácie je uvažované s návrhovým </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 xml:space="preserve">dažďom s periodicitou p=0,2, s výdatnosťou smerodajného dažďa i = 181l/s.ha pre čas T=15 min. </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ombrografická stanica-Hurbanovo</w:t>
      </w:r>
    </w:p>
    <w:p w:rsidR="00165ED7" w:rsidRPr="00165ED7" w:rsidRDefault="00165ED7" w:rsidP="00165ED7">
      <w:pPr>
        <w:rPr>
          <w:rFonts w:asciiTheme="majorHAnsi" w:hAnsiTheme="majorHAnsi" w:cstheme="majorHAnsi"/>
          <w:sz w:val="20"/>
        </w:rPr>
      </w:pPr>
    </w:p>
    <w:p w:rsidR="00165ED7" w:rsidRPr="00165ED7" w:rsidRDefault="00165ED7" w:rsidP="00165ED7">
      <w:pPr>
        <w:pStyle w:val="Zkladntext"/>
        <w:rPr>
          <w:rFonts w:asciiTheme="majorHAnsi" w:hAnsiTheme="majorHAnsi" w:cstheme="majorHAnsi"/>
        </w:rPr>
      </w:pPr>
      <w:r w:rsidRPr="00165ED7">
        <w:rPr>
          <w:rFonts w:asciiTheme="majorHAnsi" w:hAnsiTheme="majorHAnsi" w:cstheme="majorHAnsi"/>
        </w:rPr>
        <w:t>Odpadové vody dažďové:</w:t>
      </w:r>
    </w:p>
    <w:p w:rsidR="00165ED7" w:rsidRPr="00165ED7" w:rsidRDefault="00165ED7" w:rsidP="00165ED7">
      <w:pPr>
        <w:tabs>
          <w:tab w:val="left" w:pos="2268"/>
          <w:tab w:val="right" w:pos="9072"/>
        </w:tabs>
        <w:rPr>
          <w:rFonts w:asciiTheme="majorHAnsi" w:hAnsiTheme="majorHAnsi" w:cstheme="majorHAnsi"/>
          <w:sz w:val="20"/>
        </w:rPr>
      </w:pPr>
      <w:r w:rsidRPr="00165ED7">
        <w:rPr>
          <w:rFonts w:asciiTheme="majorHAnsi" w:hAnsiTheme="majorHAnsi" w:cstheme="majorHAnsi"/>
          <w:b/>
          <w:sz w:val="20"/>
        </w:rPr>
        <w:sym w:font="Symbol" w:char="F0DE"/>
      </w:r>
      <w:r w:rsidRPr="00165ED7">
        <w:rPr>
          <w:rFonts w:asciiTheme="majorHAnsi" w:hAnsiTheme="majorHAnsi" w:cstheme="majorHAnsi"/>
          <w:sz w:val="20"/>
        </w:rPr>
        <w:t xml:space="preserve"> strechy</w:t>
      </w:r>
      <w:r w:rsidRPr="00165ED7">
        <w:rPr>
          <w:rFonts w:asciiTheme="majorHAnsi" w:hAnsiTheme="majorHAnsi" w:cstheme="majorHAnsi"/>
          <w:sz w:val="20"/>
        </w:rPr>
        <w:tab/>
      </w:r>
      <w:r w:rsidRPr="00165ED7">
        <w:rPr>
          <w:rFonts w:asciiTheme="majorHAnsi" w:hAnsiTheme="majorHAnsi" w:cstheme="majorHAnsi"/>
          <w:sz w:val="20"/>
        </w:rPr>
        <w:tab/>
        <w:t>= 0,0472 ha x 1,0 x 181 l/s.ha =   8,54 l/s</w:t>
      </w:r>
    </w:p>
    <w:p w:rsidR="00165ED7" w:rsidRPr="00165ED7" w:rsidRDefault="00165ED7" w:rsidP="00165ED7">
      <w:pPr>
        <w:tabs>
          <w:tab w:val="left" w:pos="2268"/>
          <w:tab w:val="right" w:pos="9072"/>
        </w:tabs>
        <w:rPr>
          <w:rFonts w:asciiTheme="majorHAnsi" w:hAnsiTheme="majorHAnsi" w:cstheme="majorHAnsi"/>
          <w:sz w:val="20"/>
        </w:rPr>
      </w:pPr>
      <w:r w:rsidRPr="00165ED7">
        <w:rPr>
          <w:rFonts w:asciiTheme="majorHAnsi" w:hAnsiTheme="majorHAnsi" w:cstheme="majorHAnsi"/>
          <w:b/>
          <w:sz w:val="20"/>
        </w:rPr>
        <w:sym w:font="Symbol" w:char="F0DE"/>
      </w:r>
      <w:r w:rsidRPr="00165ED7">
        <w:rPr>
          <w:rFonts w:asciiTheme="majorHAnsi" w:hAnsiTheme="majorHAnsi" w:cstheme="majorHAnsi"/>
          <w:sz w:val="20"/>
        </w:rPr>
        <w:t xml:space="preserve"> spevnené plochy</w:t>
      </w:r>
      <w:r w:rsidRPr="00165ED7">
        <w:rPr>
          <w:rFonts w:asciiTheme="majorHAnsi" w:hAnsiTheme="majorHAnsi" w:cstheme="majorHAnsi"/>
          <w:sz w:val="20"/>
        </w:rPr>
        <w:tab/>
        <w:t xml:space="preserve">                                       </w:t>
      </w:r>
      <w:r w:rsidRPr="00165ED7">
        <w:rPr>
          <w:rFonts w:asciiTheme="majorHAnsi" w:hAnsiTheme="majorHAnsi" w:cstheme="majorHAnsi"/>
          <w:sz w:val="20"/>
        </w:rPr>
        <w:tab/>
        <w:t>=0,0499 ha x 0,8 x 181 l/s.ha =   7,22 l/s</w:t>
      </w:r>
    </w:p>
    <w:p w:rsidR="00165ED7" w:rsidRPr="00165ED7" w:rsidRDefault="00165ED7" w:rsidP="00165ED7">
      <w:pPr>
        <w:tabs>
          <w:tab w:val="left" w:pos="2268"/>
          <w:tab w:val="right" w:pos="9072"/>
        </w:tabs>
        <w:rPr>
          <w:rFonts w:asciiTheme="majorHAnsi" w:hAnsiTheme="majorHAnsi" w:cstheme="majorHAnsi"/>
          <w:sz w:val="20"/>
        </w:rPr>
      </w:pPr>
      <w:r w:rsidRPr="00165ED7">
        <w:rPr>
          <w:rFonts w:asciiTheme="majorHAnsi" w:hAnsiTheme="majorHAnsi" w:cstheme="majorHAnsi"/>
          <w:b/>
          <w:sz w:val="20"/>
        </w:rPr>
        <w:lastRenderedPageBreak/>
        <w:sym w:font="Symbol" w:char="F0DE"/>
      </w:r>
      <w:r w:rsidRPr="00165ED7">
        <w:rPr>
          <w:rFonts w:asciiTheme="majorHAnsi" w:hAnsiTheme="majorHAnsi" w:cstheme="majorHAnsi"/>
          <w:sz w:val="20"/>
        </w:rPr>
        <w:t xml:space="preserve"> zeleň</w:t>
      </w:r>
      <w:r w:rsidRPr="00165ED7">
        <w:rPr>
          <w:rFonts w:asciiTheme="majorHAnsi" w:hAnsiTheme="majorHAnsi" w:cstheme="majorHAnsi"/>
          <w:sz w:val="20"/>
        </w:rPr>
        <w:tab/>
        <w:t xml:space="preserve">                                       </w:t>
      </w:r>
      <w:r w:rsidRPr="00165ED7">
        <w:rPr>
          <w:rFonts w:asciiTheme="majorHAnsi" w:hAnsiTheme="majorHAnsi" w:cstheme="majorHAnsi"/>
          <w:sz w:val="20"/>
        </w:rPr>
        <w:tab/>
        <w:t>=0,0072 ha x 0,05 x 181 l/s.ha =   0,07 l/s</w:t>
      </w:r>
    </w:p>
    <w:p w:rsidR="00165ED7" w:rsidRPr="00165ED7" w:rsidRDefault="00165ED7" w:rsidP="00165ED7">
      <w:pPr>
        <w:tabs>
          <w:tab w:val="left" w:pos="2268"/>
          <w:tab w:val="right" w:pos="9072"/>
        </w:tabs>
        <w:rPr>
          <w:rFonts w:asciiTheme="majorHAnsi" w:hAnsiTheme="majorHAnsi" w:cstheme="majorHAnsi"/>
          <w:b/>
          <w:sz w:val="20"/>
          <w:u w:val="single"/>
        </w:rPr>
      </w:pPr>
      <w:r w:rsidRPr="00165ED7">
        <w:rPr>
          <w:rFonts w:asciiTheme="majorHAnsi" w:hAnsiTheme="majorHAnsi" w:cstheme="majorHAnsi"/>
          <w:b/>
          <w:sz w:val="20"/>
        </w:rPr>
        <w:sym w:font="Symbol" w:char="F0DE"/>
      </w:r>
      <w:r w:rsidRPr="00165ED7">
        <w:rPr>
          <w:rFonts w:asciiTheme="majorHAnsi" w:hAnsiTheme="majorHAnsi" w:cstheme="majorHAnsi"/>
          <w:b/>
          <w:sz w:val="20"/>
        </w:rPr>
        <w:t xml:space="preserve"> spolu</w:t>
      </w:r>
      <w:r w:rsidRPr="00165ED7">
        <w:rPr>
          <w:rFonts w:asciiTheme="majorHAnsi" w:hAnsiTheme="majorHAnsi" w:cstheme="majorHAnsi"/>
          <w:b/>
          <w:sz w:val="20"/>
        </w:rPr>
        <w:tab/>
      </w:r>
      <w:r w:rsidRPr="00165ED7">
        <w:rPr>
          <w:rFonts w:asciiTheme="majorHAnsi" w:hAnsiTheme="majorHAnsi" w:cstheme="majorHAnsi"/>
          <w:b/>
          <w:sz w:val="20"/>
        </w:rPr>
        <w:tab/>
      </w:r>
      <w:r w:rsidRPr="00165ED7">
        <w:rPr>
          <w:rFonts w:asciiTheme="majorHAnsi" w:hAnsiTheme="majorHAnsi" w:cstheme="majorHAnsi"/>
          <w:b/>
          <w:sz w:val="20"/>
          <w:u w:val="single"/>
        </w:rPr>
        <w:t>=   15,83 l/s</w:t>
      </w:r>
    </w:p>
    <w:p w:rsidR="00165ED7" w:rsidRPr="00165ED7" w:rsidRDefault="00165ED7" w:rsidP="00165ED7">
      <w:pPr>
        <w:pStyle w:val="Zkladntext25"/>
        <w:ind w:left="720"/>
        <w:rPr>
          <w:rFonts w:asciiTheme="majorHAnsi" w:hAnsiTheme="majorHAnsi" w:cstheme="majorHAnsi"/>
          <w:b/>
          <w:sz w:val="20"/>
          <w:lang w:val="sk-SK"/>
        </w:rPr>
      </w:pPr>
    </w:p>
    <w:p w:rsidR="00165ED7" w:rsidRPr="00165ED7" w:rsidRDefault="00165ED7" w:rsidP="00165ED7">
      <w:pPr>
        <w:pStyle w:val="Nadpis2"/>
        <w:numPr>
          <w:ilvl w:val="0"/>
          <w:numId w:val="0"/>
        </w:numPr>
        <w:spacing w:before="0" w:after="0"/>
        <w:rPr>
          <w:rFonts w:asciiTheme="majorHAnsi" w:hAnsiTheme="majorHAnsi" w:cstheme="majorHAnsi"/>
          <w:szCs w:val="20"/>
        </w:rPr>
      </w:pPr>
      <w:r w:rsidRPr="00165ED7">
        <w:rPr>
          <w:rFonts w:asciiTheme="majorHAnsi" w:hAnsiTheme="majorHAnsi" w:cstheme="majorHAnsi"/>
          <w:szCs w:val="20"/>
        </w:rPr>
        <w:t>Objekty na potrubí</w:t>
      </w:r>
    </w:p>
    <w:p w:rsidR="00165ED7" w:rsidRPr="00165ED7" w:rsidRDefault="00165ED7" w:rsidP="00165ED7">
      <w:pPr>
        <w:rPr>
          <w:rFonts w:asciiTheme="majorHAnsi" w:hAnsiTheme="majorHAnsi" w:cstheme="majorHAnsi"/>
          <w:sz w:val="20"/>
        </w:rPr>
      </w:pPr>
    </w:p>
    <w:p w:rsidR="00165ED7" w:rsidRPr="00165ED7" w:rsidRDefault="00165ED7" w:rsidP="00165ED7">
      <w:pPr>
        <w:ind w:firstLine="720"/>
        <w:contextualSpacing/>
        <w:rPr>
          <w:rFonts w:asciiTheme="majorHAnsi" w:hAnsiTheme="majorHAnsi" w:cstheme="majorHAnsi"/>
          <w:sz w:val="20"/>
        </w:rPr>
      </w:pPr>
      <w:r w:rsidRPr="00165ED7">
        <w:rPr>
          <w:rFonts w:asciiTheme="majorHAnsi" w:hAnsiTheme="majorHAnsi" w:cstheme="majorHAnsi"/>
          <w:sz w:val="20"/>
        </w:rPr>
        <w:t>Vybavenie objektu kanalizácie sa uvažuje štandardnými objektami v súlade s STN 75 6101 a STN 75 6100 EN 752 potrebnými k jej bezporuchovej prevádzke a revízii.</w:t>
      </w:r>
    </w:p>
    <w:p w:rsidR="00165ED7" w:rsidRPr="00165ED7" w:rsidRDefault="00165ED7" w:rsidP="00165ED7">
      <w:pPr>
        <w:contextualSpacing/>
        <w:rPr>
          <w:rFonts w:asciiTheme="majorHAnsi" w:hAnsiTheme="majorHAnsi" w:cstheme="majorHAnsi"/>
          <w:sz w:val="20"/>
        </w:rPr>
      </w:pPr>
    </w:p>
    <w:p w:rsidR="00165ED7" w:rsidRPr="00165ED7" w:rsidRDefault="00165ED7" w:rsidP="00165ED7">
      <w:pPr>
        <w:pStyle w:val="hruba"/>
        <w:rPr>
          <w:rFonts w:asciiTheme="majorHAnsi" w:hAnsiTheme="majorHAnsi" w:cstheme="majorHAnsi"/>
          <w:b w:val="0"/>
          <w:noProof w:val="0"/>
          <w:sz w:val="20"/>
        </w:rPr>
      </w:pPr>
      <w:r w:rsidRPr="00165ED7">
        <w:rPr>
          <w:rFonts w:asciiTheme="majorHAnsi" w:hAnsiTheme="majorHAnsi" w:cstheme="majorHAnsi"/>
          <w:noProof w:val="0"/>
          <w:sz w:val="20"/>
        </w:rPr>
        <w:t>Revízne a lomové šachty, filtračné šachty</w:t>
      </w:r>
      <w:r w:rsidRPr="00165ED7">
        <w:rPr>
          <w:rFonts w:asciiTheme="majorHAnsi" w:hAnsiTheme="majorHAnsi" w:cstheme="majorHAnsi"/>
          <w:b w:val="0"/>
          <w:noProof w:val="0"/>
          <w:sz w:val="20"/>
        </w:rPr>
        <w:t xml:space="preserve">: V miestach zmeny smeru alebo sklonu priamych úsekov stôk sú navrhnuté vstupné (revízne) šachty, pričom bude rešpektovaná ich maximálna vzdialenosť </w:t>
      </w:r>
      <w:smartTag w:uri="urn:schemas-microsoft-com:office:smarttags" w:element="metricconverter">
        <w:smartTagPr>
          <w:attr w:name="ProductID" w:val="50 m"/>
        </w:smartTagPr>
        <w:r w:rsidRPr="00165ED7">
          <w:rPr>
            <w:rFonts w:asciiTheme="majorHAnsi" w:hAnsiTheme="majorHAnsi" w:cstheme="majorHAnsi"/>
            <w:b w:val="0"/>
            <w:noProof w:val="0"/>
            <w:sz w:val="20"/>
          </w:rPr>
          <w:t>50 m</w:t>
        </w:r>
      </w:smartTag>
      <w:r w:rsidRPr="00165ED7">
        <w:rPr>
          <w:rFonts w:asciiTheme="majorHAnsi" w:hAnsiTheme="majorHAnsi" w:cstheme="majorHAnsi"/>
          <w:b w:val="0"/>
          <w:noProof w:val="0"/>
          <w:sz w:val="20"/>
        </w:rPr>
        <w:t>.</w:t>
      </w:r>
    </w:p>
    <w:p w:rsidR="00165ED7" w:rsidRPr="00165ED7" w:rsidRDefault="00165ED7" w:rsidP="00165ED7">
      <w:pPr>
        <w:pStyle w:val="Zkladntext"/>
        <w:tabs>
          <w:tab w:val="left" w:pos="567"/>
          <w:tab w:val="left" w:pos="1560"/>
          <w:tab w:val="right" w:pos="3969"/>
          <w:tab w:val="right" w:pos="4253"/>
        </w:tabs>
        <w:rPr>
          <w:rFonts w:asciiTheme="majorHAnsi" w:hAnsiTheme="majorHAnsi" w:cstheme="majorHAnsi"/>
          <w:lang w:val="sk-SK"/>
        </w:rPr>
      </w:pPr>
      <w:r w:rsidRPr="00165ED7">
        <w:rPr>
          <w:rFonts w:asciiTheme="majorHAnsi" w:hAnsiTheme="majorHAnsi" w:cstheme="majorHAnsi"/>
          <w:lang w:val="sk-SK"/>
        </w:rPr>
        <w:tab/>
        <w:t xml:space="preserve">Vstupná šachta sa skladá z dna a vstupného komína, ktorý je opatrený šachtovým poklopom záťažovej kategórie D400. Šachtové dná sú navrhnuté z prefabrikovaného vodostavebného betónu HV4 C35/45. Vnútorný priestor šachtového dna má kruhový tvar o priemere </w:t>
      </w:r>
      <w:smartTag w:uri="urn:schemas-microsoft-com:office:smarttags" w:element="metricconverter">
        <w:smartTagPr>
          <w:attr w:name="ProductID" w:val="1000 mm"/>
        </w:smartTagPr>
        <w:r w:rsidRPr="00165ED7">
          <w:rPr>
            <w:rFonts w:asciiTheme="majorHAnsi" w:hAnsiTheme="majorHAnsi" w:cstheme="majorHAnsi"/>
            <w:lang w:val="sk-SK"/>
          </w:rPr>
          <w:t>1000 mm</w:t>
        </w:r>
      </w:smartTag>
      <w:r w:rsidRPr="00165ED7">
        <w:rPr>
          <w:rFonts w:asciiTheme="majorHAnsi" w:hAnsiTheme="majorHAnsi" w:cstheme="majorHAnsi"/>
          <w:lang w:val="sk-SK"/>
        </w:rPr>
        <w:t xml:space="preserve">, pričom súčasťou šachtového dna je i kyneta zabezpečujúca požadovaný smer toku odpadových vôd. </w:t>
      </w:r>
    </w:p>
    <w:p w:rsidR="00165ED7" w:rsidRPr="00165ED7" w:rsidRDefault="00165ED7" w:rsidP="00165ED7">
      <w:pPr>
        <w:pStyle w:val="Zkladntext"/>
        <w:tabs>
          <w:tab w:val="left" w:pos="567"/>
          <w:tab w:val="right" w:pos="3969"/>
        </w:tabs>
        <w:rPr>
          <w:rFonts w:asciiTheme="majorHAnsi" w:hAnsiTheme="majorHAnsi" w:cstheme="majorHAnsi"/>
          <w:lang w:val="sk-SK"/>
        </w:rPr>
      </w:pPr>
      <w:r w:rsidRPr="00165ED7">
        <w:rPr>
          <w:rFonts w:asciiTheme="majorHAnsi" w:hAnsiTheme="majorHAnsi" w:cstheme="majorHAnsi"/>
          <w:lang w:val="sk-SK"/>
        </w:rPr>
        <w:tab/>
        <w:t xml:space="preserve">Na šachtové dno sa osadí vstupný komín. Vyskladá sa z prefabrikovaných šachtových skruží. Šachtové skruže TBS sú kruhové s vnútorným priemerom </w:t>
      </w:r>
      <w:smartTag w:uri="urn:schemas-microsoft-com:office:smarttags" w:element="metricconverter">
        <w:smartTagPr>
          <w:attr w:name="ProductID" w:val="1000 mm"/>
        </w:smartTagPr>
        <w:r w:rsidRPr="00165ED7">
          <w:rPr>
            <w:rFonts w:asciiTheme="majorHAnsi" w:hAnsiTheme="majorHAnsi" w:cstheme="majorHAnsi"/>
            <w:lang w:val="sk-SK"/>
          </w:rPr>
          <w:t>1000 mm</w:t>
        </w:r>
      </w:smartTag>
      <w:r w:rsidRPr="00165ED7">
        <w:rPr>
          <w:rFonts w:asciiTheme="majorHAnsi" w:hAnsiTheme="majorHAnsi" w:cstheme="majorHAnsi"/>
          <w:lang w:val="sk-SK"/>
        </w:rPr>
        <w:t xml:space="preserve"> a výškou 250, 500, resp. </w:t>
      </w:r>
      <w:smartTag w:uri="urn:schemas-microsoft-com:office:smarttags" w:element="metricconverter">
        <w:smartTagPr>
          <w:attr w:name="ProductID" w:val="1000 mm"/>
        </w:smartTagPr>
        <w:r w:rsidRPr="00165ED7">
          <w:rPr>
            <w:rFonts w:asciiTheme="majorHAnsi" w:hAnsiTheme="majorHAnsi" w:cstheme="majorHAnsi"/>
            <w:lang w:val="sk-SK"/>
          </w:rPr>
          <w:t>1000 mm</w:t>
        </w:r>
      </w:smartTag>
      <w:r w:rsidRPr="00165ED7">
        <w:rPr>
          <w:rFonts w:asciiTheme="majorHAnsi" w:hAnsiTheme="majorHAnsi" w:cstheme="majorHAnsi"/>
          <w:lang w:val="sk-SK"/>
        </w:rPr>
        <w:t>. Každá šachta je ukončená šachtovým kónusom TBS 1000/625-SK, na ktorý sa osadí vstupný poklop Ø600. Výšková koordinácia poklopu šachty sa upraví vyrovnávacím prstencom TBS 625/*, ktorý sa osadí pod poklop. Spoje skruží budú utesnené montážnou penou a zatrú sa cementovou, alebo izolačnou maltou. Všetky škáry a praskliny budú vyplnené cementovou maltou. Vstup do šácht budú zabezpečovať stúpačky – najvrchnejšia je kapsová stúpačka v prechodovej kónickej skruži, ďalšie stúpačky v prefabrikovanej časti vstupného komína šachty budú oceľové s polyetylénovým poťahom a tvarom upraveným proti bočnému zošmyknutiu.</w:t>
      </w:r>
    </w:p>
    <w:p w:rsidR="00165ED7" w:rsidRPr="00165ED7" w:rsidRDefault="00165ED7" w:rsidP="00165ED7">
      <w:pPr>
        <w:pStyle w:val="Zkladntext"/>
        <w:tabs>
          <w:tab w:val="left" w:pos="567"/>
          <w:tab w:val="right" w:pos="3969"/>
        </w:tabs>
        <w:rPr>
          <w:rFonts w:asciiTheme="majorHAnsi" w:hAnsiTheme="majorHAnsi" w:cstheme="majorHAnsi"/>
          <w:lang w:val="sk-SK"/>
        </w:rPr>
      </w:pPr>
      <w:r w:rsidRPr="00165ED7">
        <w:rPr>
          <w:rFonts w:asciiTheme="majorHAnsi" w:hAnsiTheme="majorHAnsi" w:cstheme="majorHAnsi"/>
          <w:lang w:val="sk-SK"/>
        </w:rPr>
        <w:t>Filtračné šachty majú znížené dno na zachytenie sedimentov a filtračnú prepážku.</w:t>
      </w:r>
    </w:p>
    <w:p w:rsidR="00165ED7" w:rsidRPr="00165ED7" w:rsidRDefault="00165ED7" w:rsidP="00165ED7">
      <w:pPr>
        <w:pStyle w:val="Zkladntext"/>
        <w:tabs>
          <w:tab w:val="left" w:pos="567"/>
          <w:tab w:val="right" w:pos="3969"/>
        </w:tabs>
        <w:rPr>
          <w:rFonts w:asciiTheme="majorHAnsi" w:hAnsiTheme="majorHAnsi" w:cstheme="majorHAnsi"/>
          <w:lang w:val="sk-SK"/>
        </w:rPr>
      </w:pPr>
    </w:p>
    <w:p w:rsidR="00165ED7" w:rsidRPr="00165ED7" w:rsidRDefault="00165ED7" w:rsidP="00165ED7">
      <w:pPr>
        <w:spacing w:after="120"/>
        <w:ind w:firstLine="720"/>
        <w:rPr>
          <w:rFonts w:asciiTheme="majorHAnsi" w:hAnsiTheme="majorHAnsi" w:cstheme="majorHAnsi"/>
          <w:sz w:val="20"/>
        </w:rPr>
      </w:pPr>
      <w:r w:rsidRPr="00165ED7">
        <w:rPr>
          <w:rFonts w:asciiTheme="majorHAnsi" w:hAnsiTheme="majorHAnsi" w:cstheme="majorHAnsi"/>
          <w:sz w:val="20"/>
        </w:rPr>
        <w:t xml:space="preserve">Niektoré šachty na kanalizačnom potrubí sú  navrhnuté ako plastové polypropylénové Ø 425, prekryté liatinovým pojazdným poklopom Ø 400.  Šachta je opatrená na vtokovej resp. odtokovej časti šachtovou  prechodkou. </w:t>
      </w:r>
    </w:p>
    <w:p w:rsidR="00165ED7" w:rsidRPr="00165ED7" w:rsidRDefault="00165ED7" w:rsidP="00165ED7">
      <w:pPr>
        <w:spacing w:after="120"/>
        <w:ind w:firstLine="720"/>
        <w:rPr>
          <w:rFonts w:asciiTheme="majorHAnsi" w:hAnsiTheme="majorHAnsi" w:cstheme="majorHAnsi"/>
          <w:sz w:val="20"/>
        </w:rPr>
      </w:pPr>
    </w:p>
    <w:p w:rsidR="00165ED7" w:rsidRPr="00165ED7" w:rsidRDefault="00165ED7" w:rsidP="00165ED7">
      <w:pPr>
        <w:rPr>
          <w:rFonts w:asciiTheme="majorHAnsi" w:hAnsiTheme="majorHAnsi" w:cstheme="majorHAnsi"/>
          <w:b/>
          <w:sz w:val="20"/>
        </w:rPr>
      </w:pPr>
      <w:r w:rsidRPr="00165ED7">
        <w:rPr>
          <w:rFonts w:asciiTheme="majorHAnsi" w:hAnsiTheme="majorHAnsi" w:cstheme="majorHAnsi"/>
          <w:b/>
          <w:sz w:val="20"/>
        </w:rPr>
        <w:t>Žumpa</w:t>
      </w:r>
    </w:p>
    <w:p w:rsidR="00165ED7" w:rsidRPr="00165ED7" w:rsidRDefault="00165ED7" w:rsidP="00165ED7">
      <w:pPr>
        <w:ind w:firstLine="567"/>
        <w:rPr>
          <w:rFonts w:asciiTheme="majorHAnsi" w:hAnsiTheme="majorHAnsi" w:cstheme="majorHAnsi"/>
          <w:sz w:val="20"/>
        </w:rPr>
      </w:pPr>
      <w:r w:rsidRPr="00165ED7">
        <w:rPr>
          <w:rFonts w:asciiTheme="majorHAnsi" w:hAnsiTheme="majorHAnsi" w:cstheme="majorHAnsi"/>
          <w:sz w:val="20"/>
        </w:rPr>
        <w:t xml:space="preserve">Žumpa je podzemná prefabrikovaná vodotesná nádrž. Montuje sa  na vopred pripravený spevnený podklad pozostávajúci z podkladového betónu hr. min. 15 cm (hrúbku betónu a výstuž je potrebné navrhnúť statikom podľa miestnych geologických pomerov) a pieskového lôžka fr. 0 – 4 mm v hrúbke 5 až 10 cm. </w:t>
      </w:r>
    </w:p>
    <w:p w:rsidR="00165ED7" w:rsidRPr="00165ED7" w:rsidRDefault="00165ED7" w:rsidP="00165ED7">
      <w:pPr>
        <w:ind w:firstLine="567"/>
        <w:rPr>
          <w:rFonts w:asciiTheme="majorHAnsi" w:hAnsiTheme="majorHAnsi" w:cstheme="majorHAnsi"/>
          <w:sz w:val="20"/>
        </w:rPr>
      </w:pPr>
    </w:p>
    <w:p w:rsidR="00165ED7" w:rsidRPr="00165ED7" w:rsidRDefault="00165ED7" w:rsidP="00165ED7">
      <w:pPr>
        <w:rPr>
          <w:rFonts w:asciiTheme="majorHAnsi" w:hAnsiTheme="majorHAnsi" w:cstheme="majorHAnsi"/>
          <w:sz w:val="20"/>
        </w:rPr>
      </w:pPr>
      <w:r w:rsidRPr="00165ED7">
        <w:rPr>
          <w:rFonts w:asciiTheme="majorHAnsi" w:hAnsiTheme="majorHAnsi" w:cstheme="majorHAnsi"/>
          <w:b/>
          <w:sz w:val="20"/>
        </w:rPr>
        <w:t>SO 09  Požiarna nádrž</w:t>
      </w:r>
      <w:r w:rsidRPr="00165ED7">
        <w:rPr>
          <w:rFonts w:asciiTheme="majorHAnsi" w:hAnsiTheme="majorHAnsi" w:cstheme="majorHAnsi"/>
          <w:b/>
          <w:sz w:val="20"/>
        </w:rPr>
        <w:br/>
      </w:r>
      <w:r w:rsidRPr="00165ED7">
        <w:rPr>
          <w:rFonts w:asciiTheme="majorHAnsi" w:hAnsiTheme="majorHAnsi" w:cstheme="majorHAnsi"/>
          <w:sz w:val="20"/>
        </w:rPr>
        <w:t>Navrhnutá prefabrikovaná požiarna nádrž bude slúžiť ako zdroj vody pri zásahu požiarnych jednotiek pri požiari. Bude umiestnená pod terénom mimo požiarne nebezpečného priestoru. Dopĺňanie vody do požiarnej nádrže bude pomocou plaváku, ktorý otvorí ventil pri poklese hladiny vody v nádrži pri poklese hladiny v nádrži. Dopĺňanie vody bude napojením prípojkou, potrubím DN32.</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Navrhnutá je prefabrikovaná železobetónová nádrž s objemom 22 m</w:t>
      </w:r>
      <w:r w:rsidRPr="00165ED7">
        <w:rPr>
          <w:rFonts w:asciiTheme="majorHAnsi" w:hAnsiTheme="majorHAnsi" w:cstheme="majorHAnsi"/>
          <w:sz w:val="20"/>
          <w:vertAlign w:val="superscript"/>
        </w:rPr>
        <w:t>3</w:t>
      </w:r>
      <w:r w:rsidRPr="00165ED7">
        <w:rPr>
          <w:rFonts w:asciiTheme="majorHAnsi" w:hAnsiTheme="majorHAnsi" w:cstheme="majorHAnsi"/>
          <w:sz w:val="20"/>
        </w:rPr>
        <w:t>.</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Rozmery nádrže:</w:t>
      </w:r>
    </w:p>
    <w:p w:rsidR="00165ED7" w:rsidRPr="00165ED7" w:rsidRDefault="00165ED7" w:rsidP="00165ED7">
      <w:pPr>
        <w:pStyle w:val="Odsekzoznamu"/>
        <w:numPr>
          <w:ilvl w:val="0"/>
          <w:numId w:val="41"/>
        </w:numPr>
        <w:rPr>
          <w:rFonts w:asciiTheme="majorHAnsi" w:hAnsiTheme="majorHAnsi" w:cstheme="majorHAnsi"/>
          <w:sz w:val="20"/>
          <w:szCs w:val="20"/>
        </w:rPr>
      </w:pPr>
      <w:r w:rsidRPr="00165ED7">
        <w:rPr>
          <w:rFonts w:asciiTheme="majorHAnsi" w:hAnsiTheme="majorHAnsi" w:cstheme="majorHAnsi"/>
          <w:sz w:val="20"/>
          <w:szCs w:val="20"/>
        </w:rPr>
        <w:t>Dĺžka:  4 000 mm</w:t>
      </w:r>
    </w:p>
    <w:p w:rsidR="00165ED7" w:rsidRPr="00165ED7" w:rsidRDefault="00165ED7" w:rsidP="00165ED7">
      <w:pPr>
        <w:pStyle w:val="Odsekzoznamu"/>
        <w:numPr>
          <w:ilvl w:val="0"/>
          <w:numId w:val="41"/>
        </w:numPr>
        <w:rPr>
          <w:rFonts w:asciiTheme="majorHAnsi" w:hAnsiTheme="majorHAnsi" w:cstheme="majorHAnsi"/>
          <w:sz w:val="20"/>
          <w:szCs w:val="20"/>
        </w:rPr>
      </w:pPr>
      <w:r w:rsidRPr="00165ED7">
        <w:rPr>
          <w:rFonts w:asciiTheme="majorHAnsi" w:hAnsiTheme="majorHAnsi" w:cstheme="majorHAnsi"/>
          <w:sz w:val="20"/>
          <w:szCs w:val="20"/>
        </w:rPr>
        <w:t>Šírka:   3 600 mm</w:t>
      </w:r>
    </w:p>
    <w:p w:rsidR="00165ED7" w:rsidRPr="00165ED7" w:rsidRDefault="00165ED7" w:rsidP="00165ED7">
      <w:pPr>
        <w:pStyle w:val="Odsekzoznamu"/>
        <w:numPr>
          <w:ilvl w:val="0"/>
          <w:numId w:val="41"/>
        </w:numPr>
        <w:rPr>
          <w:rFonts w:asciiTheme="majorHAnsi" w:hAnsiTheme="majorHAnsi" w:cstheme="majorHAnsi"/>
          <w:sz w:val="20"/>
          <w:szCs w:val="20"/>
        </w:rPr>
      </w:pPr>
      <w:r w:rsidRPr="00165ED7">
        <w:rPr>
          <w:rFonts w:asciiTheme="majorHAnsi" w:hAnsiTheme="majorHAnsi" w:cstheme="majorHAnsi"/>
          <w:sz w:val="20"/>
          <w:szCs w:val="20"/>
        </w:rPr>
        <w:t>Výška:  2 600 mm</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 xml:space="preserve">Vstup do nádrže je cez dva revízne otvory priemeru 600 mm. Nádrž musí byť osadená na podkladný betón hrúbky 150 mm, ktorý bude uložený na štrkovom násype.  </w:t>
      </w:r>
    </w:p>
    <w:p w:rsidR="00165ED7" w:rsidRPr="00165ED7" w:rsidRDefault="00165ED7" w:rsidP="00165ED7">
      <w:pPr>
        <w:pStyle w:val="Zkladntext"/>
        <w:tabs>
          <w:tab w:val="left" w:pos="567"/>
          <w:tab w:val="right" w:pos="3969"/>
        </w:tabs>
        <w:rPr>
          <w:rFonts w:asciiTheme="majorHAnsi" w:hAnsiTheme="majorHAnsi" w:cstheme="majorHAnsi"/>
          <w:lang w:val="sk-SK"/>
        </w:rPr>
      </w:pPr>
    </w:p>
    <w:p w:rsidR="00165ED7" w:rsidRPr="00165ED7" w:rsidRDefault="00165ED7" w:rsidP="00165ED7">
      <w:pPr>
        <w:pStyle w:val="Zkladntext"/>
        <w:tabs>
          <w:tab w:val="left" w:pos="567"/>
          <w:tab w:val="right" w:pos="3969"/>
        </w:tabs>
        <w:rPr>
          <w:rFonts w:asciiTheme="majorHAnsi" w:hAnsiTheme="majorHAnsi" w:cstheme="majorHAnsi"/>
          <w:lang w:val="sk-SK"/>
        </w:rPr>
      </w:pPr>
    </w:p>
    <w:p w:rsidR="00165ED7" w:rsidRPr="00165ED7" w:rsidRDefault="00165ED7" w:rsidP="00165ED7">
      <w:pPr>
        <w:pStyle w:val="Nadpis1"/>
      </w:pPr>
      <w:r w:rsidRPr="00165ED7">
        <w:t>Zemné - výkopové práce.</w:t>
      </w:r>
    </w:p>
    <w:p w:rsidR="00165ED7" w:rsidRPr="00165ED7" w:rsidRDefault="00165ED7" w:rsidP="00165ED7">
      <w:pPr>
        <w:pStyle w:val="Zkladntext"/>
        <w:ind w:firstLine="720"/>
        <w:rPr>
          <w:rFonts w:asciiTheme="majorHAnsi" w:hAnsiTheme="majorHAnsi" w:cstheme="majorHAnsi"/>
        </w:rPr>
      </w:pPr>
      <w:r w:rsidRPr="00165ED7">
        <w:rPr>
          <w:rFonts w:asciiTheme="majorHAnsi" w:hAnsiTheme="majorHAnsi" w:cstheme="majorHAnsi"/>
        </w:rPr>
        <w:t xml:space="preserve">Pred zahájením zemných prác v jednotlivých úsekoch treba požiadať majiteľov podzemných vedení o ich presné vytýčenie v teréne a v mieste predpokladaného križovania zemné práce vykonávať opatrne ručne a odkryté vedenia riadne zaistiť. V každom prípade treba zachovať všetky bezpečnostné predpisy a opatrenia, aby sa predišlo prípadnému ublíženiu na zdraví osôb zúčastnených na stavbe. Zvlášť treba zabezpečiť stavbu počas doby, keď sa výstavba kanalizácie nevykonáva (víkendy, noc, sviatky </w:t>
      </w:r>
      <w:proofErr w:type="gramStart"/>
      <w:r w:rsidRPr="00165ED7">
        <w:rPr>
          <w:rFonts w:asciiTheme="majorHAnsi" w:hAnsiTheme="majorHAnsi" w:cstheme="majorHAnsi"/>
        </w:rPr>
        <w:t>a pod.</w:t>
      </w:r>
      <w:proofErr w:type="gramEnd"/>
      <w:r w:rsidRPr="00165ED7">
        <w:rPr>
          <w:rFonts w:asciiTheme="majorHAnsi" w:hAnsiTheme="majorHAnsi" w:cstheme="majorHAnsi"/>
        </w:rPr>
        <w:t>).</w:t>
      </w:r>
    </w:p>
    <w:p w:rsidR="00165ED7" w:rsidRPr="00165ED7" w:rsidRDefault="00165ED7" w:rsidP="00165ED7">
      <w:pPr>
        <w:pStyle w:val="Zarkazkladnhotextu"/>
        <w:spacing w:after="0"/>
        <w:ind w:left="0"/>
        <w:rPr>
          <w:rFonts w:asciiTheme="majorHAnsi" w:hAnsiTheme="majorHAnsi" w:cstheme="majorHAnsi"/>
          <w:sz w:val="20"/>
        </w:rPr>
      </w:pPr>
      <w:r w:rsidRPr="00165ED7">
        <w:rPr>
          <w:rFonts w:asciiTheme="majorHAnsi" w:hAnsiTheme="majorHAnsi" w:cstheme="majorHAnsi"/>
          <w:sz w:val="20"/>
        </w:rPr>
        <w:lastRenderedPageBreak/>
        <w:t>Výkopové práce sa budú v zásade vykonávať strojne mimo úsekov križovaní resp. tesných súbehov s podzemnými vedeniami, kde bude potrebné výkopy realizovať ručne. Všetky ryhy budú zabezpečené obojstranným zvislým pažením.</w:t>
      </w:r>
    </w:p>
    <w:p w:rsidR="00165ED7" w:rsidRPr="00165ED7" w:rsidRDefault="00165ED7" w:rsidP="00165ED7">
      <w:pPr>
        <w:pStyle w:val="Zarkazkladnhotextu"/>
        <w:spacing w:after="0"/>
        <w:ind w:left="0" w:firstLine="720"/>
        <w:rPr>
          <w:rFonts w:asciiTheme="majorHAnsi" w:hAnsiTheme="majorHAnsi" w:cstheme="majorHAnsi"/>
          <w:sz w:val="20"/>
        </w:rPr>
      </w:pPr>
      <w:r w:rsidRPr="00165ED7">
        <w:rPr>
          <w:rFonts w:asciiTheme="majorHAnsi" w:hAnsiTheme="majorHAnsi" w:cstheme="majorHAnsi"/>
          <w:sz w:val="20"/>
        </w:rPr>
        <w:t>Zásyp rýh v nespevnených plochách a v miestnych komunikáciách bude realizovaný triedenou nesúdržnou zeminou z výkopku, pokiaľ bude zemina spĺňať podmienky použitia na tento účel. V prípade výskytu hladiny podzemnej vody nad úroveň dna vykopanej ryhy, bude potrebné v dne ryhy uložiť jednostrannú drenáž.</w:t>
      </w:r>
    </w:p>
    <w:p w:rsidR="00165ED7" w:rsidRPr="00165ED7" w:rsidRDefault="00165ED7" w:rsidP="00165ED7">
      <w:pPr>
        <w:pStyle w:val="Zarkazkladnhotextu"/>
        <w:spacing w:after="0"/>
        <w:ind w:left="0" w:firstLine="720"/>
        <w:rPr>
          <w:rFonts w:asciiTheme="majorHAnsi" w:hAnsiTheme="majorHAnsi" w:cstheme="majorHAnsi"/>
          <w:sz w:val="20"/>
        </w:rPr>
      </w:pPr>
      <w:r w:rsidRPr="00165ED7">
        <w:rPr>
          <w:rFonts w:asciiTheme="majorHAnsi" w:hAnsiTheme="majorHAnsi" w:cstheme="majorHAnsi"/>
          <w:sz w:val="20"/>
        </w:rPr>
        <w:t>Výkopová zemina z rýh a stavebných jám sa bude odvážať a ukladať na dočasné skládky (medziskládky).</w:t>
      </w:r>
    </w:p>
    <w:p w:rsidR="00165ED7" w:rsidRPr="00165ED7" w:rsidRDefault="00165ED7" w:rsidP="00165ED7">
      <w:pPr>
        <w:ind w:firstLine="720"/>
        <w:contextualSpacing/>
        <w:rPr>
          <w:rFonts w:asciiTheme="majorHAnsi" w:hAnsiTheme="majorHAnsi" w:cstheme="majorHAnsi"/>
          <w:sz w:val="20"/>
        </w:rPr>
      </w:pPr>
      <w:r w:rsidRPr="00165ED7">
        <w:rPr>
          <w:rFonts w:asciiTheme="majorHAnsi" w:hAnsiTheme="majorHAnsi" w:cstheme="majorHAnsi"/>
          <w:sz w:val="20"/>
        </w:rPr>
        <w:t>Po ukončení zásypu ryhy sa vykoná spätná úprava poškodených povrchov cestných komunikácií, chodníkov a ostatných spevnených plôch.</w:t>
      </w:r>
    </w:p>
    <w:p w:rsidR="00165ED7" w:rsidRPr="00165ED7" w:rsidRDefault="00165ED7" w:rsidP="00165ED7">
      <w:pPr>
        <w:ind w:firstLine="720"/>
        <w:contextualSpacing/>
        <w:rPr>
          <w:rFonts w:asciiTheme="majorHAnsi" w:hAnsiTheme="majorHAnsi" w:cstheme="majorHAnsi"/>
          <w:sz w:val="20"/>
        </w:rPr>
      </w:pPr>
      <w:r w:rsidRPr="00165ED7">
        <w:rPr>
          <w:rFonts w:asciiTheme="majorHAnsi" w:hAnsiTheme="majorHAnsi" w:cstheme="majorHAnsi"/>
          <w:sz w:val="20"/>
        </w:rPr>
        <w:t xml:space="preserve">Zemné práce sa budú vykonávať v nadväznosti na ustanovenia STN 73 </w:t>
      </w:r>
      <w:smartTag w:uri="urn:schemas-microsoft-com:office:smarttags" w:element="metricconverter">
        <w:smartTagPr>
          <w:attr w:name="ProductID" w:val="3050 a"/>
        </w:smartTagPr>
        <w:r w:rsidRPr="00165ED7">
          <w:rPr>
            <w:rFonts w:asciiTheme="majorHAnsi" w:hAnsiTheme="majorHAnsi" w:cstheme="majorHAnsi"/>
            <w:sz w:val="20"/>
          </w:rPr>
          <w:t>3050 a</w:t>
        </w:r>
      </w:smartTag>
      <w:r w:rsidRPr="00165ED7">
        <w:rPr>
          <w:rFonts w:asciiTheme="majorHAnsi" w:hAnsiTheme="majorHAnsi" w:cstheme="majorHAnsi"/>
          <w:sz w:val="20"/>
        </w:rPr>
        <w:t xml:space="preserve"> STN EN 1610  75 6910.</w:t>
      </w:r>
    </w:p>
    <w:p w:rsidR="00165ED7" w:rsidRPr="00165ED7" w:rsidRDefault="00165ED7" w:rsidP="00165ED7">
      <w:pPr>
        <w:contextualSpacing/>
        <w:rPr>
          <w:rFonts w:asciiTheme="majorHAnsi" w:hAnsiTheme="majorHAnsi" w:cstheme="majorHAnsi"/>
          <w:b/>
          <w:sz w:val="20"/>
        </w:rPr>
      </w:pPr>
    </w:p>
    <w:p w:rsidR="00165ED7" w:rsidRPr="00165ED7" w:rsidRDefault="00165ED7" w:rsidP="00165ED7">
      <w:pPr>
        <w:contextualSpacing/>
        <w:rPr>
          <w:rFonts w:asciiTheme="majorHAnsi" w:hAnsiTheme="majorHAnsi" w:cstheme="majorHAnsi"/>
          <w:b/>
          <w:sz w:val="20"/>
        </w:rPr>
      </w:pPr>
      <w:r w:rsidRPr="00165ED7">
        <w:rPr>
          <w:rFonts w:asciiTheme="majorHAnsi" w:hAnsiTheme="majorHAnsi" w:cstheme="majorHAnsi"/>
          <w:b/>
          <w:sz w:val="20"/>
        </w:rPr>
        <w:t>Počas realizácie dôjde ku súbehu alebo križovaniu s nasledujúcimi vedeniami :</w:t>
      </w:r>
    </w:p>
    <w:p w:rsidR="00165ED7" w:rsidRPr="00165ED7" w:rsidRDefault="00165ED7" w:rsidP="00165ED7">
      <w:pPr>
        <w:contextualSpacing/>
        <w:rPr>
          <w:rFonts w:asciiTheme="majorHAnsi" w:hAnsiTheme="majorHAnsi" w:cstheme="majorHAnsi"/>
          <w:sz w:val="20"/>
        </w:rPr>
      </w:pPr>
    </w:p>
    <w:p w:rsidR="00165ED7" w:rsidRPr="00165ED7" w:rsidRDefault="00165ED7" w:rsidP="001E7B38">
      <w:pPr>
        <w:numPr>
          <w:ilvl w:val="0"/>
          <w:numId w:val="66"/>
        </w:numPr>
        <w:overflowPunct w:val="0"/>
        <w:autoSpaceDE w:val="0"/>
        <w:autoSpaceDN w:val="0"/>
        <w:adjustRightInd w:val="0"/>
        <w:contextualSpacing/>
        <w:jc w:val="both"/>
        <w:textAlignment w:val="baseline"/>
        <w:rPr>
          <w:rFonts w:asciiTheme="majorHAnsi" w:hAnsiTheme="majorHAnsi" w:cstheme="majorHAnsi"/>
          <w:sz w:val="20"/>
        </w:rPr>
      </w:pPr>
      <w:r w:rsidRPr="00165ED7">
        <w:rPr>
          <w:rFonts w:asciiTheme="majorHAnsi" w:hAnsiTheme="majorHAnsi" w:cstheme="majorHAnsi"/>
          <w:sz w:val="20"/>
        </w:rPr>
        <w:t>telekomunikačné podzemné káble</w:t>
      </w:r>
    </w:p>
    <w:p w:rsidR="00165ED7" w:rsidRPr="00165ED7" w:rsidRDefault="00165ED7" w:rsidP="001E7B38">
      <w:pPr>
        <w:numPr>
          <w:ilvl w:val="0"/>
          <w:numId w:val="66"/>
        </w:numPr>
        <w:overflowPunct w:val="0"/>
        <w:autoSpaceDE w:val="0"/>
        <w:autoSpaceDN w:val="0"/>
        <w:adjustRightInd w:val="0"/>
        <w:contextualSpacing/>
        <w:jc w:val="both"/>
        <w:textAlignment w:val="baseline"/>
        <w:rPr>
          <w:rFonts w:asciiTheme="majorHAnsi" w:hAnsiTheme="majorHAnsi" w:cstheme="majorHAnsi"/>
          <w:sz w:val="20"/>
        </w:rPr>
      </w:pPr>
      <w:r w:rsidRPr="00165ED7">
        <w:rPr>
          <w:rFonts w:asciiTheme="majorHAnsi" w:hAnsiTheme="majorHAnsi" w:cstheme="majorHAnsi"/>
          <w:sz w:val="20"/>
        </w:rPr>
        <w:t xml:space="preserve">navrhované vedenia: </w:t>
      </w:r>
    </w:p>
    <w:p w:rsidR="00165ED7" w:rsidRPr="00165ED7" w:rsidRDefault="00165ED7" w:rsidP="00165ED7">
      <w:pPr>
        <w:ind w:left="1069"/>
        <w:contextualSpacing/>
        <w:rPr>
          <w:rFonts w:asciiTheme="majorHAnsi" w:hAnsiTheme="majorHAnsi" w:cstheme="majorHAnsi"/>
          <w:sz w:val="20"/>
        </w:rPr>
      </w:pPr>
      <w:r w:rsidRPr="00165ED7">
        <w:rPr>
          <w:rFonts w:asciiTheme="majorHAnsi" w:hAnsiTheme="majorHAnsi" w:cstheme="majorHAnsi"/>
          <w:sz w:val="20"/>
        </w:rPr>
        <w:tab/>
      </w:r>
      <w:r w:rsidRPr="00165ED7">
        <w:rPr>
          <w:rFonts w:asciiTheme="majorHAnsi" w:hAnsiTheme="majorHAnsi" w:cstheme="majorHAnsi"/>
          <w:sz w:val="20"/>
        </w:rPr>
        <w:tab/>
        <w:t>- areálová jednotná kanalizácia</w:t>
      </w:r>
    </w:p>
    <w:p w:rsidR="00165ED7" w:rsidRPr="00165ED7" w:rsidRDefault="00165ED7" w:rsidP="00165ED7">
      <w:pPr>
        <w:ind w:left="2149" w:firstLine="11"/>
        <w:contextualSpacing/>
        <w:rPr>
          <w:rFonts w:asciiTheme="majorHAnsi" w:hAnsiTheme="majorHAnsi" w:cstheme="majorHAnsi"/>
          <w:sz w:val="20"/>
        </w:rPr>
      </w:pPr>
      <w:r w:rsidRPr="00165ED7">
        <w:rPr>
          <w:rFonts w:asciiTheme="majorHAnsi" w:hAnsiTheme="majorHAnsi" w:cstheme="majorHAnsi"/>
          <w:sz w:val="20"/>
        </w:rPr>
        <w:t>- areálový pitný vodovod</w:t>
      </w:r>
    </w:p>
    <w:p w:rsidR="00165ED7" w:rsidRPr="00165ED7" w:rsidRDefault="00165ED7" w:rsidP="00165ED7">
      <w:pPr>
        <w:ind w:left="2149" w:firstLine="11"/>
        <w:contextualSpacing/>
        <w:rPr>
          <w:rFonts w:asciiTheme="majorHAnsi" w:hAnsiTheme="majorHAnsi" w:cstheme="majorHAnsi"/>
          <w:sz w:val="20"/>
        </w:rPr>
      </w:pPr>
      <w:r w:rsidRPr="00165ED7">
        <w:rPr>
          <w:rFonts w:asciiTheme="majorHAnsi" w:hAnsiTheme="majorHAnsi" w:cstheme="majorHAnsi"/>
          <w:sz w:val="20"/>
        </w:rPr>
        <w:t>- STL plynovod</w:t>
      </w:r>
    </w:p>
    <w:p w:rsidR="00165ED7" w:rsidRPr="00165ED7" w:rsidRDefault="00165ED7" w:rsidP="00165ED7">
      <w:pPr>
        <w:ind w:left="2149" w:firstLine="11"/>
        <w:contextualSpacing/>
        <w:rPr>
          <w:rFonts w:asciiTheme="majorHAnsi" w:hAnsiTheme="majorHAnsi" w:cstheme="majorHAnsi"/>
          <w:sz w:val="20"/>
        </w:rPr>
      </w:pPr>
      <w:r w:rsidRPr="00165ED7">
        <w:rPr>
          <w:rFonts w:asciiTheme="majorHAnsi" w:hAnsiTheme="majorHAnsi" w:cstheme="majorHAnsi"/>
          <w:sz w:val="20"/>
        </w:rPr>
        <w:t>- areálové elektrické rozvody</w:t>
      </w:r>
    </w:p>
    <w:p w:rsidR="00165ED7" w:rsidRPr="00165ED7" w:rsidRDefault="00165ED7" w:rsidP="00165ED7">
      <w:pPr>
        <w:contextualSpacing/>
        <w:rPr>
          <w:rFonts w:asciiTheme="majorHAnsi" w:hAnsiTheme="majorHAnsi" w:cstheme="majorHAnsi"/>
          <w:sz w:val="20"/>
          <w:highlight w:val="yellow"/>
        </w:rPr>
      </w:pPr>
    </w:p>
    <w:p w:rsidR="00165ED7" w:rsidRPr="00165ED7" w:rsidRDefault="00165ED7" w:rsidP="00165ED7">
      <w:pPr>
        <w:ind w:firstLine="720"/>
        <w:contextualSpacing/>
        <w:rPr>
          <w:rFonts w:asciiTheme="majorHAnsi" w:hAnsiTheme="majorHAnsi" w:cstheme="majorHAnsi"/>
          <w:sz w:val="20"/>
        </w:rPr>
      </w:pPr>
      <w:r w:rsidRPr="00165ED7">
        <w:rPr>
          <w:rFonts w:asciiTheme="majorHAnsi" w:hAnsiTheme="majorHAnsi" w:cstheme="majorHAnsi"/>
          <w:sz w:val="20"/>
        </w:rPr>
        <w:t>Poloha aj výškové osadenie exist. vedení musia byť vopred overené vytýčením objektu priamo v teréne a sondami vykonanými v miestach napojenia. V prípade iných údajov, ako bolo v projektovej dokumentácii uvažované, je nutné konzultovať s jej spracovateľom.</w:t>
      </w:r>
    </w:p>
    <w:p w:rsidR="00165ED7" w:rsidRPr="00165ED7" w:rsidRDefault="00165ED7" w:rsidP="00165ED7">
      <w:pPr>
        <w:ind w:firstLine="720"/>
        <w:contextualSpacing/>
        <w:rPr>
          <w:rFonts w:asciiTheme="majorHAnsi" w:hAnsiTheme="majorHAnsi" w:cstheme="majorHAnsi"/>
          <w:sz w:val="20"/>
        </w:rPr>
      </w:pPr>
    </w:p>
    <w:p w:rsidR="00165ED7" w:rsidRPr="00165ED7" w:rsidRDefault="00165ED7" w:rsidP="00165ED7">
      <w:pPr>
        <w:pStyle w:val="Nadpis1"/>
      </w:pPr>
      <w:r w:rsidRPr="00165ED7">
        <w:t>SKÚŠKY na potrubí</w:t>
      </w:r>
    </w:p>
    <w:p w:rsidR="00165ED7" w:rsidRPr="00165ED7" w:rsidRDefault="00165ED7" w:rsidP="00165ED7">
      <w:pPr>
        <w:ind w:firstLine="720"/>
        <w:contextualSpacing/>
        <w:rPr>
          <w:rFonts w:asciiTheme="majorHAnsi" w:hAnsiTheme="majorHAnsi" w:cstheme="majorHAnsi"/>
          <w:sz w:val="20"/>
        </w:rPr>
      </w:pPr>
      <w:r w:rsidRPr="00165ED7">
        <w:rPr>
          <w:rFonts w:asciiTheme="majorHAnsi" w:hAnsiTheme="majorHAnsi" w:cstheme="majorHAnsi"/>
          <w:sz w:val="20"/>
        </w:rPr>
        <w:t>Na navrhovanom kanalizačnom potrubí a jednotlivých nádržiach budú urobené skúšky vodotesnosti v zmysle STN 75 6910  a EN 1610 za účasti odberateľa stavby a prevádzkovateľa kanalizácie.</w:t>
      </w:r>
    </w:p>
    <w:p w:rsidR="00165ED7" w:rsidRPr="00165ED7" w:rsidRDefault="00165ED7" w:rsidP="00165ED7">
      <w:pPr>
        <w:contextualSpacing/>
        <w:rPr>
          <w:rFonts w:asciiTheme="majorHAnsi" w:hAnsiTheme="majorHAnsi" w:cstheme="majorHAnsi"/>
          <w:sz w:val="20"/>
        </w:rPr>
      </w:pPr>
    </w:p>
    <w:p w:rsidR="00165ED7" w:rsidRPr="00165ED7" w:rsidRDefault="00165ED7" w:rsidP="00165ED7">
      <w:pPr>
        <w:pStyle w:val="Nadpis1"/>
      </w:pPr>
      <w:r w:rsidRPr="00165ED7">
        <w:t>ODPADY</w:t>
      </w:r>
    </w:p>
    <w:p w:rsidR="00165ED7" w:rsidRPr="00165ED7" w:rsidRDefault="00165ED7" w:rsidP="00165ED7">
      <w:pPr>
        <w:pStyle w:val="Zkladntext"/>
        <w:ind w:firstLine="720"/>
        <w:rPr>
          <w:rFonts w:asciiTheme="majorHAnsi" w:hAnsiTheme="majorHAnsi" w:cstheme="majorHAnsi"/>
        </w:rPr>
      </w:pPr>
      <w:r w:rsidRPr="00165ED7">
        <w:rPr>
          <w:rFonts w:asciiTheme="majorHAnsi" w:hAnsiTheme="majorHAnsi" w:cstheme="majorHAnsi"/>
        </w:rPr>
        <w:t>Počas dodávky vody odpad nebude vznikať. Počas výstavby vzniknú odpady kategórie</w:t>
      </w:r>
    </w:p>
    <w:p w:rsidR="00165ED7" w:rsidRPr="00165ED7" w:rsidRDefault="00165ED7" w:rsidP="00165ED7">
      <w:pPr>
        <w:pStyle w:val="Zkladntext"/>
        <w:rPr>
          <w:rFonts w:asciiTheme="majorHAnsi" w:hAnsiTheme="majorHAnsi" w:cstheme="majorHAnsi"/>
        </w:rPr>
      </w:pPr>
      <w:r w:rsidRPr="00165ED7">
        <w:rPr>
          <w:rFonts w:asciiTheme="majorHAnsi" w:hAnsiTheme="majorHAnsi" w:cstheme="majorHAnsi"/>
        </w:rPr>
        <w:t xml:space="preserve"> O-17.</w:t>
      </w:r>
    </w:p>
    <w:p w:rsidR="00165ED7" w:rsidRPr="00165ED7" w:rsidRDefault="00165ED7" w:rsidP="00165ED7">
      <w:pPr>
        <w:rPr>
          <w:rFonts w:asciiTheme="majorHAnsi" w:hAnsiTheme="majorHAnsi" w:cstheme="majorHAnsi"/>
          <w:bCs/>
          <w:sz w:val="20"/>
        </w:rPr>
      </w:pPr>
      <w:r w:rsidRPr="00165ED7">
        <w:rPr>
          <w:rFonts w:asciiTheme="majorHAnsi" w:hAnsiTheme="majorHAnsi" w:cstheme="majorHAnsi"/>
          <w:bCs/>
          <w:sz w:val="20"/>
        </w:rPr>
        <w:t>Odpady z lapača olejov patria do skupiny 13 05 a  kategórie N-nebezpečné.</w:t>
      </w:r>
    </w:p>
    <w:p w:rsidR="00165ED7" w:rsidRPr="00165ED7" w:rsidRDefault="00165ED7" w:rsidP="00165ED7">
      <w:pPr>
        <w:rPr>
          <w:rFonts w:asciiTheme="majorHAnsi" w:hAnsiTheme="majorHAnsi" w:cstheme="majorHAnsi"/>
          <w:bCs/>
          <w:sz w:val="20"/>
        </w:rPr>
      </w:pPr>
      <w:r w:rsidRPr="00165ED7">
        <w:rPr>
          <w:rFonts w:asciiTheme="majorHAnsi" w:hAnsiTheme="majorHAnsi" w:cstheme="majorHAnsi"/>
          <w:bCs/>
          <w:sz w:val="20"/>
        </w:rPr>
        <w:t>Likvidácia musí byť zabezpečená odvozom zmluvnou firmou.</w:t>
      </w:r>
    </w:p>
    <w:p w:rsidR="00165ED7" w:rsidRPr="00165ED7" w:rsidRDefault="00165ED7" w:rsidP="00165ED7">
      <w:pPr>
        <w:contextualSpacing/>
        <w:rPr>
          <w:rFonts w:asciiTheme="majorHAnsi" w:hAnsiTheme="majorHAnsi" w:cstheme="majorHAnsi"/>
          <w:sz w:val="20"/>
        </w:rPr>
      </w:pPr>
    </w:p>
    <w:p w:rsidR="00165ED7" w:rsidRPr="00165ED7" w:rsidRDefault="00165ED7" w:rsidP="00165ED7">
      <w:pPr>
        <w:pStyle w:val="Nadpis1"/>
      </w:pPr>
      <w:bookmarkStart w:id="131" w:name="_Hlk726775"/>
      <w:r w:rsidRPr="00165ED7">
        <w:t>ochrana proti korózii</w:t>
      </w:r>
    </w:p>
    <w:bookmarkEnd w:id="131"/>
    <w:p w:rsidR="00165ED7" w:rsidRPr="00165ED7" w:rsidRDefault="00165ED7" w:rsidP="00165ED7">
      <w:pPr>
        <w:rPr>
          <w:rFonts w:asciiTheme="majorHAnsi" w:hAnsiTheme="majorHAnsi" w:cstheme="majorHAnsi"/>
          <w:sz w:val="20"/>
        </w:rPr>
      </w:pPr>
    </w:p>
    <w:p w:rsidR="00165ED7" w:rsidRPr="00165ED7" w:rsidRDefault="00165ED7" w:rsidP="00165ED7">
      <w:pPr>
        <w:pStyle w:val="Zkladntext32"/>
        <w:rPr>
          <w:rFonts w:asciiTheme="majorHAnsi" w:hAnsiTheme="majorHAnsi" w:cstheme="majorHAnsi"/>
          <w:sz w:val="20"/>
          <w:lang w:val="sk-SK"/>
        </w:rPr>
      </w:pPr>
      <w:r w:rsidRPr="00165ED7">
        <w:rPr>
          <w:rFonts w:asciiTheme="majorHAnsi" w:hAnsiTheme="majorHAnsi" w:cstheme="majorHAnsi"/>
          <w:sz w:val="20"/>
          <w:lang w:val="sk-SK"/>
        </w:rPr>
        <w:t>Kovové konštrukcie budú chránené ochranou v zmysle STN 038375.</w:t>
      </w:r>
    </w:p>
    <w:p w:rsidR="00165ED7" w:rsidRPr="00165ED7" w:rsidRDefault="00165ED7" w:rsidP="00165ED7">
      <w:pPr>
        <w:pStyle w:val="Zkladntext32"/>
        <w:rPr>
          <w:rFonts w:asciiTheme="majorHAnsi" w:hAnsiTheme="majorHAnsi" w:cstheme="majorHAnsi"/>
          <w:sz w:val="20"/>
          <w:lang w:val="sk-SK"/>
        </w:rPr>
      </w:pPr>
    </w:p>
    <w:p w:rsidR="00165ED7" w:rsidRPr="00165ED7" w:rsidRDefault="00165ED7" w:rsidP="00165ED7">
      <w:pPr>
        <w:pStyle w:val="Nadpis1"/>
      </w:pPr>
      <w:r w:rsidRPr="00165ED7">
        <w:t>Osobitné požiadavky na postup prác</w:t>
      </w:r>
    </w:p>
    <w:p w:rsidR="00165ED7" w:rsidRPr="00165ED7" w:rsidRDefault="00165ED7" w:rsidP="00165ED7">
      <w:pPr>
        <w:ind w:firstLine="720"/>
        <w:contextualSpacing/>
        <w:rPr>
          <w:rFonts w:asciiTheme="majorHAnsi" w:hAnsiTheme="majorHAnsi" w:cstheme="majorHAnsi"/>
          <w:sz w:val="20"/>
        </w:rPr>
      </w:pPr>
      <w:r w:rsidRPr="00165ED7">
        <w:rPr>
          <w:rFonts w:asciiTheme="majorHAnsi" w:hAnsiTheme="majorHAnsi" w:cstheme="majorHAnsi"/>
          <w:sz w:val="20"/>
        </w:rPr>
        <w:t>Výstavba bude realizovaná v súlade s POV stavby, ktorú zabezpečuje investor a nie je predmetom tejto PD.</w:t>
      </w:r>
    </w:p>
    <w:p w:rsidR="00165ED7" w:rsidRPr="00165ED7" w:rsidRDefault="00165ED7" w:rsidP="00165ED7">
      <w:pPr>
        <w:pStyle w:val="Zkladntext25"/>
        <w:contextualSpacing/>
        <w:rPr>
          <w:rFonts w:asciiTheme="majorHAnsi" w:hAnsiTheme="majorHAnsi" w:cstheme="majorHAnsi"/>
          <w:b/>
          <w:sz w:val="20"/>
          <w:lang w:val="sk-SK"/>
        </w:rPr>
      </w:pPr>
      <w:r w:rsidRPr="00165ED7">
        <w:rPr>
          <w:rFonts w:asciiTheme="majorHAnsi" w:hAnsiTheme="majorHAnsi" w:cstheme="majorHAnsi"/>
          <w:b/>
          <w:sz w:val="20"/>
          <w:lang w:val="sk-SK"/>
        </w:rPr>
        <w:t>Pred zahájenim výkopových prác je nutné zistiť smerové a výškové umiestnenie existujúceho potrubia kopanou sondou.</w:t>
      </w:r>
    </w:p>
    <w:p w:rsidR="00165ED7" w:rsidRPr="00165ED7" w:rsidRDefault="00165ED7" w:rsidP="00165ED7">
      <w:pPr>
        <w:contextualSpacing/>
        <w:rPr>
          <w:rFonts w:asciiTheme="majorHAnsi" w:hAnsiTheme="majorHAnsi" w:cstheme="majorHAnsi"/>
          <w:sz w:val="20"/>
        </w:rPr>
      </w:pPr>
      <w:r w:rsidRPr="00165ED7">
        <w:rPr>
          <w:rFonts w:asciiTheme="majorHAnsi" w:hAnsiTheme="majorHAnsi" w:cstheme="majorHAnsi"/>
          <w:sz w:val="20"/>
        </w:rPr>
        <w:t>V prípade nesúladu s projektovanou výškou napojenia predpokladanú projektantom vzhľadom na absentujúci údaj o výškovom uložení od správcu siete, zhotoviteľ  zabezpečí dopracovanie PD na zmenené podmienky.</w:t>
      </w:r>
    </w:p>
    <w:p w:rsidR="00165ED7" w:rsidRPr="00165ED7" w:rsidRDefault="00165ED7" w:rsidP="00165ED7">
      <w:pPr>
        <w:pStyle w:val="Zkladntext25"/>
        <w:ind w:firstLine="720"/>
        <w:contextualSpacing/>
        <w:rPr>
          <w:rFonts w:asciiTheme="majorHAnsi" w:hAnsiTheme="majorHAnsi" w:cstheme="majorHAnsi"/>
          <w:sz w:val="20"/>
        </w:rPr>
      </w:pPr>
      <w:r w:rsidRPr="00165ED7">
        <w:rPr>
          <w:rFonts w:asciiTheme="majorHAnsi" w:hAnsiTheme="majorHAnsi" w:cstheme="majorHAnsi"/>
          <w:sz w:val="20"/>
        </w:rPr>
        <w:t>Práce v ochrannom pásme jednotlivých vedení je možné vykonávať po dohode s majiteľom a správcom siete.</w:t>
      </w:r>
    </w:p>
    <w:p w:rsidR="00165ED7" w:rsidRPr="00165ED7" w:rsidRDefault="00165ED7" w:rsidP="00165ED7">
      <w:pPr>
        <w:pStyle w:val="Zkladntext25"/>
        <w:contextualSpacing/>
        <w:rPr>
          <w:rFonts w:asciiTheme="majorHAnsi" w:hAnsiTheme="majorHAnsi" w:cstheme="majorHAnsi"/>
          <w:b/>
          <w:sz w:val="20"/>
        </w:rPr>
      </w:pPr>
    </w:p>
    <w:p w:rsidR="00165ED7" w:rsidRPr="00165ED7" w:rsidRDefault="00165ED7" w:rsidP="00165ED7">
      <w:pPr>
        <w:pStyle w:val="Nadpis1"/>
      </w:pPr>
      <w:r w:rsidRPr="00165ED7">
        <w:t>Bezpečnosť a ochrana zdravia pri práci</w:t>
      </w:r>
    </w:p>
    <w:p w:rsidR="00165ED7" w:rsidRPr="00165ED7" w:rsidRDefault="00165ED7" w:rsidP="00165ED7">
      <w:pPr>
        <w:pStyle w:val="Zkladntext25"/>
        <w:ind w:firstLine="720"/>
        <w:rPr>
          <w:rFonts w:asciiTheme="majorHAnsi" w:hAnsiTheme="majorHAnsi" w:cstheme="majorHAnsi"/>
          <w:sz w:val="20"/>
          <w:lang w:val="sk-SK"/>
        </w:rPr>
      </w:pPr>
      <w:r w:rsidRPr="00165ED7">
        <w:rPr>
          <w:rFonts w:asciiTheme="majorHAnsi" w:hAnsiTheme="majorHAnsi" w:cstheme="majorHAnsi"/>
          <w:sz w:val="20"/>
          <w:lang w:val="sk-SK"/>
        </w:rPr>
        <w:t>Počas realizácie stavby je potrebné dôsledne dodržiavať všetky bezpečnostné predpisy a nariadenia týkajúce sa ochrany zdravia pri práci. Bezpečnosť a ochranu zdravia pri práci sú povinní zaistiť dodávatelia preškolením a poučením pracovníkov stavby.</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lastRenderedPageBreak/>
        <w:t>Mimoriadnu pozornosť je potrebné venovať všetkým prácam v blízkosti podzemných a nadzemných vedení, aby sa predišlo ich poškodeniu a ublíženiu na zdraví. Podzemné vedenia je potrebné pred začatím stavebných prác vytýčiť v teréne ich správcami!</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Všetky prekážky je potrebné označiť, v noci a za zníženej viditeľnosti osvetliť. Výkopy zabezpečiť proti pádu osôb.</w:t>
      </w:r>
    </w:p>
    <w:p w:rsidR="00165ED7" w:rsidRPr="00165ED7" w:rsidRDefault="00165ED7" w:rsidP="00165ED7">
      <w:pPr>
        <w:pStyle w:val="Zkladntext25"/>
        <w:rPr>
          <w:rFonts w:asciiTheme="majorHAnsi" w:hAnsiTheme="majorHAnsi" w:cstheme="majorHAnsi"/>
          <w:sz w:val="20"/>
          <w:lang w:val="sk-SK"/>
        </w:rPr>
      </w:pPr>
    </w:p>
    <w:p w:rsidR="00165ED7" w:rsidRPr="00165ED7" w:rsidRDefault="00165ED7" w:rsidP="00165ED7">
      <w:pPr>
        <w:pStyle w:val="Zkladntext"/>
        <w:tabs>
          <w:tab w:val="left" w:pos="567"/>
          <w:tab w:val="right" w:pos="3969"/>
        </w:tabs>
        <w:rPr>
          <w:rFonts w:asciiTheme="majorHAnsi" w:hAnsiTheme="majorHAnsi" w:cstheme="majorHAnsi"/>
          <w:lang w:val="sk-SK"/>
        </w:rPr>
      </w:pP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Bratislava, 02/2020</w:t>
      </w:r>
      <w:r w:rsidRPr="00165ED7">
        <w:rPr>
          <w:rFonts w:asciiTheme="majorHAnsi" w:hAnsiTheme="majorHAnsi" w:cstheme="majorHAnsi"/>
          <w:sz w:val="20"/>
        </w:rPr>
        <w:tab/>
      </w:r>
      <w:r w:rsidRPr="00165ED7">
        <w:rPr>
          <w:rFonts w:asciiTheme="majorHAnsi" w:hAnsiTheme="majorHAnsi" w:cstheme="majorHAnsi"/>
          <w:sz w:val="20"/>
        </w:rPr>
        <w:tab/>
      </w:r>
      <w:r w:rsidRPr="00165ED7">
        <w:rPr>
          <w:rFonts w:asciiTheme="majorHAnsi" w:hAnsiTheme="majorHAnsi" w:cstheme="majorHAnsi"/>
          <w:sz w:val="20"/>
        </w:rPr>
        <w:tab/>
      </w:r>
      <w:r w:rsidRPr="00165ED7">
        <w:rPr>
          <w:rFonts w:asciiTheme="majorHAnsi" w:hAnsiTheme="majorHAnsi" w:cstheme="majorHAnsi"/>
          <w:sz w:val="20"/>
        </w:rPr>
        <w:tab/>
      </w:r>
      <w:r w:rsidRPr="00165ED7">
        <w:rPr>
          <w:rFonts w:asciiTheme="majorHAnsi" w:hAnsiTheme="majorHAnsi" w:cstheme="majorHAnsi"/>
          <w:sz w:val="20"/>
        </w:rPr>
        <w:tab/>
        <w:t xml:space="preserve">Vypracoval: </w:t>
      </w:r>
      <w:r w:rsidRPr="00165ED7">
        <w:rPr>
          <w:rFonts w:asciiTheme="majorHAnsi" w:hAnsiTheme="majorHAnsi" w:cstheme="majorHAnsi"/>
          <w:sz w:val="20"/>
        </w:rPr>
        <w:tab/>
        <w:t>Ing. Ľuboš Rodenák</w:t>
      </w:r>
    </w:p>
    <w:p w:rsidR="00165ED7" w:rsidRPr="00165ED7" w:rsidRDefault="00165ED7" w:rsidP="00165ED7">
      <w:pPr>
        <w:ind w:left="5664" w:firstLine="708"/>
        <w:rPr>
          <w:rFonts w:asciiTheme="majorHAnsi" w:hAnsiTheme="majorHAnsi" w:cstheme="majorHAnsi"/>
          <w:sz w:val="20"/>
        </w:rPr>
      </w:pPr>
      <w:r w:rsidRPr="00165ED7">
        <w:rPr>
          <w:rFonts w:asciiTheme="majorHAnsi" w:hAnsiTheme="majorHAnsi" w:cstheme="majorHAnsi"/>
          <w:sz w:val="20"/>
        </w:rPr>
        <w:t>Ing. Tomáš Cesnek</w:t>
      </w:r>
    </w:p>
    <w:p w:rsidR="00165ED7" w:rsidRPr="00165ED7" w:rsidRDefault="00165ED7" w:rsidP="00165ED7">
      <w:pPr>
        <w:rPr>
          <w:rFonts w:asciiTheme="majorHAnsi" w:hAnsiTheme="majorHAnsi" w:cstheme="majorHAnsi"/>
          <w:sz w:val="20"/>
        </w:rPr>
      </w:pPr>
      <w:r w:rsidRPr="00165ED7">
        <w:rPr>
          <w:rFonts w:asciiTheme="majorHAnsi" w:hAnsiTheme="majorHAnsi" w:cstheme="majorHAnsi"/>
          <w:sz w:val="20"/>
        </w:rPr>
        <w:tab/>
      </w:r>
      <w:r w:rsidRPr="00165ED7">
        <w:rPr>
          <w:rFonts w:asciiTheme="majorHAnsi" w:hAnsiTheme="majorHAnsi" w:cstheme="majorHAnsi"/>
          <w:sz w:val="20"/>
        </w:rPr>
        <w:tab/>
      </w:r>
      <w:r w:rsidRPr="00165ED7">
        <w:rPr>
          <w:rFonts w:asciiTheme="majorHAnsi" w:hAnsiTheme="majorHAnsi" w:cstheme="majorHAnsi"/>
          <w:sz w:val="20"/>
        </w:rPr>
        <w:tab/>
      </w:r>
      <w:r w:rsidRPr="00165ED7">
        <w:rPr>
          <w:rFonts w:asciiTheme="majorHAnsi" w:hAnsiTheme="majorHAnsi" w:cstheme="majorHAnsi"/>
          <w:sz w:val="20"/>
        </w:rPr>
        <w:tab/>
      </w:r>
      <w:r w:rsidRPr="00165ED7">
        <w:rPr>
          <w:rFonts w:asciiTheme="majorHAnsi" w:hAnsiTheme="majorHAnsi" w:cstheme="majorHAnsi"/>
          <w:sz w:val="20"/>
        </w:rPr>
        <w:tab/>
      </w:r>
      <w:r w:rsidRPr="00165ED7">
        <w:rPr>
          <w:rFonts w:asciiTheme="majorHAnsi" w:hAnsiTheme="majorHAnsi" w:cstheme="majorHAnsi"/>
          <w:sz w:val="20"/>
        </w:rPr>
        <w:tab/>
      </w:r>
      <w:r w:rsidRPr="00165ED7">
        <w:rPr>
          <w:rFonts w:asciiTheme="majorHAnsi" w:hAnsiTheme="majorHAnsi" w:cstheme="majorHAnsi"/>
          <w:sz w:val="20"/>
        </w:rPr>
        <w:tab/>
        <w:t xml:space="preserve">Kontroloval: </w:t>
      </w:r>
      <w:r w:rsidRPr="00165ED7">
        <w:rPr>
          <w:rFonts w:asciiTheme="majorHAnsi" w:hAnsiTheme="majorHAnsi" w:cstheme="majorHAnsi"/>
          <w:sz w:val="20"/>
        </w:rPr>
        <w:tab/>
        <w:t>Ing. Miroslava Vaňurová</w:t>
      </w:r>
    </w:p>
    <w:p w:rsidR="00165ED7" w:rsidRPr="00E22E5B" w:rsidRDefault="00165ED7" w:rsidP="00165ED7">
      <w:pPr>
        <w:pStyle w:val="Zkladntext25"/>
        <w:ind w:left="720"/>
        <w:rPr>
          <w:rFonts w:asciiTheme="minorHAnsi" w:hAnsiTheme="minorHAnsi" w:cstheme="minorHAnsi"/>
          <w:b/>
          <w:sz w:val="20"/>
          <w:lang w:val="sk-SK"/>
        </w:rPr>
      </w:pPr>
    </w:p>
    <w:p w:rsidR="00165ED7" w:rsidRDefault="00165ED7" w:rsidP="00F05470">
      <w:pPr>
        <w:autoSpaceDE w:val="0"/>
        <w:autoSpaceDN w:val="0"/>
        <w:adjustRightInd w:val="0"/>
        <w:rPr>
          <w:rFonts w:ascii="Calibri" w:hAnsi="Calibri" w:cs="Calibri"/>
          <w:b/>
          <w:iCs/>
          <w:sz w:val="24"/>
        </w:rPr>
      </w:pPr>
    </w:p>
    <w:p w:rsidR="00763F78" w:rsidRDefault="00763F78" w:rsidP="00F05470">
      <w:pPr>
        <w:autoSpaceDE w:val="0"/>
        <w:autoSpaceDN w:val="0"/>
        <w:adjustRightInd w:val="0"/>
        <w:rPr>
          <w:rFonts w:ascii="Calibri" w:hAnsi="Calibri" w:cs="Calibri"/>
          <w:b/>
          <w:iCs/>
          <w:sz w:val="24"/>
        </w:rPr>
      </w:pPr>
      <w:r w:rsidRPr="00F05470">
        <w:rPr>
          <w:rFonts w:ascii="Calibri" w:hAnsi="Calibri" w:cs="Calibri"/>
          <w:b/>
          <w:iCs/>
          <w:sz w:val="24"/>
        </w:rPr>
        <w:t>TECHNOLÓGIA VINÁRSTVA</w:t>
      </w:r>
    </w:p>
    <w:p w:rsidR="00D24DA9" w:rsidRPr="00F05470" w:rsidRDefault="00D24DA9" w:rsidP="00F05470">
      <w:pPr>
        <w:autoSpaceDE w:val="0"/>
        <w:autoSpaceDN w:val="0"/>
        <w:adjustRightInd w:val="0"/>
        <w:rPr>
          <w:rFonts w:ascii="Calibri" w:hAnsi="Calibri" w:cs="Calibri"/>
          <w:b/>
          <w:iCs/>
          <w:sz w:val="24"/>
        </w:rPr>
      </w:pPr>
    </w:p>
    <w:p w:rsidR="00D24DA9" w:rsidRPr="00D24DA9" w:rsidRDefault="00D24DA9" w:rsidP="00D24DA9">
      <w:pPr>
        <w:spacing w:line="360" w:lineRule="auto"/>
        <w:jc w:val="both"/>
        <w:rPr>
          <w:rFonts w:asciiTheme="majorHAnsi" w:hAnsiTheme="majorHAnsi" w:cstheme="majorHAnsi"/>
          <w:b/>
          <w:i/>
          <w:sz w:val="20"/>
          <w:u w:val="single"/>
        </w:rPr>
      </w:pPr>
      <w:r w:rsidRPr="00D24DA9">
        <w:rPr>
          <w:rFonts w:asciiTheme="majorHAnsi" w:hAnsiTheme="majorHAnsi" w:cstheme="majorHAnsi"/>
          <w:b/>
          <w:i/>
          <w:sz w:val="20"/>
          <w:u w:val="single"/>
        </w:rPr>
        <w:t>PS-01</w:t>
      </w:r>
      <w:r w:rsidRPr="00D24DA9">
        <w:rPr>
          <w:rFonts w:asciiTheme="majorHAnsi" w:hAnsiTheme="majorHAnsi" w:cstheme="majorHAnsi"/>
          <w:b/>
          <w:i/>
          <w:sz w:val="20"/>
          <w:u w:val="single"/>
        </w:rPr>
        <w:tab/>
        <w:t xml:space="preserve">   Príjem  hrozna,  vinifikácia,   lisovňa</w:t>
      </w:r>
    </w:p>
    <w:p w:rsidR="00D24DA9" w:rsidRPr="00D24DA9" w:rsidRDefault="00D24DA9" w:rsidP="00D24DA9">
      <w:pPr>
        <w:spacing w:line="360" w:lineRule="auto"/>
        <w:jc w:val="both"/>
        <w:rPr>
          <w:rFonts w:asciiTheme="majorHAnsi" w:hAnsiTheme="majorHAnsi" w:cstheme="majorHAnsi"/>
          <w:b/>
          <w:sz w:val="20"/>
          <w:u w:val="single"/>
        </w:rPr>
      </w:pPr>
      <w:r w:rsidRPr="00D24DA9">
        <w:rPr>
          <w:rFonts w:asciiTheme="majorHAnsi" w:hAnsiTheme="majorHAnsi" w:cstheme="majorHAnsi"/>
          <w:b/>
          <w:sz w:val="20"/>
          <w:u w:val="single"/>
        </w:rPr>
        <w:t>Účel</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Prevádzkový súbor slúži na preberanie hrozna z dopravných prostriedkov, jeho odstrapenie, rmutovanie, nakvášanie modrých odrôd, lisovanie, odkalovanie muštov a filtráciu kalov z odkalovania muštov. </w:t>
      </w:r>
    </w:p>
    <w:p w:rsidR="00D24DA9" w:rsidRPr="00D24DA9" w:rsidRDefault="00D24DA9" w:rsidP="00D24DA9">
      <w:pPr>
        <w:spacing w:line="360" w:lineRule="auto"/>
        <w:jc w:val="both"/>
        <w:rPr>
          <w:rFonts w:asciiTheme="majorHAnsi" w:hAnsiTheme="majorHAnsi" w:cstheme="majorHAnsi"/>
          <w:b/>
          <w:sz w:val="20"/>
          <w:u w:val="single"/>
        </w:rPr>
      </w:pPr>
      <w:r w:rsidRPr="00D24DA9">
        <w:rPr>
          <w:rFonts w:asciiTheme="majorHAnsi" w:hAnsiTheme="majorHAnsi" w:cstheme="majorHAnsi"/>
          <w:b/>
          <w:sz w:val="20"/>
          <w:u w:val="single"/>
        </w:rPr>
        <w:t>Kapacita</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Biele hrozno</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6 t / rok</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Modré hrozno</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26 t / rok</w:t>
      </w:r>
    </w:p>
    <w:p w:rsidR="00D24DA9" w:rsidRPr="00D24DA9" w:rsidRDefault="00D24DA9" w:rsidP="00D24DA9">
      <w:pPr>
        <w:spacing w:line="360" w:lineRule="auto"/>
        <w:jc w:val="both"/>
        <w:rPr>
          <w:rFonts w:asciiTheme="majorHAnsi" w:hAnsiTheme="majorHAnsi" w:cstheme="majorHAnsi"/>
          <w:b/>
          <w:sz w:val="20"/>
          <w:u w:val="single"/>
        </w:rPr>
      </w:pPr>
      <w:r w:rsidRPr="00D24DA9">
        <w:rPr>
          <w:rFonts w:asciiTheme="majorHAnsi" w:hAnsiTheme="majorHAnsi" w:cstheme="majorHAnsi"/>
          <w:b/>
          <w:sz w:val="20"/>
          <w:u w:val="single"/>
        </w:rPr>
        <w:t>Hlavné  technologické  parametre</w:t>
      </w:r>
    </w:p>
    <w:p w:rsidR="00D24DA9" w:rsidRPr="00D24DA9" w:rsidRDefault="00D24DA9" w:rsidP="00D24DA9">
      <w:pPr>
        <w:jc w:val="both"/>
        <w:rPr>
          <w:rFonts w:asciiTheme="majorHAnsi" w:hAnsiTheme="majorHAnsi" w:cstheme="majorHAnsi"/>
          <w:b/>
          <w:sz w:val="20"/>
        </w:rPr>
      </w:pPr>
      <w:r w:rsidRPr="00D24DA9">
        <w:rPr>
          <w:rFonts w:asciiTheme="majorHAnsi" w:hAnsiTheme="majorHAnsi" w:cstheme="majorHAnsi"/>
          <w:b/>
          <w:sz w:val="20"/>
        </w:rPr>
        <w:t xml:space="preserve">1.          Príjem hrozna </w:t>
      </w:r>
    </w:p>
    <w:p w:rsidR="00D24DA9" w:rsidRPr="00D24DA9" w:rsidRDefault="00D24DA9" w:rsidP="00D24DA9">
      <w:pPr>
        <w:jc w:val="both"/>
        <w:rPr>
          <w:rFonts w:asciiTheme="majorHAnsi" w:hAnsiTheme="majorHAnsi" w:cstheme="majorHAnsi"/>
          <w:b/>
          <w:sz w:val="20"/>
        </w:rPr>
      </w:pPr>
    </w:p>
    <w:p w:rsidR="00D24DA9" w:rsidRPr="00D24DA9" w:rsidRDefault="00D24DA9" w:rsidP="00D24DA9">
      <w:pPr>
        <w:jc w:val="both"/>
        <w:rPr>
          <w:rFonts w:asciiTheme="majorHAnsi" w:hAnsiTheme="majorHAnsi" w:cstheme="majorHAnsi"/>
          <w:sz w:val="20"/>
        </w:rPr>
      </w:pPr>
      <w:r w:rsidRPr="00D24DA9">
        <w:rPr>
          <w:rFonts w:asciiTheme="majorHAnsi" w:hAnsiTheme="majorHAnsi" w:cstheme="majorHAnsi"/>
          <w:b/>
          <w:sz w:val="20"/>
        </w:rPr>
        <w:t xml:space="preserve">               </w:t>
      </w:r>
      <w:r w:rsidRPr="00D24DA9">
        <w:rPr>
          <w:rFonts w:asciiTheme="majorHAnsi" w:hAnsiTheme="majorHAnsi" w:cstheme="majorHAnsi"/>
          <w:sz w:val="20"/>
          <w:u w:val="single"/>
        </w:rPr>
        <w:t xml:space="preserve">32   </w:t>
      </w:r>
      <w:r w:rsidRPr="00D24DA9">
        <w:rPr>
          <w:rFonts w:asciiTheme="majorHAnsi" w:hAnsiTheme="majorHAnsi" w:cstheme="majorHAnsi"/>
          <w:sz w:val="20"/>
        </w:rPr>
        <w:t>=  0,11 t/ hod</w:t>
      </w:r>
    </w:p>
    <w:p w:rsidR="00D24DA9" w:rsidRPr="00D24DA9" w:rsidRDefault="00D24DA9" w:rsidP="00D24DA9">
      <w:pPr>
        <w:jc w:val="both"/>
        <w:rPr>
          <w:rFonts w:asciiTheme="majorHAnsi" w:hAnsiTheme="majorHAnsi" w:cstheme="majorHAnsi"/>
          <w:sz w:val="20"/>
        </w:rPr>
      </w:pPr>
      <w:r w:rsidRPr="00D24DA9">
        <w:rPr>
          <w:rFonts w:asciiTheme="majorHAnsi" w:hAnsiTheme="majorHAnsi" w:cstheme="majorHAnsi"/>
          <w:sz w:val="20"/>
        </w:rPr>
        <w:t xml:space="preserve">              294    </w:t>
      </w:r>
    </w:p>
    <w:p w:rsidR="00D24DA9" w:rsidRPr="00D24DA9" w:rsidRDefault="00D24DA9" w:rsidP="00D24DA9">
      <w:pPr>
        <w:jc w:val="both"/>
        <w:rPr>
          <w:rFonts w:asciiTheme="majorHAnsi" w:hAnsiTheme="majorHAnsi" w:cstheme="majorHAnsi"/>
          <w:sz w:val="20"/>
        </w:rPr>
      </w:pPr>
    </w:p>
    <w:p w:rsidR="00D24DA9" w:rsidRPr="00D24DA9" w:rsidRDefault="00D24DA9" w:rsidP="00D24DA9">
      <w:pPr>
        <w:spacing w:before="120" w:line="360" w:lineRule="auto"/>
        <w:jc w:val="both"/>
        <w:rPr>
          <w:rFonts w:asciiTheme="majorHAnsi" w:hAnsiTheme="majorHAnsi" w:cstheme="majorHAnsi"/>
          <w:b/>
          <w:i/>
          <w:sz w:val="20"/>
        </w:rPr>
      </w:pPr>
      <w:r w:rsidRPr="00D24DA9">
        <w:rPr>
          <w:rFonts w:asciiTheme="majorHAnsi" w:hAnsiTheme="majorHAnsi" w:cstheme="majorHAnsi"/>
          <w:b/>
          <w:i/>
          <w:sz w:val="20"/>
        </w:rPr>
        <w:t>2.</w:t>
      </w:r>
      <w:r w:rsidRPr="00D24DA9">
        <w:rPr>
          <w:rFonts w:asciiTheme="majorHAnsi" w:hAnsiTheme="majorHAnsi" w:cstheme="majorHAnsi"/>
          <w:b/>
          <w:i/>
          <w:sz w:val="20"/>
        </w:rPr>
        <w:tab/>
        <w:t>Oddeľovanie  strapín  a  rmutovanie</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ab/>
        <w:t>Navrhovaný výkon mlynkoodzrňovača 3 t / hod je postačujúci na  rýchle naplnenie lisu (cca 30 min, ručné dávkovanie)</w:t>
      </w:r>
    </w:p>
    <w:p w:rsidR="00D24DA9" w:rsidRPr="00D24DA9" w:rsidRDefault="00D24DA9" w:rsidP="00D24DA9">
      <w:pPr>
        <w:spacing w:line="360" w:lineRule="auto"/>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b/>
          <w:i/>
          <w:sz w:val="20"/>
        </w:rPr>
      </w:pPr>
      <w:r w:rsidRPr="00D24DA9">
        <w:rPr>
          <w:rFonts w:asciiTheme="majorHAnsi" w:hAnsiTheme="majorHAnsi" w:cstheme="majorHAnsi"/>
          <w:b/>
          <w:i/>
          <w:sz w:val="20"/>
        </w:rPr>
        <w:t>3.</w:t>
      </w:r>
      <w:r w:rsidRPr="00D24DA9">
        <w:rPr>
          <w:rFonts w:asciiTheme="majorHAnsi" w:hAnsiTheme="majorHAnsi" w:cstheme="majorHAnsi"/>
          <w:b/>
          <w:i/>
          <w:sz w:val="20"/>
        </w:rPr>
        <w:tab/>
        <w:t>Lisovanie</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ab/>
        <w:t xml:space="preserve">Výkon lisu je cca  1,8 – 2,5 t / 3 hod.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Lis bude naplnený v kampani 3 krát bielym hroznom. Modrá odroda môže byť lisovaná v čase mimo zberu hrozna.</w:t>
      </w:r>
    </w:p>
    <w:p w:rsidR="00D24DA9" w:rsidRPr="00D24DA9" w:rsidRDefault="00D24DA9" w:rsidP="00D24DA9">
      <w:pPr>
        <w:spacing w:line="360" w:lineRule="auto"/>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b/>
          <w:i/>
          <w:sz w:val="20"/>
        </w:rPr>
        <w:t>4.         Nakvášanie  modrého  hrozna</w:t>
      </w:r>
      <w:r w:rsidRPr="00D24DA9">
        <w:rPr>
          <w:rFonts w:asciiTheme="majorHAnsi" w:hAnsiTheme="majorHAnsi" w:cstheme="majorHAnsi"/>
          <w:b/>
          <w:i/>
          <w:sz w:val="20"/>
        </w:rPr>
        <w:tab/>
      </w:r>
    </w:p>
    <w:p w:rsidR="00D24DA9" w:rsidRPr="00D24DA9" w:rsidRDefault="00D24DA9" w:rsidP="00D24DA9">
      <w:pPr>
        <w:tabs>
          <w:tab w:val="left" w:pos="567"/>
        </w:tabs>
        <w:spacing w:line="360" w:lineRule="auto"/>
        <w:ind w:firstLine="567"/>
        <w:jc w:val="both"/>
        <w:rPr>
          <w:rFonts w:asciiTheme="majorHAnsi" w:hAnsiTheme="majorHAnsi" w:cstheme="majorHAnsi"/>
          <w:sz w:val="20"/>
        </w:rPr>
      </w:pPr>
      <w:r w:rsidRPr="00D24DA9">
        <w:rPr>
          <w:rFonts w:asciiTheme="majorHAnsi" w:hAnsiTheme="majorHAnsi" w:cstheme="majorHAnsi"/>
          <w:sz w:val="20"/>
        </w:rPr>
        <w:t xml:space="preserve">   Pre nakvášanie modrého hrozna budú slúžiť 3 ks vinifikátor objem 3 000 l  </w:t>
      </w:r>
    </w:p>
    <w:p w:rsidR="00D24DA9" w:rsidRPr="00D24DA9" w:rsidRDefault="00D24DA9" w:rsidP="00D24DA9">
      <w:pPr>
        <w:tabs>
          <w:tab w:val="left" w:pos="567"/>
        </w:tabs>
        <w:spacing w:line="360" w:lineRule="auto"/>
        <w:ind w:left="-142" w:firstLine="142"/>
        <w:jc w:val="both"/>
        <w:rPr>
          <w:rFonts w:asciiTheme="majorHAnsi" w:hAnsiTheme="majorHAnsi" w:cstheme="majorHAnsi"/>
          <w:sz w:val="20"/>
        </w:rPr>
      </w:pPr>
      <w:r w:rsidRPr="00D24DA9">
        <w:rPr>
          <w:rFonts w:asciiTheme="majorHAnsi" w:hAnsiTheme="majorHAnsi" w:cstheme="majorHAnsi"/>
          <w:sz w:val="20"/>
        </w:rPr>
        <w:t xml:space="preserve">  ef. objem 2 400 l.                                                                                                                                                                             </w:t>
      </w:r>
      <w:r w:rsidRPr="00D24DA9">
        <w:rPr>
          <w:rFonts w:asciiTheme="majorHAnsi" w:hAnsiTheme="majorHAnsi" w:cstheme="majorHAnsi"/>
          <w:sz w:val="20"/>
          <w:vertAlign w:val="superscript"/>
        </w:rPr>
        <w:t xml:space="preserve"> </w:t>
      </w:r>
      <w:r w:rsidRPr="00D24DA9">
        <w:rPr>
          <w:rFonts w:asciiTheme="majorHAnsi" w:hAnsiTheme="majorHAnsi" w:cstheme="majorHAnsi"/>
          <w:sz w:val="20"/>
        </w:rPr>
        <w:t xml:space="preserve">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   Počet obrátok 19/ 7 = 3 obrátky,</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   Vinifikátory budú využité aj na výrobu rosé vína.</w:t>
      </w:r>
    </w:p>
    <w:p w:rsidR="00D24DA9" w:rsidRPr="00D24DA9" w:rsidRDefault="00D24DA9" w:rsidP="00D24DA9">
      <w:pPr>
        <w:spacing w:line="360" w:lineRule="auto"/>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b/>
          <w:i/>
          <w:sz w:val="20"/>
        </w:rPr>
        <w:t>5.</w:t>
      </w:r>
      <w:r w:rsidRPr="00D24DA9">
        <w:rPr>
          <w:rFonts w:asciiTheme="majorHAnsi" w:hAnsiTheme="majorHAnsi" w:cstheme="majorHAnsi"/>
          <w:b/>
          <w:i/>
          <w:sz w:val="20"/>
        </w:rPr>
        <w:tab/>
        <w:t>Odkalovanie  rmutov</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ab/>
        <w:t>Na odkalovanie muštov budú použíté nádrže v 1.PP, a to podľa potreby obsahu</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od  500  l  -  1 500  l.</w:t>
      </w:r>
    </w:p>
    <w:p w:rsidR="00D24DA9" w:rsidRPr="00D24DA9" w:rsidRDefault="00D24DA9" w:rsidP="00D24DA9">
      <w:pPr>
        <w:spacing w:line="360" w:lineRule="auto"/>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b/>
          <w:sz w:val="20"/>
          <w:u w:val="single"/>
        </w:rPr>
      </w:pPr>
      <w:r w:rsidRPr="00D24DA9">
        <w:rPr>
          <w:rFonts w:asciiTheme="majorHAnsi" w:hAnsiTheme="majorHAnsi" w:cstheme="majorHAnsi"/>
          <w:b/>
          <w:sz w:val="20"/>
          <w:u w:val="single"/>
        </w:rPr>
        <w:t>Fond  pracovnej  doby</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Fond pracovnej doby v zmysle metodiky výpočtu výrobných a skladovacích kapacít v potravinárskom priemysle, vydanom VÚPP Praha bude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F</w:t>
      </w:r>
      <w:r w:rsidRPr="00D24DA9">
        <w:rPr>
          <w:rFonts w:asciiTheme="majorHAnsi" w:hAnsiTheme="majorHAnsi" w:cstheme="majorHAnsi"/>
          <w:sz w:val="20"/>
          <w:vertAlign w:val="subscript"/>
        </w:rPr>
        <w:t>nom</w:t>
      </w:r>
      <w:r w:rsidRPr="00D24DA9">
        <w:rPr>
          <w:rFonts w:asciiTheme="majorHAnsi" w:hAnsiTheme="majorHAnsi" w:cstheme="majorHAnsi"/>
          <w:sz w:val="20"/>
        </w:rPr>
        <w:tab/>
        <w:t>(20 dní x 24 hod)</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504 hod</w:t>
      </w:r>
    </w:p>
    <w:p w:rsidR="00D24DA9" w:rsidRPr="00D24DA9" w:rsidRDefault="00D24DA9" w:rsidP="00D24DA9">
      <w:pPr>
        <w:spacing w:line="360" w:lineRule="auto"/>
        <w:jc w:val="both"/>
        <w:rPr>
          <w:rFonts w:asciiTheme="majorHAnsi" w:hAnsiTheme="majorHAnsi" w:cstheme="majorHAnsi"/>
          <w:sz w:val="20"/>
          <w:u w:val="single"/>
        </w:rPr>
      </w:pPr>
      <w:r w:rsidRPr="00D24DA9">
        <w:rPr>
          <w:rFonts w:asciiTheme="majorHAnsi" w:hAnsiTheme="majorHAnsi" w:cstheme="majorHAnsi"/>
          <w:sz w:val="20"/>
          <w:u w:val="single"/>
        </w:rPr>
        <w:t>F</w:t>
      </w:r>
      <w:r w:rsidRPr="00D24DA9">
        <w:rPr>
          <w:rFonts w:asciiTheme="majorHAnsi" w:hAnsiTheme="majorHAnsi" w:cstheme="majorHAnsi"/>
          <w:sz w:val="20"/>
          <w:u w:val="single"/>
          <w:vertAlign w:val="subscript"/>
        </w:rPr>
        <w:t>v</w:t>
      </w:r>
      <w:r w:rsidRPr="00D24DA9">
        <w:rPr>
          <w:rFonts w:asciiTheme="majorHAnsi" w:hAnsiTheme="majorHAnsi" w:cstheme="majorHAnsi"/>
          <w:sz w:val="20"/>
          <w:u w:val="single"/>
        </w:rPr>
        <w:tab/>
        <w:t>(BO, nepravidelný prísun suroviny)</w:t>
      </w:r>
      <w:r w:rsidRPr="00D24DA9">
        <w:rPr>
          <w:rFonts w:asciiTheme="majorHAnsi" w:hAnsiTheme="majorHAnsi" w:cstheme="majorHAnsi"/>
          <w:sz w:val="20"/>
          <w:u w:val="single"/>
        </w:rPr>
        <w:tab/>
        <w:t xml:space="preserve">        -</w:t>
      </w:r>
      <w:r w:rsidRPr="00D24DA9">
        <w:rPr>
          <w:rFonts w:asciiTheme="majorHAnsi" w:hAnsiTheme="majorHAnsi" w:cstheme="majorHAnsi"/>
          <w:sz w:val="20"/>
          <w:u w:val="single"/>
        </w:rPr>
        <w:tab/>
        <w:t>210 hod</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F</w:t>
      </w:r>
      <w:r w:rsidRPr="00D24DA9">
        <w:rPr>
          <w:rFonts w:asciiTheme="majorHAnsi" w:hAnsiTheme="majorHAnsi" w:cstheme="majorHAnsi"/>
          <w:sz w:val="20"/>
          <w:vertAlign w:val="subscript"/>
        </w:rPr>
        <w:t>ef</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294 hod</w:t>
      </w:r>
    </w:p>
    <w:p w:rsidR="00D24DA9" w:rsidRPr="00D24DA9" w:rsidRDefault="00D24DA9" w:rsidP="00D24DA9">
      <w:pPr>
        <w:spacing w:line="360" w:lineRule="auto"/>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b/>
          <w:i/>
          <w:sz w:val="20"/>
          <w:u w:val="single"/>
        </w:rPr>
      </w:pPr>
      <w:r w:rsidRPr="00D24DA9">
        <w:rPr>
          <w:rFonts w:asciiTheme="majorHAnsi" w:hAnsiTheme="majorHAnsi" w:cstheme="majorHAnsi"/>
          <w:b/>
          <w:i/>
          <w:sz w:val="20"/>
          <w:u w:val="single"/>
        </w:rPr>
        <w:t>Počet  pracovníkov</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Počet pracovníkov je uvedený v súhrnnej správe. V kampani budú pracovať na príjme hrozna,  mimo sezóny v pivnici a fľašovaní vína. V prípade potreby je možné v kampani zvýšiť  počet brigádnickou formou.</w:t>
      </w:r>
    </w:p>
    <w:p w:rsidR="00D24DA9" w:rsidRPr="00D24DA9" w:rsidRDefault="00D24DA9" w:rsidP="00D24DA9">
      <w:pPr>
        <w:spacing w:line="360" w:lineRule="auto"/>
        <w:jc w:val="both"/>
        <w:rPr>
          <w:rFonts w:asciiTheme="majorHAnsi" w:hAnsiTheme="majorHAnsi" w:cstheme="majorHAnsi"/>
          <w:b/>
          <w:i/>
          <w:sz w:val="20"/>
          <w:u w:val="single"/>
        </w:rPr>
      </w:pPr>
    </w:p>
    <w:p w:rsidR="00D24DA9" w:rsidRPr="00D24DA9" w:rsidRDefault="00D24DA9" w:rsidP="00D24DA9">
      <w:pPr>
        <w:spacing w:line="360" w:lineRule="auto"/>
        <w:jc w:val="both"/>
        <w:rPr>
          <w:rFonts w:asciiTheme="majorHAnsi" w:hAnsiTheme="majorHAnsi" w:cstheme="majorHAnsi"/>
          <w:b/>
          <w:sz w:val="20"/>
          <w:u w:val="single"/>
        </w:rPr>
      </w:pPr>
      <w:r w:rsidRPr="00D24DA9">
        <w:rPr>
          <w:rFonts w:asciiTheme="majorHAnsi" w:hAnsiTheme="majorHAnsi" w:cstheme="majorHAnsi"/>
          <w:b/>
          <w:sz w:val="20"/>
          <w:u w:val="single"/>
        </w:rPr>
        <w:t>Opis  technológie  výroby</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Hrozno privezené v prepravkách bude vysypané  do  násypky mlynkoodzrňovača, kde je hrozno odstrapené a pormutované. Pri sypaní hrozna je nutné dbať na rovnomernosť dávkovania hrozna aby sa zabezpečila kvalita odzrňovania. Rmut z bieleho hrozna je dopravený čerpadlom cez savicu do lisu. Pri spracovaní modrých odrôd bude rmut  z mlynkoodzrňovača prečerpaný na vinifikáciu a až po získaní požadovanej farby bude tiež vylisovaný. Strapiny z mlynkoodzrňovača a výlisky budú spoločne akumulované v kontajneri a odvážané na kompostovanie.</w:t>
      </w:r>
    </w:p>
    <w:p w:rsidR="00D24DA9" w:rsidRPr="00D24DA9" w:rsidRDefault="00D24DA9" w:rsidP="00D24DA9">
      <w:pPr>
        <w:spacing w:before="120" w:line="360" w:lineRule="auto"/>
        <w:jc w:val="both"/>
        <w:rPr>
          <w:rFonts w:asciiTheme="majorHAnsi" w:hAnsiTheme="majorHAnsi" w:cstheme="majorHAnsi"/>
          <w:sz w:val="20"/>
        </w:rPr>
      </w:pPr>
      <w:r w:rsidRPr="00D24DA9">
        <w:rPr>
          <w:rFonts w:asciiTheme="majorHAnsi" w:hAnsiTheme="majorHAnsi" w:cstheme="majorHAnsi"/>
          <w:sz w:val="20"/>
        </w:rPr>
        <w:t xml:space="preserve">Vylisovaný mušt je spustený samospádom  hadicou cez chráničku v podlahe do nádrží na 1.PP  na odkalenie. Chránička ( DN 100 ) sa po čerpaní uzavrie plastovou krytkou.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Kaly z odkalovacích nádob budú prečerpané na kalolis. Filtrát bude prekvasený a koláč z filtra vysypaný do kontajnera odpadov. </w:t>
      </w:r>
    </w:p>
    <w:p w:rsidR="00D24DA9" w:rsidRPr="00D24DA9" w:rsidRDefault="00D24DA9" w:rsidP="00D24DA9">
      <w:pPr>
        <w:spacing w:before="120" w:line="360" w:lineRule="auto"/>
        <w:jc w:val="both"/>
        <w:rPr>
          <w:rFonts w:asciiTheme="majorHAnsi" w:hAnsiTheme="majorHAnsi" w:cstheme="majorHAnsi"/>
          <w:sz w:val="20"/>
        </w:rPr>
      </w:pPr>
      <w:r w:rsidRPr="00D24DA9">
        <w:rPr>
          <w:rFonts w:asciiTheme="majorHAnsi" w:hAnsiTheme="majorHAnsi" w:cstheme="majorHAnsi"/>
          <w:sz w:val="20"/>
        </w:rPr>
        <w:t>Odkalený mušt bude prečerpaný do fermentačných nádrží kde bude prekvasený a mladé červené víno samospádom do 1.PP podlažia kde bude dokvášať.</w:t>
      </w:r>
    </w:p>
    <w:p w:rsidR="00D24DA9" w:rsidRPr="00D24DA9" w:rsidRDefault="00D24DA9" w:rsidP="00D24DA9">
      <w:pPr>
        <w:spacing w:before="120" w:line="360" w:lineRule="auto"/>
        <w:jc w:val="both"/>
        <w:rPr>
          <w:rFonts w:asciiTheme="majorHAnsi" w:hAnsiTheme="majorHAnsi" w:cstheme="majorHAnsi"/>
          <w:sz w:val="20"/>
        </w:rPr>
      </w:pPr>
    </w:p>
    <w:p w:rsidR="00D24DA9" w:rsidRPr="00D24DA9" w:rsidRDefault="00D24DA9" w:rsidP="00D24DA9">
      <w:pPr>
        <w:spacing w:before="120" w:line="360" w:lineRule="auto"/>
        <w:jc w:val="both"/>
        <w:rPr>
          <w:rFonts w:asciiTheme="majorHAnsi" w:hAnsiTheme="majorHAnsi" w:cstheme="majorHAnsi"/>
          <w:sz w:val="20"/>
        </w:rPr>
      </w:pPr>
    </w:p>
    <w:p w:rsidR="00D24DA9" w:rsidRPr="00D24DA9" w:rsidRDefault="00D24DA9" w:rsidP="00D24DA9">
      <w:pPr>
        <w:spacing w:line="360" w:lineRule="auto"/>
        <w:ind w:left="705"/>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b/>
          <w:sz w:val="20"/>
          <w:u w:val="single"/>
        </w:rPr>
      </w:pPr>
      <w:r w:rsidRPr="00D24DA9">
        <w:rPr>
          <w:rFonts w:asciiTheme="majorHAnsi" w:hAnsiTheme="majorHAnsi" w:cstheme="majorHAnsi"/>
          <w:b/>
          <w:sz w:val="20"/>
          <w:u w:val="single"/>
        </w:rPr>
        <w:t>Koncepcia  automatizovaného  systému  riadenia</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Výroba v prevádzkovom súbore „Príjem hrozna, lisovňa, vinifikácia“  pozostáva          zo zariadení ovládaných ručne obsluhou, pretože sa jedná o diskontinuálny charakter výroby. Samotný lisovací proces je automatický.</w:t>
      </w:r>
    </w:p>
    <w:p w:rsidR="00D24DA9" w:rsidRPr="00D24DA9" w:rsidRDefault="00D24DA9" w:rsidP="00D24DA9">
      <w:pPr>
        <w:jc w:val="both"/>
        <w:rPr>
          <w:rFonts w:asciiTheme="majorHAnsi" w:hAnsiTheme="majorHAnsi" w:cstheme="majorHAnsi"/>
          <w:sz w:val="20"/>
        </w:rPr>
      </w:pP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p>
    <w:p w:rsidR="00D24DA9" w:rsidRPr="00D24DA9" w:rsidRDefault="00D24DA9" w:rsidP="00D24DA9">
      <w:pPr>
        <w:spacing w:line="360" w:lineRule="auto"/>
        <w:jc w:val="both"/>
        <w:rPr>
          <w:rFonts w:asciiTheme="majorHAnsi" w:hAnsiTheme="majorHAnsi" w:cstheme="majorHAnsi"/>
          <w:b/>
          <w:sz w:val="20"/>
          <w:u w:val="single"/>
        </w:rPr>
      </w:pPr>
      <w:r w:rsidRPr="00D24DA9">
        <w:rPr>
          <w:rFonts w:asciiTheme="majorHAnsi" w:hAnsiTheme="majorHAnsi" w:cstheme="majorHAnsi"/>
          <w:b/>
          <w:sz w:val="20"/>
          <w:u w:val="single"/>
        </w:rPr>
        <w:t>Látková bilancia</w:t>
      </w:r>
    </w:p>
    <w:p w:rsidR="00D24DA9" w:rsidRPr="00D24DA9" w:rsidRDefault="00D24DA9" w:rsidP="00D24DA9">
      <w:pPr>
        <w:spacing w:line="360" w:lineRule="auto"/>
        <w:ind w:left="705"/>
        <w:jc w:val="both"/>
        <w:rPr>
          <w:rFonts w:asciiTheme="majorHAnsi" w:hAnsiTheme="majorHAnsi" w:cstheme="majorHAnsi"/>
          <w:sz w:val="20"/>
        </w:rPr>
      </w:pPr>
      <w:r w:rsidRPr="00D24DA9">
        <w:rPr>
          <w:rFonts w:asciiTheme="majorHAnsi" w:hAnsiTheme="majorHAnsi" w:cstheme="majorHAnsi"/>
          <w:sz w:val="20"/>
          <w:u w:val="single"/>
        </w:rPr>
        <w:t>Vstupná  surovina</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w:t>
      </w:r>
      <w:r w:rsidRPr="00D24DA9">
        <w:rPr>
          <w:rFonts w:asciiTheme="majorHAnsi" w:hAnsiTheme="majorHAnsi" w:cstheme="majorHAnsi"/>
          <w:sz w:val="20"/>
          <w:u w:val="single"/>
        </w:rPr>
        <w:t>Množstvo</w:t>
      </w:r>
    </w:p>
    <w:p w:rsidR="00D24DA9" w:rsidRPr="00D24DA9" w:rsidRDefault="00D24DA9" w:rsidP="00D24DA9">
      <w:pPr>
        <w:spacing w:line="360" w:lineRule="auto"/>
        <w:ind w:left="705"/>
        <w:jc w:val="both"/>
        <w:rPr>
          <w:rFonts w:asciiTheme="majorHAnsi" w:hAnsiTheme="majorHAnsi" w:cstheme="majorHAnsi"/>
          <w:sz w:val="20"/>
        </w:rPr>
      </w:pPr>
      <w:r w:rsidRPr="00D24DA9">
        <w:rPr>
          <w:rFonts w:asciiTheme="majorHAnsi" w:hAnsiTheme="majorHAnsi" w:cstheme="majorHAnsi"/>
          <w:sz w:val="20"/>
        </w:rPr>
        <w:t>Biele hrozno</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6</w:t>
      </w:r>
      <w:r w:rsidRPr="00D24DA9">
        <w:rPr>
          <w:rFonts w:asciiTheme="majorHAnsi" w:hAnsiTheme="majorHAnsi" w:cstheme="majorHAnsi"/>
          <w:sz w:val="20"/>
        </w:rPr>
        <w:tab/>
        <w:t>ton / rok</w:t>
      </w:r>
    </w:p>
    <w:p w:rsidR="00D24DA9" w:rsidRPr="00D24DA9" w:rsidRDefault="00D24DA9" w:rsidP="00D24DA9">
      <w:pPr>
        <w:spacing w:line="360" w:lineRule="auto"/>
        <w:ind w:left="705"/>
        <w:jc w:val="both"/>
        <w:rPr>
          <w:rFonts w:asciiTheme="majorHAnsi" w:hAnsiTheme="majorHAnsi" w:cstheme="majorHAnsi"/>
          <w:sz w:val="20"/>
        </w:rPr>
      </w:pPr>
      <w:r w:rsidRPr="00D24DA9">
        <w:rPr>
          <w:rFonts w:asciiTheme="majorHAnsi" w:hAnsiTheme="majorHAnsi" w:cstheme="majorHAnsi"/>
          <w:sz w:val="20"/>
        </w:rPr>
        <w:t>Modré hrozno</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w:t>
      </w:r>
      <w:r w:rsidRPr="00D24DA9">
        <w:rPr>
          <w:rFonts w:asciiTheme="majorHAnsi" w:hAnsiTheme="majorHAnsi" w:cstheme="majorHAnsi"/>
          <w:sz w:val="20"/>
        </w:rPr>
        <w:tab/>
        <w:t xml:space="preserve"> 26 </w:t>
      </w:r>
      <w:r w:rsidRPr="00D24DA9">
        <w:rPr>
          <w:rFonts w:asciiTheme="majorHAnsi" w:hAnsiTheme="majorHAnsi" w:cstheme="majorHAnsi"/>
          <w:sz w:val="20"/>
        </w:rPr>
        <w:tab/>
        <w:t>ton / rok</w:t>
      </w:r>
    </w:p>
    <w:p w:rsidR="00D24DA9" w:rsidRPr="00D24DA9" w:rsidRDefault="00D24DA9" w:rsidP="00D24DA9">
      <w:pPr>
        <w:spacing w:line="360" w:lineRule="auto"/>
        <w:ind w:left="705"/>
        <w:jc w:val="both"/>
        <w:rPr>
          <w:rFonts w:asciiTheme="majorHAnsi" w:hAnsiTheme="majorHAnsi" w:cstheme="majorHAnsi"/>
          <w:sz w:val="20"/>
        </w:rPr>
      </w:pPr>
      <w:r w:rsidRPr="00D24DA9">
        <w:rPr>
          <w:rFonts w:asciiTheme="majorHAnsi" w:hAnsiTheme="majorHAnsi" w:cstheme="majorHAnsi"/>
          <w:sz w:val="20"/>
        </w:rPr>
        <w:t>z toho bude na výrobu rosé                                                      6       ton / rok</w:t>
      </w:r>
    </w:p>
    <w:p w:rsidR="00D24DA9" w:rsidRPr="00D24DA9" w:rsidRDefault="00D24DA9" w:rsidP="00D24DA9">
      <w:pPr>
        <w:ind w:left="705"/>
        <w:jc w:val="both"/>
        <w:rPr>
          <w:rFonts w:asciiTheme="majorHAnsi" w:hAnsiTheme="majorHAnsi" w:cstheme="majorHAnsi"/>
          <w:sz w:val="20"/>
          <w:u w:val="single"/>
        </w:rPr>
      </w:pPr>
    </w:p>
    <w:p w:rsidR="00D24DA9" w:rsidRPr="00D24DA9" w:rsidRDefault="00D24DA9" w:rsidP="00D24DA9">
      <w:pPr>
        <w:spacing w:line="360" w:lineRule="auto"/>
        <w:ind w:left="705"/>
        <w:jc w:val="both"/>
        <w:rPr>
          <w:rFonts w:asciiTheme="majorHAnsi" w:hAnsiTheme="majorHAnsi" w:cstheme="majorHAnsi"/>
          <w:sz w:val="20"/>
        </w:rPr>
      </w:pPr>
      <w:r w:rsidRPr="00D24DA9">
        <w:rPr>
          <w:rFonts w:asciiTheme="majorHAnsi" w:hAnsiTheme="majorHAnsi" w:cstheme="majorHAnsi"/>
          <w:sz w:val="20"/>
          <w:u w:val="single"/>
        </w:rPr>
        <w:lastRenderedPageBreak/>
        <w:t>Výstupný  produkt</w:t>
      </w:r>
    </w:p>
    <w:p w:rsidR="00D24DA9" w:rsidRPr="00D24DA9" w:rsidRDefault="00D24DA9" w:rsidP="00D24DA9">
      <w:pPr>
        <w:spacing w:line="360" w:lineRule="auto"/>
        <w:ind w:left="705"/>
        <w:jc w:val="both"/>
        <w:rPr>
          <w:rFonts w:asciiTheme="majorHAnsi" w:hAnsiTheme="majorHAnsi" w:cstheme="majorHAnsi"/>
          <w:sz w:val="20"/>
        </w:rPr>
      </w:pPr>
      <w:r w:rsidRPr="00D24DA9">
        <w:rPr>
          <w:rFonts w:asciiTheme="majorHAnsi" w:hAnsiTheme="majorHAnsi" w:cstheme="majorHAnsi"/>
          <w:sz w:val="20"/>
        </w:rPr>
        <w:t>Mušt a mladé víno celkom :</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23,5   m</w:t>
      </w:r>
      <w:r w:rsidRPr="00D24DA9">
        <w:rPr>
          <w:rFonts w:asciiTheme="majorHAnsi" w:hAnsiTheme="majorHAnsi" w:cstheme="majorHAnsi"/>
          <w:sz w:val="20"/>
          <w:vertAlign w:val="superscript"/>
        </w:rPr>
        <w:t xml:space="preserve">3 </w:t>
      </w:r>
      <w:r w:rsidRPr="00D24DA9">
        <w:rPr>
          <w:rFonts w:asciiTheme="majorHAnsi" w:hAnsiTheme="majorHAnsi" w:cstheme="majorHAnsi"/>
          <w:sz w:val="20"/>
        </w:rPr>
        <w:t>/ rok</w:t>
      </w:r>
    </w:p>
    <w:p w:rsidR="00D24DA9" w:rsidRPr="00D24DA9" w:rsidRDefault="00D24DA9" w:rsidP="00D24DA9">
      <w:pPr>
        <w:ind w:left="705"/>
        <w:jc w:val="both"/>
        <w:rPr>
          <w:rFonts w:asciiTheme="majorHAnsi" w:hAnsiTheme="majorHAnsi" w:cstheme="majorHAnsi"/>
          <w:sz w:val="20"/>
          <w:u w:val="single"/>
        </w:rPr>
      </w:pPr>
    </w:p>
    <w:p w:rsidR="00D24DA9" w:rsidRPr="00D24DA9" w:rsidRDefault="00D24DA9" w:rsidP="00D24DA9">
      <w:pPr>
        <w:spacing w:line="360" w:lineRule="auto"/>
        <w:ind w:left="705"/>
        <w:jc w:val="both"/>
        <w:rPr>
          <w:rFonts w:asciiTheme="majorHAnsi" w:hAnsiTheme="majorHAnsi" w:cstheme="majorHAnsi"/>
          <w:sz w:val="20"/>
        </w:rPr>
      </w:pPr>
      <w:r w:rsidRPr="00D24DA9">
        <w:rPr>
          <w:rFonts w:asciiTheme="majorHAnsi" w:hAnsiTheme="majorHAnsi" w:cstheme="majorHAnsi"/>
          <w:sz w:val="20"/>
          <w:u w:val="single"/>
        </w:rPr>
        <w:t>Bilancia odpadových látok</w:t>
      </w:r>
    </w:p>
    <w:p w:rsidR="00D24DA9" w:rsidRPr="00D24DA9" w:rsidRDefault="00D24DA9" w:rsidP="001E7B38">
      <w:pPr>
        <w:numPr>
          <w:ilvl w:val="0"/>
          <w:numId w:val="61"/>
        </w:numPr>
        <w:spacing w:line="360" w:lineRule="auto"/>
        <w:jc w:val="both"/>
        <w:rPr>
          <w:rFonts w:asciiTheme="majorHAnsi" w:hAnsiTheme="majorHAnsi" w:cstheme="majorHAnsi"/>
          <w:sz w:val="20"/>
        </w:rPr>
      </w:pPr>
      <w:r w:rsidRPr="00D24DA9">
        <w:rPr>
          <w:rFonts w:asciiTheme="majorHAnsi" w:hAnsiTheme="majorHAnsi" w:cstheme="majorHAnsi"/>
          <w:sz w:val="20"/>
        </w:rPr>
        <w:t>Výlisky</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w:t>
      </w:r>
      <w:r w:rsidRPr="00D24DA9">
        <w:rPr>
          <w:rFonts w:asciiTheme="majorHAnsi" w:hAnsiTheme="majorHAnsi" w:cstheme="majorHAnsi"/>
          <w:sz w:val="20"/>
        </w:rPr>
        <w:tab/>
        <w:t xml:space="preserve">   6 </w:t>
      </w:r>
      <w:r w:rsidRPr="00D24DA9">
        <w:rPr>
          <w:rFonts w:asciiTheme="majorHAnsi" w:hAnsiTheme="majorHAnsi" w:cstheme="majorHAnsi"/>
          <w:sz w:val="20"/>
        </w:rPr>
        <w:tab/>
        <w:t>ton / rok</w:t>
      </w:r>
    </w:p>
    <w:p w:rsidR="00D24DA9" w:rsidRPr="00D24DA9" w:rsidRDefault="00D24DA9" w:rsidP="001E7B38">
      <w:pPr>
        <w:numPr>
          <w:ilvl w:val="0"/>
          <w:numId w:val="61"/>
        </w:numPr>
        <w:spacing w:line="360" w:lineRule="auto"/>
        <w:jc w:val="both"/>
        <w:rPr>
          <w:rFonts w:asciiTheme="majorHAnsi" w:hAnsiTheme="majorHAnsi" w:cstheme="majorHAnsi"/>
          <w:sz w:val="20"/>
        </w:rPr>
      </w:pPr>
      <w:r w:rsidRPr="00D24DA9">
        <w:rPr>
          <w:rFonts w:asciiTheme="majorHAnsi" w:hAnsiTheme="majorHAnsi" w:cstheme="majorHAnsi"/>
          <w:sz w:val="20"/>
        </w:rPr>
        <w:t>Strapiny</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w:t>
      </w:r>
      <w:r w:rsidRPr="00D24DA9">
        <w:rPr>
          <w:rFonts w:asciiTheme="majorHAnsi" w:hAnsiTheme="majorHAnsi" w:cstheme="majorHAnsi"/>
          <w:sz w:val="20"/>
        </w:rPr>
        <w:tab/>
        <w:t xml:space="preserve">   2   </w:t>
      </w:r>
      <w:r w:rsidRPr="00D24DA9">
        <w:rPr>
          <w:rFonts w:asciiTheme="majorHAnsi" w:hAnsiTheme="majorHAnsi" w:cstheme="majorHAnsi"/>
          <w:sz w:val="20"/>
        </w:rPr>
        <w:tab/>
        <w:t>ton / rok</w:t>
      </w:r>
    </w:p>
    <w:p w:rsidR="00D24DA9" w:rsidRPr="00D24DA9" w:rsidRDefault="00D24DA9" w:rsidP="001E7B38">
      <w:pPr>
        <w:numPr>
          <w:ilvl w:val="0"/>
          <w:numId w:val="61"/>
        </w:numPr>
        <w:spacing w:line="360" w:lineRule="auto"/>
        <w:jc w:val="both"/>
        <w:rPr>
          <w:rFonts w:asciiTheme="majorHAnsi" w:hAnsiTheme="majorHAnsi" w:cstheme="majorHAnsi"/>
          <w:sz w:val="20"/>
        </w:rPr>
      </w:pPr>
      <w:r w:rsidRPr="00D24DA9">
        <w:rPr>
          <w:rFonts w:asciiTheme="majorHAnsi" w:hAnsiTheme="majorHAnsi" w:cstheme="majorHAnsi"/>
          <w:sz w:val="20"/>
        </w:rPr>
        <w:t>Kaly sedimentačné</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w:t>
      </w:r>
      <w:r w:rsidRPr="00D24DA9">
        <w:rPr>
          <w:rFonts w:asciiTheme="majorHAnsi" w:hAnsiTheme="majorHAnsi" w:cstheme="majorHAnsi"/>
          <w:sz w:val="20"/>
        </w:rPr>
        <w:tab/>
        <w:t xml:space="preserve">0,8  </w:t>
      </w:r>
      <w:r w:rsidRPr="00D24DA9">
        <w:rPr>
          <w:rFonts w:asciiTheme="majorHAnsi" w:hAnsiTheme="majorHAnsi" w:cstheme="majorHAnsi"/>
          <w:sz w:val="20"/>
        </w:rPr>
        <w:tab/>
        <w:t>m³ / rok</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            d)  CO2                                                                       max.     1 t / rok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      </w:t>
      </w:r>
    </w:p>
    <w:p w:rsidR="00D24DA9" w:rsidRPr="00D24DA9" w:rsidRDefault="00D24DA9" w:rsidP="00D24DA9">
      <w:pPr>
        <w:spacing w:line="360" w:lineRule="auto"/>
        <w:jc w:val="both"/>
        <w:rPr>
          <w:rFonts w:asciiTheme="majorHAnsi" w:hAnsiTheme="majorHAnsi" w:cstheme="majorHAnsi"/>
          <w:b/>
          <w:sz w:val="20"/>
          <w:u w:val="single"/>
        </w:rPr>
      </w:pPr>
      <w:r w:rsidRPr="00D24DA9">
        <w:rPr>
          <w:rFonts w:asciiTheme="majorHAnsi" w:hAnsiTheme="majorHAnsi" w:cstheme="majorHAnsi"/>
          <w:b/>
          <w:sz w:val="20"/>
          <w:u w:val="single"/>
        </w:rPr>
        <w:t>Likvidácia  odpadov</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Pri spracovaní hrozna nevznikajú odpady (bezodpadová technológia) ale jedná sa o druhotné suroviny, ktoré je možné ďalej využiť. Jedná sa o :</w:t>
      </w:r>
    </w:p>
    <w:p w:rsidR="00D24DA9" w:rsidRPr="00D24DA9" w:rsidRDefault="00D24DA9" w:rsidP="001E7B38">
      <w:pPr>
        <w:numPr>
          <w:ilvl w:val="0"/>
          <w:numId w:val="62"/>
        </w:numPr>
        <w:spacing w:line="360" w:lineRule="auto"/>
        <w:ind w:left="1069"/>
        <w:jc w:val="both"/>
        <w:rPr>
          <w:rFonts w:asciiTheme="majorHAnsi" w:hAnsiTheme="majorHAnsi" w:cstheme="majorHAnsi"/>
          <w:sz w:val="20"/>
        </w:rPr>
      </w:pPr>
      <w:r w:rsidRPr="00D24DA9">
        <w:rPr>
          <w:rFonts w:asciiTheme="majorHAnsi" w:hAnsiTheme="majorHAnsi" w:cstheme="majorHAnsi"/>
          <w:sz w:val="20"/>
        </w:rPr>
        <w:t>výlisky</w:t>
      </w:r>
    </w:p>
    <w:p w:rsidR="00D24DA9" w:rsidRPr="00D24DA9" w:rsidRDefault="00D24DA9" w:rsidP="001E7B38">
      <w:pPr>
        <w:numPr>
          <w:ilvl w:val="0"/>
          <w:numId w:val="62"/>
        </w:numPr>
        <w:spacing w:line="360" w:lineRule="auto"/>
        <w:ind w:left="1069"/>
        <w:jc w:val="both"/>
        <w:rPr>
          <w:rFonts w:asciiTheme="majorHAnsi" w:hAnsiTheme="majorHAnsi" w:cstheme="majorHAnsi"/>
          <w:sz w:val="20"/>
        </w:rPr>
      </w:pPr>
      <w:r w:rsidRPr="00D24DA9">
        <w:rPr>
          <w:rFonts w:asciiTheme="majorHAnsi" w:hAnsiTheme="majorHAnsi" w:cstheme="majorHAnsi"/>
          <w:sz w:val="20"/>
        </w:rPr>
        <w:t>strapiny</w:t>
      </w:r>
    </w:p>
    <w:p w:rsidR="00D24DA9" w:rsidRPr="00D24DA9" w:rsidRDefault="00D24DA9" w:rsidP="001E7B38">
      <w:pPr>
        <w:numPr>
          <w:ilvl w:val="0"/>
          <w:numId w:val="62"/>
        </w:numPr>
        <w:spacing w:line="360" w:lineRule="auto"/>
        <w:ind w:left="1069"/>
        <w:jc w:val="both"/>
        <w:rPr>
          <w:rFonts w:asciiTheme="majorHAnsi" w:hAnsiTheme="majorHAnsi" w:cstheme="majorHAnsi"/>
          <w:sz w:val="20"/>
        </w:rPr>
      </w:pPr>
      <w:r w:rsidRPr="00D24DA9">
        <w:rPr>
          <w:rFonts w:asciiTheme="majorHAnsi" w:hAnsiTheme="majorHAnsi" w:cstheme="majorHAnsi"/>
          <w:sz w:val="20"/>
        </w:rPr>
        <w:t>kaly sedimentačné</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Nižšie uvedené skupiny, podskupiny a druhy odpadov sú vyšpecifikované v zmysle vyhlášky MŽP SR č. 365/2015 Zb. ktorou sa stanoví Katalóg odpadov.</w:t>
      </w:r>
    </w:p>
    <w:p w:rsidR="00D24DA9" w:rsidRPr="00D24DA9" w:rsidRDefault="00D24DA9" w:rsidP="00D24DA9">
      <w:pPr>
        <w:spacing w:line="360" w:lineRule="auto"/>
        <w:jc w:val="both"/>
        <w:rPr>
          <w:rFonts w:asciiTheme="majorHAnsi" w:hAnsiTheme="majorHAnsi" w:cstheme="majorHAnsi"/>
          <w:snapToGrid w:val="0"/>
          <w:sz w:val="20"/>
        </w:rPr>
      </w:pPr>
      <w:r w:rsidRPr="00D24DA9">
        <w:rPr>
          <w:rFonts w:asciiTheme="majorHAnsi" w:hAnsiTheme="majorHAnsi" w:cstheme="majorHAnsi"/>
          <w:snapToGrid w:val="0"/>
          <w:sz w:val="20"/>
        </w:rPr>
        <w:t>Tuhé využiteľné odpady organického pôvodu</w:t>
      </w:r>
      <w:r w:rsidRPr="00D24DA9">
        <w:rPr>
          <w:rFonts w:asciiTheme="majorHAnsi" w:hAnsiTheme="majorHAnsi" w:cstheme="majorHAnsi"/>
          <w:sz w:val="20"/>
        </w:rPr>
        <w:t xml:space="preserve"> v množstve     9  t . rok</w:t>
      </w:r>
      <w:r w:rsidRPr="00D24DA9">
        <w:rPr>
          <w:rFonts w:asciiTheme="majorHAnsi" w:hAnsiTheme="majorHAnsi" w:cstheme="majorHAnsi"/>
          <w:sz w:val="20"/>
          <w:vertAlign w:val="superscript"/>
        </w:rPr>
        <w:t>-1</w:t>
      </w:r>
      <w:r w:rsidRPr="00D24DA9">
        <w:rPr>
          <w:rFonts w:asciiTheme="majorHAnsi" w:hAnsiTheme="majorHAnsi" w:cstheme="majorHAnsi"/>
          <w:sz w:val="20"/>
        </w:rPr>
        <w:t>, z toho</w:t>
      </w:r>
      <w:r w:rsidRPr="00D24DA9">
        <w:rPr>
          <w:rFonts w:asciiTheme="majorHAnsi" w:hAnsiTheme="majorHAnsi" w:cstheme="majorHAnsi"/>
          <w:snapToGrid w:val="0"/>
          <w:sz w:val="20"/>
        </w:rPr>
        <w:t>:</w:t>
      </w:r>
    </w:p>
    <w:p w:rsidR="00D24DA9" w:rsidRPr="00D24DA9" w:rsidRDefault="00D24DA9" w:rsidP="00D24DA9">
      <w:pPr>
        <w:spacing w:line="360" w:lineRule="auto"/>
        <w:ind w:left="360" w:firstLine="349"/>
        <w:jc w:val="both"/>
        <w:rPr>
          <w:rFonts w:asciiTheme="majorHAnsi" w:hAnsiTheme="majorHAnsi" w:cstheme="majorHAnsi"/>
          <w:sz w:val="20"/>
        </w:rPr>
      </w:pPr>
      <w:r w:rsidRPr="00D24DA9">
        <w:rPr>
          <w:rFonts w:asciiTheme="majorHAnsi" w:hAnsiTheme="majorHAnsi" w:cstheme="majorHAnsi"/>
          <w:snapToGrid w:val="0"/>
          <w:sz w:val="20"/>
        </w:rPr>
        <w:t>- v</w:t>
      </w:r>
      <w:r w:rsidRPr="00D24DA9">
        <w:rPr>
          <w:rFonts w:asciiTheme="majorHAnsi" w:hAnsiTheme="majorHAnsi" w:cstheme="majorHAnsi"/>
          <w:sz w:val="20"/>
        </w:rPr>
        <w:t>ýlisky (zelený zoznam GM 130)  v množstve         6   t . rok</w:t>
      </w:r>
      <w:r w:rsidRPr="00D24DA9">
        <w:rPr>
          <w:rFonts w:asciiTheme="majorHAnsi" w:hAnsiTheme="majorHAnsi" w:cstheme="majorHAnsi"/>
          <w:sz w:val="20"/>
          <w:vertAlign w:val="superscript"/>
        </w:rPr>
        <w:t>-1</w:t>
      </w:r>
      <w:r w:rsidRPr="00D24DA9">
        <w:rPr>
          <w:rFonts w:asciiTheme="majorHAnsi" w:hAnsiTheme="majorHAnsi" w:cstheme="majorHAnsi"/>
          <w:sz w:val="20"/>
        </w:rPr>
        <w:t xml:space="preserve">  </w:t>
      </w:r>
    </w:p>
    <w:p w:rsidR="00D24DA9" w:rsidRPr="00D24DA9" w:rsidRDefault="00D24DA9" w:rsidP="00D24DA9">
      <w:pPr>
        <w:spacing w:line="360" w:lineRule="auto"/>
        <w:ind w:left="360" w:firstLine="349"/>
        <w:jc w:val="both"/>
        <w:rPr>
          <w:rFonts w:asciiTheme="majorHAnsi" w:hAnsiTheme="majorHAnsi" w:cstheme="majorHAnsi"/>
          <w:sz w:val="20"/>
        </w:rPr>
      </w:pPr>
      <w:r w:rsidRPr="00D24DA9">
        <w:rPr>
          <w:rFonts w:asciiTheme="majorHAnsi" w:hAnsiTheme="majorHAnsi" w:cstheme="majorHAnsi"/>
          <w:sz w:val="20"/>
        </w:rPr>
        <w:t>- strapiny (zelený zoznam GM 130) v množstve         2  t . rok</w:t>
      </w:r>
      <w:r w:rsidRPr="00D24DA9">
        <w:rPr>
          <w:rFonts w:asciiTheme="majorHAnsi" w:hAnsiTheme="majorHAnsi" w:cstheme="majorHAnsi"/>
          <w:sz w:val="20"/>
          <w:vertAlign w:val="superscript"/>
        </w:rPr>
        <w:t>-1</w:t>
      </w:r>
      <w:r w:rsidRPr="00D24DA9">
        <w:rPr>
          <w:rFonts w:asciiTheme="majorHAnsi" w:hAnsiTheme="majorHAnsi" w:cstheme="majorHAnsi"/>
          <w:snapToGrid w:val="0"/>
          <w:sz w:val="20"/>
        </w:rPr>
        <w:t>,</w:t>
      </w:r>
    </w:p>
    <w:p w:rsidR="00D24DA9" w:rsidRPr="00D24DA9" w:rsidRDefault="00D24DA9" w:rsidP="00D24DA9">
      <w:pPr>
        <w:spacing w:line="360" w:lineRule="auto"/>
        <w:ind w:left="360" w:firstLine="349"/>
        <w:jc w:val="both"/>
        <w:rPr>
          <w:rFonts w:asciiTheme="majorHAnsi" w:hAnsiTheme="majorHAnsi" w:cstheme="majorHAnsi"/>
          <w:snapToGrid w:val="0"/>
          <w:sz w:val="20"/>
        </w:rPr>
      </w:pPr>
      <w:r w:rsidRPr="00D24DA9">
        <w:rPr>
          <w:rFonts w:asciiTheme="majorHAnsi" w:hAnsiTheme="majorHAnsi" w:cstheme="majorHAnsi"/>
          <w:sz w:val="20"/>
        </w:rPr>
        <w:t>- sedimentačné kaly (zelený zoznam GM 070)          0,8  m³ . rok</w:t>
      </w:r>
      <w:r w:rsidRPr="00D24DA9">
        <w:rPr>
          <w:rFonts w:asciiTheme="majorHAnsi" w:hAnsiTheme="majorHAnsi" w:cstheme="majorHAnsi"/>
          <w:sz w:val="20"/>
          <w:vertAlign w:val="superscript"/>
        </w:rPr>
        <w:t>-1</w:t>
      </w:r>
      <w:r w:rsidRPr="00D24DA9">
        <w:rPr>
          <w:rFonts w:asciiTheme="majorHAnsi" w:hAnsiTheme="majorHAnsi" w:cstheme="majorHAnsi"/>
          <w:snapToGrid w:val="0"/>
          <w:sz w:val="20"/>
        </w:rPr>
        <w:t xml:space="preserve">,  </w:t>
      </w:r>
    </w:p>
    <w:p w:rsidR="00D24DA9" w:rsidRPr="00D24DA9" w:rsidRDefault="00D24DA9" w:rsidP="00D24DA9">
      <w:pPr>
        <w:spacing w:line="360" w:lineRule="auto"/>
        <w:ind w:left="360" w:firstLine="349"/>
        <w:jc w:val="both"/>
        <w:rPr>
          <w:rFonts w:asciiTheme="majorHAnsi" w:hAnsiTheme="majorHAnsi" w:cstheme="majorHAnsi"/>
          <w:snapToGrid w:val="0"/>
          <w:sz w:val="20"/>
        </w:rPr>
      </w:pPr>
    </w:p>
    <w:p w:rsidR="00D24DA9" w:rsidRPr="00D24DA9" w:rsidRDefault="00D24DA9" w:rsidP="00D24DA9">
      <w:pPr>
        <w:spacing w:line="360" w:lineRule="auto"/>
        <w:jc w:val="both"/>
        <w:rPr>
          <w:rFonts w:asciiTheme="majorHAnsi" w:hAnsiTheme="majorHAnsi" w:cstheme="majorHAnsi"/>
          <w:snapToGrid w:val="0"/>
          <w:sz w:val="20"/>
        </w:rPr>
      </w:pPr>
      <w:r w:rsidRPr="00D24DA9">
        <w:rPr>
          <w:rFonts w:asciiTheme="majorHAnsi" w:hAnsiTheme="majorHAnsi" w:cstheme="majorHAnsi"/>
          <w:snapToGrid w:val="0"/>
          <w:sz w:val="20"/>
        </w:rPr>
        <w:t xml:space="preserve">druh odpadu č. 02 07 01 - odpady z mechanického spracovania surovín pri výrobe alkoholických nápojov. Budú vznikať pri odstrapinovaní, lisovaní hrozna, čistení muštu sedimentáciou hrubých kalov a pri filtrovaní mladého vína. Odpady sa budú zhromažďovať v osobitne vyčlenených kontajneroch, v ktorých sa budú priebežne </w:t>
      </w:r>
    </w:p>
    <w:p w:rsidR="00D24DA9" w:rsidRPr="00D24DA9" w:rsidRDefault="00D24DA9" w:rsidP="00D24DA9">
      <w:pPr>
        <w:spacing w:line="360" w:lineRule="auto"/>
        <w:jc w:val="both"/>
        <w:rPr>
          <w:rFonts w:asciiTheme="majorHAnsi" w:hAnsiTheme="majorHAnsi" w:cstheme="majorHAnsi"/>
          <w:snapToGrid w:val="0"/>
          <w:sz w:val="20"/>
        </w:rPr>
      </w:pPr>
      <w:r w:rsidRPr="00D24DA9">
        <w:rPr>
          <w:rFonts w:asciiTheme="majorHAnsi" w:hAnsiTheme="majorHAnsi" w:cstheme="majorHAnsi"/>
          <w:snapToGrid w:val="0"/>
          <w:sz w:val="20"/>
        </w:rPr>
        <w:t>odvážať na skompostovanie v kompostovom hospodárstve investora. Vyrobený kompost sa bude aplikovať ako organické hnojivo vo vinohradoch investora.</w:t>
      </w:r>
    </w:p>
    <w:p w:rsidR="00D24DA9" w:rsidRPr="00D24DA9" w:rsidRDefault="00D24DA9" w:rsidP="00D24DA9">
      <w:pPr>
        <w:spacing w:before="120" w:line="360" w:lineRule="auto"/>
        <w:jc w:val="both"/>
        <w:rPr>
          <w:rFonts w:asciiTheme="majorHAnsi" w:hAnsiTheme="majorHAnsi" w:cstheme="majorHAnsi"/>
          <w:snapToGrid w:val="0"/>
          <w:sz w:val="20"/>
        </w:rPr>
      </w:pPr>
      <w:r w:rsidRPr="00D24DA9">
        <w:rPr>
          <w:rFonts w:asciiTheme="majorHAnsi" w:hAnsiTheme="majorHAnsi" w:cstheme="majorHAnsi"/>
          <w:snapToGrid w:val="0"/>
          <w:sz w:val="20"/>
        </w:rPr>
        <w:t xml:space="preserve">Tuhé nevyužiteľné, zmiešané odpady z celej  výroby, komunálneho charakteru - druh  odpadu  č. 20 03 01 - zmesný komunálny odpad, v zanedbateľnom množstve, budú tvoriť materiály znehodnotené znečistením a zmiešaním rôznych druhov odpadov. Odpady sa budú zhromažďovať v kontajneri a </w:t>
      </w:r>
      <w:r w:rsidRPr="00D24DA9">
        <w:rPr>
          <w:rFonts w:asciiTheme="majorHAnsi" w:hAnsiTheme="majorHAnsi" w:cstheme="majorHAnsi"/>
          <w:sz w:val="20"/>
        </w:rPr>
        <w:t xml:space="preserve">zneškodňovať </w:t>
      </w:r>
      <w:r w:rsidRPr="00D24DA9">
        <w:rPr>
          <w:rFonts w:asciiTheme="majorHAnsi" w:hAnsiTheme="majorHAnsi" w:cstheme="majorHAnsi"/>
          <w:snapToGrid w:val="0"/>
          <w:sz w:val="20"/>
        </w:rPr>
        <w:t>odvozom na určenú skládku odpadov v rámci jestvujúceho systému likvidácie odpadov v prevádzke.</w:t>
      </w:r>
    </w:p>
    <w:p w:rsidR="00D24DA9" w:rsidRPr="00D24DA9" w:rsidRDefault="00D24DA9" w:rsidP="00D24DA9">
      <w:pPr>
        <w:spacing w:before="120" w:line="360" w:lineRule="auto"/>
        <w:jc w:val="both"/>
        <w:rPr>
          <w:rFonts w:asciiTheme="majorHAnsi" w:hAnsiTheme="majorHAnsi" w:cstheme="majorHAnsi"/>
          <w:snapToGrid w:val="0"/>
          <w:sz w:val="20"/>
        </w:rPr>
      </w:pPr>
      <w:r w:rsidRPr="00D24DA9">
        <w:rPr>
          <w:rFonts w:asciiTheme="majorHAnsi" w:hAnsiTheme="majorHAnsi" w:cstheme="majorHAnsi"/>
          <w:snapToGrid w:val="0"/>
          <w:sz w:val="20"/>
        </w:rPr>
        <w:t>Jediným nebezpečným odpadom, ktorý sa jednorazovo vyprodukuje budú obaly z farieb, lakov a riedidiel z náterov technologických zariadení – len počas výstavby. V priebehu výroby sa nebudú produkovať žiadne nebezpečné odpady.</w:t>
      </w:r>
    </w:p>
    <w:p w:rsidR="00D24DA9" w:rsidRPr="00D24DA9" w:rsidRDefault="00D24DA9" w:rsidP="00D24DA9">
      <w:pPr>
        <w:spacing w:before="120" w:line="360" w:lineRule="auto"/>
        <w:jc w:val="both"/>
        <w:rPr>
          <w:rFonts w:asciiTheme="majorHAnsi" w:hAnsiTheme="majorHAnsi" w:cstheme="majorHAnsi"/>
          <w:snapToGrid w:val="0"/>
          <w:sz w:val="20"/>
        </w:rPr>
      </w:pPr>
      <w:r w:rsidRPr="00D24DA9">
        <w:rPr>
          <w:rFonts w:asciiTheme="majorHAnsi" w:hAnsiTheme="majorHAnsi" w:cstheme="majorHAnsi"/>
          <w:snapToGrid w:val="0"/>
          <w:sz w:val="20"/>
        </w:rPr>
        <w:t>Ďalším odpadom je plynný CO</w:t>
      </w:r>
      <w:r w:rsidRPr="00D24DA9">
        <w:rPr>
          <w:rFonts w:asciiTheme="majorHAnsi" w:hAnsiTheme="majorHAnsi" w:cstheme="majorHAnsi"/>
          <w:snapToGrid w:val="0"/>
          <w:sz w:val="20"/>
          <w:vertAlign w:val="subscript"/>
        </w:rPr>
        <w:t>2</w:t>
      </w:r>
      <w:r w:rsidRPr="00D24DA9">
        <w:rPr>
          <w:rFonts w:asciiTheme="majorHAnsi" w:hAnsiTheme="majorHAnsi" w:cstheme="majorHAnsi"/>
          <w:snapToGrid w:val="0"/>
          <w:sz w:val="20"/>
        </w:rPr>
        <w:t xml:space="preserve"> ktorý je vzduchotechnickými súpravami odtiahnutý z priestoru a rozptýlený v ovzduší. Je neškodný vzniká pri vinifikácii modrej odrody a max. množstvo môže vznikať  1 000 kg  CO</w:t>
      </w:r>
      <w:r w:rsidRPr="00D24DA9">
        <w:rPr>
          <w:rFonts w:asciiTheme="majorHAnsi" w:hAnsiTheme="majorHAnsi" w:cstheme="majorHAnsi"/>
          <w:snapToGrid w:val="0"/>
          <w:sz w:val="20"/>
          <w:vertAlign w:val="subscript"/>
        </w:rPr>
        <w:t xml:space="preserve">2 </w:t>
      </w:r>
      <w:r w:rsidRPr="00D24DA9">
        <w:rPr>
          <w:rFonts w:asciiTheme="majorHAnsi" w:hAnsiTheme="majorHAnsi" w:cstheme="majorHAnsi"/>
          <w:snapToGrid w:val="0"/>
          <w:sz w:val="20"/>
        </w:rPr>
        <w:t>/ rok.</w:t>
      </w:r>
    </w:p>
    <w:p w:rsidR="00D24DA9" w:rsidRPr="00D24DA9" w:rsidRDefault="00D24DA9" w:rsidP="00D24DA9">
      <w:pPr>
        <w:spacing w:before="120" w:line="276" w:lineRule="auto"/>
        <w:jc w:val="both"/>
        <w:rPr>
          <w:rFonts w:asciiTheme="majorHAnsi" w:hAnsiTheme="majorHAnsi" w:cstheme="majorHAnsi"/>
          <w:snapToGrid w:val="0"/>
          <w:sz w:val="20"/>
        </w:rPr>
      </w:pPr>
      <w:r w:rsidRPr="00D24DA9">
        <w:rPr>
          <w:rFonts w:asciiTheme="majorHAnsi" w:hAnsiTheme="majorHAnsi" w:cstheme="majorHAnsi"/>
          <w:snapToGrid w:val="0"/>
          <w:sz w:val="20"/>
        </w:rPr>
        <w:t>Snímače koncentrácie CO2 musia byť nastavené tak, aby ich hranica nikdy neprekročila</w:t>
      </w:r>
    </w:p>
    <w:p w:rsidR="00D24DA9" w:rsidRPr="00D24DA9" w:rsidRDefault="00D24DA9" w:rsidP="00D24DA9">
      <w:pPr>
        <w:spacing w:before="120" w:line="276" w:lineRule="auto"/>
        <w:jc w:val="both"/>
        <w:rPr>
          <w:rFonts w:asciiTheme="majorHAnsi" w:hAnsiTheme="majorHAnsi" w:cstheme="majorHAnsi"/>
          <w:snapToGrid w:val="0"/>
          <w:sz w:val="20"/>
        </w:rPr>
      </w:pPr>
      <w:r w:rsidRPr="00D24DA9">
        <w:rPr>
          <w:rFonts w:asciiTheme="majorHAnsi" w:hAnsiTheme="majorHAnsi" w:cstheme="majorHAnsi"/>
          <w:snapToGrid w:val="0"/>
          <w:sz w:val="20"/>
        </w:rPr>
        <w:lastRenderedPageBreak/>
        <w:t>medzu 5 000 ppm.</w:t>
      </w:r>
    </w:p>
    <w:p w:rsidR="00D24DA9" w:rsidRDefault="00D24DA9" w:rsidP="00D24DA9">
      <w:pPr>
        <w:spacing w:line="360" w:lineRule="auto"/>
        <w:jc w:val="both"/>
        <w:rPr>
          <w:rFonts w:asciiTheme="majorHAnsi" w:hAnsiTheme="majorHAnsi" w:cstheme="majorHAnsi"/>
          <w:b/>
          <w:sz w:val="20"/>
          <w:u w:val="single"/>
        </w:rPr>
      </w:pPr>
    </w:p>
    <w:p w:rsidR="00D24DA9" w:rsidRPr="00D24DA9" w:rsidRDefault="00D24DA9" w:rsidP="00D24DA9">
      <w:pPr>
        <w:spacing w:line="360" w:lineRule="auto"/>
        <w:jc w:val="both"/>
        <w:rPr>
          <w:rFonts w:asciiTheme="majorHAnsi" w:hAnsiTheme="majorHAnsi" w:cstheme="majorHAnsi"/>
          <w:b/>
          <w:sz w:val="20"/>
          <w:u w:val="single"/>
        </w:rPr>
      </w:pPr>
      <w:r w:rsidRPr="00D24DA9">
        <w:rPr>
          <w:rFonts w:asciiTheme="majorHAnsi" w:hAnsiTheme="majorHAnsi" w:cstheme="majorHAnsi"/>
          <w:b/>
          <w:sz w:val="20"/>
          <w:u w:val="single"/>
        </w:rPr>
        <w:t>Potreba energií</w:t>
      </w:r>
    </w:p>
    <w:p w:rsidR="00D24DA9" w:rsidRPr="00D24DA9" w:rsidRDefault="00D24DA9" w:rsidP="001E7B38">
      <w:pPr>
        <w:numPr>
          <w:ilvl w:val="0"/>
          <w:numId w:val="63"/>
        </w:numPr>
        <w:spacing w:line="360" w:lineRule="auto"/>
        <w:jc w:val="both"/>
        <w:rPr>
          <w:rFonts w:asciiTheme="majorHAnsi" w:hAnsiTheme="majorHAnsi" w:cstheme="majorHAnsi"/>
          <w:sz w:val="20"/>
          <w:u w:val="single"/>
        </w:rPr>
      </w:pPr>
      <w:r w:rsidRPr="00D24DA9">
        <w:rPr>
          <w:rFonts w:asciiTheme="majorHAnsi" w:hAnsiTheme="majorHAnsi" w:cstheme="majorHAnsi"/>
          <w:sz w:val="20"/>
          <w:u w:val="single"/>
        </w:rPr>
        <w:t>Voda  (technologická )</w:t>
      </w:r>
    </w:p>
    <w:p w:rsidR="00D24DA9" w:rsidRPr="00D24DA9" w:rsidRDefault="00D24DA9" w:rsidP="00D24DA9">
      <w:pPr>
        <w:spacing w:line="360" w:lineRule="auto"/>
        <w:ind w:left="1065"/>
        <w:jc w:val="both"/>
        <w:rPr>
          <w:rFonts w:asciiTheme="majorHAnsi" w:hAnsiTheme="majorHAnsi" w:cstheme="majorHAnsi"/>
          <w:sz w:val="20"/>
        </w:rPr>
      </w:pPr>
      <w:r w:rsidRPr="00D24DA9">
        <w:rPr>
          <w:rFonts w:asciiTheme="majorHAnsi" w:hAnsiTheme="majorHAnsi" w:cstheme="majorHAnsi"/>
          <w:sz w:val="20"/>
        </w:rPr>
        <w:t xml:space="preserve">Spotreba vody pri výrobe vína je </w:t>
      </w:r>
      <w:smartTag w:uri="urn:schemas-microsoft-com:office:smarttags" w:element="metricconverter">
        <w:smartTagPr>
          <w:attr w:name="ProductID" w:val="0,3 mﾳ"/>
        </w:smartTagPr>
        <w:r w:rsidRPr="00D24DA9">
          <w:rPr>
            <w:rFonts w:asciiTheme="majorHAnsi" w:hAnsiTheme="majorHAnsi" w:cstheme="majorHAnsi"/>
            <w:sz w:val="20"/>
          </w:rPr>
          <w:t>0,3 m³</w:t>
        </w:r>
      </w:smartTag>
      <w:r w:rsidRPr="00D24DA9">
        <w:rPr>
          <w:rFonts w:asciiTheme="majorHAnsi" w:hAnsiTheme="majorHAnsi" w:cstheme="majorHAnsi"/>
          <w:sz w:val="20"/>
        </w:rPr>
        <w:t xml:space="preserve"> / 1 hl  vyrobeného vína t.j.</w:t>
      </w:r>
    </w:p>
    <w:p w:rsidR="00D24DA9" w:rsidRPr="00D24DA9" w:rsidRDefault="00D24DA9" w:rsidP="00D24DA9">
      <w:pPr>
        <w:spacing w:line="360" w:lineRule="auto"/>
        <w:ind w:left="1065"/>
        <w:jc w:val="both"/>
        <w:rPr>
          <w:rFonts w:asciiTheme="majorHAnsi" w:hAnsiTheme="majorHAnsi" w:cstheme="majorHAnsi"/>
          <w:sz w:val="20"/>
        </w:rPr>
      </w:pPr>
      <w:r w:rsidRPr="00D24DA9">
        <w:rPr>
          <w:rFonts w:asciiTheme="majorHAnsi" w:hAnsiTheme="majorHAnsi" w:cstheme="majorHAnsi"/>
          <w:sz w:val="20"/>
        </w:rPr>
        <w:t>220  .  0,3   ~   66 m³ / rok</w:t>
      </w:r>
    </w:p>
    <w:p w:rsidR="00D24DA9" w:rsidRPr="00D24DA9" w:rsidRDefault="00D24DA9" w:rsidP="00D24DA9">
      <w:pPr>
        <w:spacing w:line="360" w:lineRule="auto"/>
        <w:ind w:left="1065"/>
        <w:jc w:val="both"/>
        <w:rPr>
          <w:rFonts w:asciiTheme="majorHAnsi" w:hAnsiTheme="majorHAnsi" w:cstheme="majorHAnsi"/>
          <w:sz w:val="20"/>
        </w:rPr>
      </w:pPr>
      <w:r w:rsidRPr="00D24DA9">
        <w:rPr>
          <w:rFonts w:asciiTheme="majorHAnsi" w:hAnsiTheme="majorHAnsi" w:cstheme="majorHAnsi"/>
          <w:sz w:val="20"/>
        </w:rPr>
        <w:t xml:space="preserve">Spotreba vody je vrátane fľašovania vína. </w:t>
      </w:r>
    </w:p>
    <w:p w:rsidR="00D24DA9" w:rsidRPr="00D24DA9" w:rsidRDefault="00D24DA9" w:rsidP="00D24DA9">
      <w:pPr>
        <w:spacing w:line="360" w:lineRule="auto"/>
        <w:ind w:left="1065"/>
        <w:jc w:val="both"/>
        <w:rPr>
          <w:rFonts w:asciiTheme="majorHAnsi" w:hAnsiTheme="majorHAnsi" w:cstheme="majorHAnsi"/>
          <w:sz w:val="20"/>
        </w:rPr>
      </w:pPr>
      <w:r w:rsidRPr="00D24DA9">
        <w:rPr>
          <w:rFonts w:asciiTheme="majorHAnsi" w:hAnsiTheme="majorHAnsi" w:cstheme="majorHAnsi"/>
          <w:sz w:val="20"/>
        </w:rPr>
        <w:t xml:space="preserve">Spotreba vody pre lisovňu je  20 m³ / rok. </w:t>
      </w:r>
    </w:p>
    <w:p w:rsidR="00D24DA9" w:rsidRPr="00D24DA9" w:rsidRDefault="00D24DA9" w:rsidP="00D24DA9">
      <w:pPr>
        <w:ind w:left="1065"/>
        <w:jc w:val="both"/>
        <w:rPr>
          <w:rFonts w:asciiTheme="majorHAnsi" w:hAnsiTheme="majorHAnsi" w:cstheme="majorHAnsi"/>
          <w:sz w:val="20"/>
        </w:rPr>
      </w:pPr>
    </w:p>
    <w:p w:rsidR="00D24DA9" w:rsidRPr="00D24DA9" w:rsidRDefault="00D24DA9" w:rsidP="001E7B38">
      <w:pPr>
        <w:numPr>
          <w:ilvl w:val="0"/>
          <w:numId w:val="63"/>
        </w:numPr>
        <w:spacing w:line="360" w:lineRule="auto"/>
        <w:jc w:val="both"/>
        <w:rPr>
          <w:rFonts w:asciiTheme="majorHAnsi" w:hAnsiTheme="majorHAnsi" w:cstheme="majorHAnsi"/>
          <w:sz w:val="20"/>
          <w:u w:val="single"/>
        </w:rPr>
      </w:pPr>
      <w:r w:rsidRPr="00D24DA9">
        <w:rPr>
          <w:rFonts w:asciiTheme="majorHAnsi" w:hAnsiTheme="majorHAnsi" w:cstheme="majorHAnsi"/>
          <w:sz w:val="20"/>
          <w:u w:val="single"/>
        </w:rPr>
        <w:t>Elektrická energia (technologická)</w:t>
      </w:r>
    </w:p>
    <w:p w:rsidR="00D24DA9" w:rsidRPr="00D24DA9" w:rsidRDefault="00D24DA9" w:rsidP="00D24DA9">
      <w:pPr>
        <w:spacing w:line="360" w:lineRule="auto"/>
        <w:ind w:left="1065"/>
        <w:jc w:val="both"/>
        <w:rPr>
          <w:rFonts w:asciiTheme="majorHAnsi" w:hAnsiTheme="majorHAnsi" w:cstheme="majorHAnsi"/>
          <w:sz w:val="20"/>
        </w:rPr>
      </w:pPr>
      <w:r w:rsidRPr="00D24DA9">
        <w:rPr>
          <w:rFonts w:asciiTheme="majorHAnsi" w:hAnsiTheme="majorHAnsi" w:cstheme="majorHAnsi"/>
          <w:sz w:val="20"/>
        </w:rPr>
        <w:t>Inštalovaný príkon</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w:t>
      </w:r>
      <w:r w:rsidRPr="00D24DA9">
        <w:rPr>
          <w:rFonts w:asciiTheme="majorHAnsi" w:hAnsiTheme="majorHAnsi" w:cstheme="majorHAnsi"/>
          <w:sz w:val="20"/>
        </w:rPr>
        <w:tab/>
        <w:t>23    kW</w:t>
      </w:r>
    </w:p>
    <w:p w:rsidR="00D24DA9" w:rsidRPr="00D24DA9" w:rsidRDefault="00D24DA9" w:rsidP="00D24DA9">
      <w:pPr>
        <w:spacing w:line="360" w:lineRule="auto"/>
        <w:ind w:left="1065"/>
        <w:jc w:val="both"/>
        <w:rPr>
          <w:rFonts w:asciiTheme="majorHAnsi" w:hAnsiTheme="majorHAnsi" w:cstheme="majorHAnsi"/>
          <w:sz w:val="20"/>
        </w:rPr>
      </w:pPr>
      <w:r w:rsidRPr="00D24DA9">
        <w:rPr>
          <w:rFonts w:asciiTheme="majorHAnsi" w:hAnsiTheme="majorHAnsi" w:cstheme="majorHAnsi"/>
          <w:sz w:val="20"/>
        </w:rPr>
        <w:t>Max. koef. súčasnosti</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0,35</w:t>
      </w:r>
    </w:p>
    <w:p w:rsidR="00D24DA9" w:rsidRPr="00D24DA9" w:rsidRDefault="00D24DA9" w:rsidP="00D24DA9">
      <w:pPr>
        <w:spacing w:line="360" w:lineRule="auto"/>
        <w:ind w:left="1065"/>
        <w:jc w:val="both"/>
        <w:rPr>
          <w:rFonts w:asciiTheme="majorHAnsi" w:hAnsiTheme="majorHAnsi" w:cstheme="majorHAnsi"/>
          <w:sz w:val="20"/>
        </w:rPr>
      </w:pPr>
      <w:r w:rsidRPr="00D24DA9">
        <w:rPr>
          <w:rFonts w:asciiTheme="majorHAnsi" w:hAnsiTheme="majorHAnsi" w:cstheme="majorHAnsi"/>
          <w:sz w:val="20"/>
        </w:rPr>
        <w:t>Špičkový odber</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w:t>
      </w:r>
      <w:r w:rsidRPr="00D24DA9">
        <w:rPr>
          <w:rFonts w:asciiTheme="majorHAnsi" w:hAnsiTheme="majorHAnsi" w:cstheme="majorHAnsi"/>
          <w:sz w:val="20"/>
        </w:rPr>
        <w:tab/>
        <w:t>8    kW</w:t>
      </w:r>
    </w:p>
    <w:p w:rsidR="00D24DA9" w:rsidRPr="00D24DA9" w:rsidRDefault="00D24DA9" w:rsidP="00D24DA9">
      <w:pPr>
        <w:rPr>
          <w:rFonts w:asciiTheme="majorHAnsi" w:hAnsiTheme="majorHAnsi" w:cstheme="majorHAnsi"/>
          <w:b/>
          <w:sz w:val="20"/>
        </w:rPr>
      </w:pPr>
      <w:r w:rsidRPr="00D24DA9">
        <w:rPr>
          <w:rFonts w:asciiTheme="majorHAnsi" w:hAnsiTheme="majorHAnsi" w:cstheme="majorHAnsi"/>
          <w:sz w:val="20"/>
        </w:rPr>
        <w:tab/>
      </w:r>
    </w:p>
    <w:p w:rsidR="00D24DA9" w:rsidRPr="00D24DA9" w:rsidRDefault="00D24DA9" w:rsidP="00D24DA9">
      <w:pPr>
        <w:rPr>
          <w:rFonts w:asciiTheme="majorHAnsi" w:hAnsiTheme="majorHAnsi" w:cstheme="majorHAnsi"/>
          <w:b/>
          <w:i/>
          <w:sz w:val="20"/>
          <w:u w:val="single"/>
        </w:rPr>
      </w:pPr>
      <w:r w:rsidRPr="00D24DA9">
        <w:rPr>
          <w:rFonts w:asciiTheme="majorHAnsi" w:hAnsiTheme="majorHAnsi" w:cstheme="majorHAnsi"/>
          <w:b/>
          <w:i/>
          <w:sz w:val="20"/>
          <w:u w:val="single"/>
        </w:rPr>
        <w:t>PS-02  Pivnice</w:t>
      </w:r>
    </w:p>
    <w:p w:rsidR="00D24DA9" w:rsidRPr="00D24DA9" w:rsidRDefault="00D24DA9" w:rsidP="00D24DA9">
      <w:pPr>
        <w:spacing w:line="360" w:lineRule="auto"/>
        <w:jc w:val="both"/>
        <w:rPr>
          <w:rFonts w:asciiTheme="majorHAnsi" w:hAnsiTheme="majorHAnsi" w:cstheme="majorHAnsi"/>
          <w:b/>
          <w:i/>
          <w:sz w:val="20"/>
          <w:u w:val="single"/>
        </w:rPr>
      </w:pPr>
      <w:r w:rsidRPr="00D24DA9">
        <w:rPr>
          <w:rFonts w:asciiTheme="majorHAnsi" w:hAnsiTheme="majorHAnsi" w:cstheme="majorHAnsi"/>
          <w:b/>
          <w:i/>
          <w:sz w:val="20"/>
          <w:u w:val="single"/>
        </w:rPr>
        <w:t>Účel</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Prevádzkový súbor slúži na prekvášanie a dokvášanie vína, filtráciu,  skladovanie vína a prípravu vína na fľašovanie</w:t>
      </w:r>
    </w:p>
    <w:p w:rsidR="00D24DA9" w:rsidRPr="00D24DA9" w:rsidRDefault="00D24DA9" w:rsidP="00D24DA9">
      <w:pPr>
        <w:spacing w:line="360" w:lineRule="auto"/>
        <w:jc w:val="both"/>
        <w:rPr>
          <w:rFonts w:asciiTheme="majorHAnsi" w:hAnsiTheme="majorHAnsi" w:cstheme="majorHAnsi"/>
          <w:b/>
          <w:i/>
          <w:sz w:val="20"/>
          <w:u w:val="single"/>
        </w:rPr>
      </w:pPr>
      <w:r w:rsidRPr="00D24DA9">
        <w:rPr>
          <w:rFonts w:asciiTheme="majorHAnsi" w:hAnsiTheme="majorHAnsi" w:cstheme="majorHAnsi"/>
          <w:b/>
          <w:i/>
          <w:sz w:val="20"/>
          <w:u w:val="single"/>
        </w:rPr>
        <w:t>Kapacita</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Skladovacia kapacita pivníc je vytvorená zo stojatých nerezových nádob a drevených sudov tak, aby mohli byť skladované vína rôzneho množstva, rôznorodej kvality a odrôd ako aj vína z jednotlivých ročníkov.</w:t>
      </w:r>
    </w:p>
    <w:p w:rsidR="00D24DA9" w:rsidRPr="00D24DA9" w:rsidRDefault="00D24DA9" w:rsidP="00D24DA9">
      <w:pPr>
        <w:spacing w:before="120" w:line="360" w:lineRule="auto"/>
        <w:jc w:val="both"/>
        <w:rPr>
          <w:rFonts w:asciiTheme="majorHAnsi" w:hAnsiTheme="majorHAnsi" w:cstheme="majorHAnsi"/>
          <w:sz w:val="20"/>
          <w:u w:val="single"/>
        </w:rPr>
      </w:pPr>
      <w:r w:rsidRPr="00D24DA9">
        <w:rPr>
          <w:rFonts w:asciiTheme="majorHAnsi" w:hAnsiTheme="majorHAnsi" w:cstheme="majorHAnsi"/>
          <w:sz w:val="20"/>
          <w:u w:val="single"/>
        </w:rPr>
        <w:t>Počet kusov</w:t>
      </w:r>
      <w:r w:rsidRPr="00D24DA9">
        <w:rPr>
          <w:rFonts w:asciiTheme="majorHAnsi" w:hAnsiTheme="majorHAnsi" w:cstheme="majorHAnsi"/>
          <w:sz w:val="20"/>
          <w:u w:val="single"/>
        </w:rPr>
        <w:tab/>
      </w:r>
      <w:r w:rsidRPr="00D24DA9">
        <w:rPr>
          <w:rFonts w:asciiTheme="majorHAnsi" w:hAnsiTheme="majorHAnsi" w:cstheme="majorHAnsi"/>
          <w:sz w:val="20"/>
          <w:u w:val="single"/>
        </w:rPr>
        <w:tab/>
      </w:r>
      <w:r w:rsidRPr="00D24DA9">
        <w:rPr>
          <w:rFonts w:asciiTheme="majorHAnsi" w:hAnsiTheme="majorHAnsi" w:cstheme="majorHAnsi"/>
          <w:sz w:val="20"/>
          <w:u w:val="single"/>
        </w:rPr>
        <w:tab/>
        <w:t>Názov</w:t>
      </w:r>
      <w:r w:rsidRPr="00D24DA9">
        <w:rPr>
          <w:rFonts w:asciiTheme="majorHAnsi" w:hAnsiTheme="majorHAnsi" w:cstheme="majorHAnsi"/>
          <w:sz w:val="20"/>
          <w:u w:val="single"/>
        </w:rPr>
        <w:tab/>
      </w:r>
      <w:r w:rsidRPr="00D24DA9">
        <w:rPr>
          <w:rFonts w:asciiTheme="majorHAnsi" w:hAnsiTheme="majorHAnsi" w:cstheme="majorHAnsi"/>
          <w:sz w:val="20"/>
          <w:u w:val="single"/>
        </w:rPr>
        <w:tab/>
      </w:r>
      <w:r w:rsidRPr="00D24DA9">
        <w:rPr>
          <w:rFonts w:asciiTheme="majorHAnsi" w:hAnsiTheme="majorHAnsi" w:cstheme="majorHAnsi"/>
          <w:sz w:val="20"/>
          <w:u w:val="single"/>
        </w:rPr>
        <w:tab/>
      </w:r>
      <w:r w:rsidRPr="00D24DA9">
        <w:rPr>
          <w:rFonts w:asciiTheme="majorHAnsi" w:hAnsiTheme="majorHAnsi" w:cstheme="majorHAnsi"/>
          <w:sz w:val="20"/>
          <w:u w:val="single"/>
        </w:rPr>
        <w:tab/>
      </w:r>
      <w:r w:rsidRPr="00D24DA9">
        <w:rPr>
          <w:rFonts w:asciiTheme="majorHAnsi" w:hAnsiTheme="majorHAnsi" w:cstheme="majorHAnsi"/>
          <w:sz w:val="20"/>
          <w:u w:val="single"/>
        </w:rPr>
        <w:tab/>
        <w:t>Celkový obsah</w:t>
      </w:r>
      <w:r w:rsidRPr="00D24DA9">
        <w:rPr>
          <w:rFonts w:asciiTheme="majorHAnsi" w:hAnsiTheme="majorHAnsi" w:cstheme="majorHAnsi"/>
          <w:sz w:val="20"/>
          <w:u w:val="single"/>
        </w:rPr>
        <w:tab/>
      </w:r>
    </w:p>
    <w:p w:rsidR="00D24DA9" w:rsidRPr="00D24DA9" w:rsidRDefault="00D24DA9" w:rsidP="00D24DA9">
      <w:pPr>
        <w:rPr>
          <w:rFonts w:asciiTheme="majorHAnsi" w:hAnsiTheme="majorHAnsi" w:cstheme="majorHAnsi"/>
          <w:sz w:val="20"/>
        </w:rPr>
      </w:pPr>
      <w:r w:rsidRPr="00D24DA9">
        <w:rPr>
          <w:rFonts w:asciiTheme="majorHAnsi" w:hAnsiTheme="majorHAnsi" w:cstheme="majorHAnsi"/>
          <w:sz w:val="20"/>
        </w:rPr>
        <w:t xml:space="preserve">  </w:t>
      </w:r>
    </w:p>
    <w:p w:rsidR="00D24DA9" w:rsidRPr="00D24DA9" w:rsidRDefault="00D24DA9" w:rsidP="00D24DA9">
      <w:pPr>
        <w:rPr>
          <w:rFonts w:asciiTheme="majorHAnsi" w:hAnsiTheme="majorHAnsi" w:cstheme="majorHAnsi"/>
          <w:sz w:val="20"/>
        </w:rPr>
      </w:pPr>
      <w:r w:rsidRPr="00D24DA9">
        <w:rPr>
          <w:rFonts w:asciiTheme="majorHAnsi" w:hAnsiTheme="majorHAnsi" w:cstheme="majorHAnsi"/>
          <w:sz w:val="20"/>
        </w:rPr>
        <w:t xml:space="preserve">   4</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Nádrž na víno s duplikátorom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                                   obsah      1 500  l</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6  000  l</w:t>
      </w:r>
    </w:p>
    <w:p w:rsidR="00D24DA9" w:rsidRPr="00D24DA9" w:rsidRDefault="00D24DA9" w:rsidP="00D24DA9">
      <w:pPr>
        <w:jc w:val="both"/>
        <w:rPr>
          <w:rFonts w:asciiTheme="majorHAnsi" w:hAnsiTheme="majorHAnsi" w:cstheme="majorHAnsi"/>
          <w:sz w:val="20"/>
        </w:rPr>
      </w:pPr>
      <w:r w:rsidRPr="00D24DA9">
        <w:rPr>
          <w:rFonts w:asciiTheme="majorHAnsi" w:hAnsiTheme="majorHAnsi" w:cstheme="majorHAnsi"/>
          <w:sz w:val="20"/>
        </w:rPr>
        <w:t xml:space="preserve">  4</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Nádrž na víno s duplikátorom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                                   obsah      1 000  l</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4 000  l</w:t>
      </w:r>
    </w:p>
    <w:p w:rsidR="00D24DA9" w:rsidRPr="00D24DA9" w:rsidRDefault="00D24DA9" w:rsidP="00D24DA9">
      <w:pPr>
        <w:tabs>
          <w:tab w:val="left" w:pos="708"/>
          <w:tab w:val="left" w:pos="1416"/>
          <w:tab w:val="left" w:pos="2124"/>
          <w:tab w:val="left" w:pos="2832"/>
          <w:tab w:val="left" w:pos="3540"/>
          <w:tab w:val="left" w:pos="4248"/>
          <w:tab w:val="left" w:pos="4956"/>
          <w:tab w:val="left" w:pos="5520"/>
        </w:tabs>
        <w:jc w:val="both"/>
        <w:rPr>
          <w:rFonts w:asciiTheme="majorHAnsi" w:hAnsiTheme="majorHAnsi" w:cstheme="majorHAnsi"/>
          <w:sz w:val="20"/>
        </w:rPr>
      </w:pPr>
      <w:r w:rsidRPr="00D24DA9">
        <w:rPr>
          <w:rFonts w:asciiTheme="majorHAnsi" w:hAnsiTheme="majorHAnsi" w:cstheme="majorHAnsi"/>
          <w:sz w:val="20"/>
        </w:rPr>
        <w:t xml:space="preserve">  2</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Nádrž na víno s duplikátorom  </w:t>
      </w:r>
      <w:r w:rsidRPr="00D24DA9">
        <w:rPr>
          <w:rFonts w:asciiTheme="majorHAnsi" w:hAnsiTheme="majorHAnsi" w:cstheme="majorHAnsi"/>
          <w:sz w:val="20"/>
        </w:rPr>
        <w:tab/>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                                   delená,  obsah    500 / 500  l</w:t>
      </w:r>
      <w:r w:rsidRPr="00D24DA9">
        <w:rPr>
          <w:rFonts w:asciiTheme="majorHAnsi" w:hAnsiTheme="majorHAnsi" w:cstheme="majorHAnsi"/>
          <w:sz w:val="20"/>
        </w:rPr>
        <w:tab/>
      </w:r>
      <w:r w:rsidRPr="00D24DA9">
        <w:rPr>
          <w:rFonts w:asciiTheme="majorHAnsi" w:hAnsiTheme="majorHAnsi" w:cstheme="majorHAnsi"/>
          <w:sz w:val="20"/>
        </w:rPr>
        <w:tab/>
        <w:t xml:space="preserve">                     2 000  l</w:t>
      </w:r>
    </w:p>
    <w:p w:rsidR="00D24DA9" w:rsidRPr="00D24DA9" w:rsidRDefault="00D24DA9" w:rsidP="00D24DA9">
      <w:pPr>
        <w:tabs>
          <w:tab w:val="left" w:pos="708"/>
          <w:tab w:val="left" w:pos="1416"/>
          <w:tab w:val="left" w:pos="2124"/>
          <w:tab w:val="left" w:pos="2832"/>
          <w:tab w:val="left" w:pos="3540"/>
          <w:tab w:val="left" w:pos="4248"/>
          <w:tab w:val="left" w:pos="4956"/>
          <w:tab w:val="left" w:pos="5520"/>
        </w:tabs>
        <w:jc w:val="both"/>
        <w:rPr>
          <w:rFonts w:asciiTheme="majorHAnsi" w:hAnsiTheme="majorHAnsi" w:cstheme="majorHAnsi"/>
          <w:sz w:val="20"/>
        </w:rPr>
      </w:pPr>
      <w:r w:rsidRPr="00D24DA9">
        <w:rPr>
          <w:rFonts w:asciiTheme="majorHAnsi" w:hAnsiTheme="majorHAnsi" w:cstheme="majorHAnsi"/>
          <w:sz w:val="20"/>
        </w:rPr>
        <w:t xml:space="preserve">  8                               Nádrž na víno stojatá obsah   1 500 l                    12 000  l</w:t>
      </w:r>
    </w:p>
    <w:p w:rsidR="00D24DA9" w:rsidRPr="00D24DA9" w:rsidRDefault="00D24DA9" w:rsidP="00D24DA9">
      <w:pPr>
        <w:tabs>
          <w:tab w:val="left" w:pos="708"/>
          <w:tab w:val="left" w:pos="1416"/>
          <w:tab w:val="left" w:pos="2124"/>
          <w:tab w:val="left" w:pos="2832"/>
          <w:tab w:val="left" w:pos="3540"/>
          <w:tab w:val="left" w:pos="4248"/>
          <w:tab w:val="left" w:pos="4956"/>
          <w:tab w:val="left" w:pos="5520"/>
        </w:tabs>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  4                               Nádrž na víno stojatá obsah  1 000 l                       4 000  l</w:t>
      </w:r>
    </w:p>
    <w:p w:rsidR="00D24DA9" w:rsidRPr="00D24DA9" w:rsidRDefault="00D24DA9" w:rsidP="00D24DA9">
      <w:pPr>
        <w:tabs>
          <w:tab w:val="left" w:pos="708"/>
          <w:tab w:val="left" w:pos="1416"/>
          <w:tab w:val="left" w:pos="2124"/>
          <w:tab w:val="left" w:pos="2832"/>
          <w:tab w:val="left" w:pos="3540"/>
          <w:tab w:val="left" w:pos="4248"/>
          <w:tab w:val="left" w:pos="4956"/>
          <w:tab w:val="left" w:pos="5520"/>
        </w:tabs>
        <w:jc w:val="both"/>
        <w:rPr>
          <w:rFonts w:asciiTheme="majorHAnsi" w:hAnsiTheme="majorHAnsi" w:cstheme="majorHAnsi"/>
          <w:sz w:val="20"/>
        </w:rPr>
      </w:pPr>
      <w:r w:rsidRPr="00D24DA9">
        <w:rPr>
          <w:rFonts w:asciiTheme="majorHAnsi" w:hAnsiTheme="majorHAnsi" w:cstheme="majorHAnsi"/>
          <w:sz w:val="20"/>
        </w:rPr>
        <w:t xml:space="preserve">  4                               Nádrž na víno stojatá obsah  500 l ( jestvujúce)     2 000  l</w:t>
      </w:r>
    </w:p>
    <w:p w:rsidR="00D24DA9" w:rsidRPr="00D24DA9" w:rsidRDefault="00D24DA9" w:rsidP="00D24DA9">
      <w:pPr>
        <w:tabs>
          <w:tab w:val="left" w:pos="6840"/>
        </w:tabs>
        <w:spacing w:line="360" w:lineRule="auto"/>
        <w:jc w:val="both"/>
        <w:rPr>
          <w:rFonts w:asciiTheme="majorHAnsi" w:hAnsiTheme="majorHAnsi" w:cstheme="majorHAnsi"/>
          <w:sz w:val="20"/>
        </w:rPr>
      </w:pPr>
      <w:r w:rsidRPr="00D24DA9">
        <w:rPr>
          <w:rFonts w:asciiTheme="majorHAnsi" w:hAnsiTheme="majorHAnsi" w:cstheme="majorHAnsi"/>
          <w:sz w:val="20"/>
        </w:rPr>
        <w:t xml:space="preserve">  1                               Nádrž na víno stojatá obsah  250 l ( jestvujúce)</w:t>
      </w:r>
      <w:r w:rsidRPr="00D24DA9">
        <w:rPr>
          <w:rFonts w:asciiTheme="majorHAnsi" w:hAnsiTheme="majorHAnsi" w:cstheme="majorHAnsi"/>
          <w:sz w:val="20"/>
        </w:rPr>
        <w:tab/>
        <w:t xml:space="preserve">    250  l</w:t>
      </w:r>
    </w:p>
    <w:p w:rsidR="00D24DA9" w:rsidRPr="00D24DA9" w:rsidRDefault="00D24DA9" w:rsidP="00D24DA9">
      <w:pPr>
        <w:tabs>
          <w:tab w:val="left" w:pos="6840"/>
        </w:tabs>
        <w:spacing w:line="360" w:lineRule="auto"/>
        <w:jc w:val="both"/>
        <w:rPr>
          <w:rFonts w:asciiTheme="majorHAnsi" w:hAnsiTheme="majorHAnsi" w:cstheme="majorHAnsi"/>
          <w:sz w:val="20"/>
        </w:rPr>
      </w:pPr>
      <w:r w:rsidRPr="00D24DA9">
        <w:rPr>
          <w:rFonts w:asciiTheme="majorHAnsi" w:hAnsiTheme="majorHAnsi" w:cstheme="majorHAnsi"/>
          <w:sz w:val="20"/>
        </w:rPr>
        <w:t xml:space="preserve">  1                               Nádrž na víno stojatá obsah  150 l ( jestvujúce)</w:t>
      </w:r>
      <w:r w:rsidRPr="00D24DA9">
        <w:rPr>
          <w:rFonts w:asciiTheme="majorHAnsi" w:hAnsiTheme="majorHAnsi" w:cstheme="majorHAnsi"/>
          <w:sz w:val="20"/>
        </w:rPr>
        <w:tab/>
        <w:t xml:space="preserve">    150  l</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14</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Drevený sud      500  l</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7 000  l</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72</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Barique sud       225  l</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16 200  l         </w:t>
      </w:r>
    </w:p>
    <w:p w:rsidR="00D24DA9" w:rsidRPr="00D24DA9" w:rsidRDefault="00D24DA9" w:rsidP="00D24DA9">
      <w:pPr>
        <w:spacing w:line="72" w:lineRule="auto"/>
        <w:jc w:val="both"/>
        <w:rPr>
          <w:rFonts w:asciiTheme="majorHAnsi" w:hAnsiTheme="majorHAnsi" w:cstheme="majorHAnsi"/>
          <w:color w:val="FFFFFF"/>
          <w:sz w:val="20"/>
          <w:u w:val="single"/>
        </w:rPr>
      </w:pPr>
      <w:r w:rsidRPr="00D24DA9">
        <w:rPr>
          <w:rFonts w:asciiTheme="majorHAnsi" w:hAnsiTheme="majorHAnsi" w:cstheme="majorHAnsi"/>
          <w:sz w:val="20"/>
          <w:u w:val="single"/>
        </w:rPr>
        <w:tab/>
      </w:r>
      <w:r w:rsidRPr="00D24DA9">
        <w:rPr>
          <w:rFonts w:asciiTheme="majorHAnsi" w:hAnsiTheme="majorHAnsi" w:cstheme="majorHAnsi"/>
          <w:sz w:val="20"/>
          <w:u w:val="single"/>
        </w:rPr>
        <w:tab/>
      </w:r>
      <w:r w:rsidRPr="00D24DA9">
        <w:rPr>
          <w:rFonts w:asciiTheme="majorHAnsi" w:hAnsiTheme="majorHAnsi" w:cstheme="majorHAnsi"/>
          <w:sz w:val="20"/>
          <w:u w:val="single"/>
        </w:rPr>
        <w:tab/>
      </w:r>
      <w:r w:rsidRPr="00D24DA9">
        <w:rPr>
          <w:rFonts w:asciiTheme="majorHAnsi" w:hAnsiTheme="majorHAnsi" w:cstheme="majorHAnsi"/>
          <w:sz w:val="20"/>
          <w:u w:val="single"/>
        </w:rPr>
        <w:tab/>
      </w:r>
      <w:r w:rsidRPr="00D24DA9">
        <w:rPr>
          <w:rFonts w:asciiTheme="majorHAnsi" w:hAnsiTheme="majorHAnsi" w:cstheme="majorHAnsi"/>
          <w:sz w:val="20"/>
          <w:u w:val="single"/>
        </w:rPr>
        <w:tab/>
      </w:r>
      <w:r w:rsidRPr="00D24DA9">
        <w:rPr>
          <w:rFonts w:asciiTheme="majorHAnsi" w:hAnsiTheme="majorHAnsi" w:cstheme="majorHAnsi"/>
          <w:sz w:val="20"/>
          <w:u w:val="single"/>
        </w:rPr>
        <w:tab/>
      </w:r>
      <w:r w:rsidRPr="00D24DA9">
        <w:rPr>
          <w:rFonts w:asciiTheme="majorHAnsi" w:hAnsiTheme="majorHAnsi" w:cstheme="majorHAnsi"/>
          <w:sz w:val="20"/>
          <w:u w:val="single"/>
        </w:rPr>
        <w:tab/>
      </w:r>
      <w:r w:rsidRPr="00D24DA9">
        <w:rPr>
          <w:rFonts w:asciiTheme="majorHAnsi" w:hAnsiTheme="majorHAnsi" w:cstheme="majorHAnsi"/>
          <w:sz w:val="20"/>
          <w:u w:val="single"/>
        </w:rPr>
        <w:tab/>
      </w:r>
      <w:r w:rsidRPr="00D24DA9">
        <w:rPr>
          <w:rFonts w:asciiTheme="majorHAnsi" w:hAnsiTheme="majorHAnsi" w:cstheme="majorHAnsi"/>
          <w:sz w:val="20"/>
          <w:u w:val="single"/>
        </w:rPr>
        <w:tab/>
        <w:t xml:space="preserve">                                  </w:t>
      </w:r>
      <w:r w:rsidRPr="00D24DA9">
        <w:rPr>
          <w:rFonts w:asciiTheme="majorHAnsi" w:hAnsiTheme="majorHAnsi" w:cstheme="majorHAnsi"/>
          <w:color w:val="FFFFFF"/>
          <w:sz w:val="20"/>
          <w:u w:val="single"/>
        </w:rPr>
        <w:t>.</w:t>
      </w:r>
    </w:p>
    <w:p w:rsidR="00D24DA9" w:rsidRPr="00D24DA9" w:rsidRDefault="00D24DA9" w:rsidP="00D24DA9">
      <w:pPr>
        <w:spacing w:before="60" w:line="360" w:lineRule="auto"/>
        <w:jc w:val="both"/>
        <w:rPr>
          <w:rFonts w:asciiTheme="majorHAnsi" w:hAnsiTheme="majorHAnsi" w:cstheme="majorHAnsi"/>
          <w:sz w:val="20"/>
          <w:vertAlign w:val="superscript"/>
        </w:rPr>
      </w:pP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Kapacita celkom</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53 600  l</w:t>
      </w:r>
    </w:p>
    <w:p w:rsidR="00D24DA9" w:rsidRPr="00D24DA9" w:rsidRDefault="00D24DA9" w:rsidP="00D24DA9">
      <w:pPr>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b/>
          <w:i/>
          <w:sz w:val="20"/>
          <w:u w:val="single"/>
        </w:rPr>
      </w:pPr>
      <w:r w:rsidRPr="00D24DA9">
        <w:rPr>
          <w:rFonts w:asciiTheme="majorHAnsi" w:hAnsiTheme="majorHAnsi" w:cstheme="majorHAnsi"/>
          <w:b/>
          <w:i/>
          <w:sz w:val="20"/>
          <w:u w:val="single"/>
        </w:rPr>
        <w:t>Opis  technológie  výroby</w:t>
      </w:r>
    </w:p>
    <w:p w:rsidR="00D24DA9" w:rsidRPr="00D24DA9" w:rsidRDefault="00D24DA9" w:rsidP="00D24DA9">
      <w:pPr>
        <w:spacing w:line="360" w:lineRule="auto"/>
        <w:rPr>
          <w:rFonts w:asciiTheme="majorHAnsi" w:hAnsiTheme="majorHAnsi" w:cstheme="majorHAnsi"/>
          <w:sz w:val="20"/>
        </w:rPr>
      </w:pPr>
      <w:r w:rsidRPr="00D24DA9">
        <w:rPr>
          <w:rFonts w:asciiTheme="majorHAnsi" w:hAnsiTheme="majorHAnsi" w:cstheme="majorHAnsi"/>
          <w:sz w:val="20"/>
        </w:rPr>
        <w:lastRenderedPageBreak/>
        <w:t>V prevádzkovom súbore sú dve samostatné pivnice</w:t>
      </w:r>
    </w:p>
    <w:p w:rsidR="00D24DA9" w:rsidRPr="00D24DA9" w:rsidRDefault="00D24DA9" w:rsidP="001E7B38">
      <w:pPr>
        <w:numPr>
          <w:ilvl w:val="0"/>
          <w:numId w:val="64"/>
        </w:numPr>
        <w:spacing w:line="360" w:lineRule="auto"/>
        <w:jc w:val="both"/>
        <w:rPr>
          <w:rFonts w:asciiTheme="majorHAnsi" w:hAnsiTheme="majorHAnsi" w:cstheme="majorHAnsi"/>
          <w:sz w:val="20"/>
        </w:rPr>
      </w:pPr>
      <w:r w:rsidRPr="00D24DA9">
        <w:rPr>
          <w:rFonts w:asciiTheme="majorHAnsi" w:hAnsiTheme="majorHAnsi" w:cstheme="majorHAnsi"/>
          <w:sz w:val="20"/>
        </w:rPr>
        <w:t>pivnica nerezových nádrží ( nerezové nádrže)</w:t>
      </w:r>
    </w:p>
    <w:p w:rsidR="00D24DA9" w:rsidRPr="00D24DA9" w:rsidRDefault="00D24DA9" w:rsidP="001E7B38">
      <w:pPr>
        <w:numPr>
          <w:ilvl w:val="0"/>
          <w:numId w:val="64"/>
        </w:numPr>
        <w:spacing w:line="360" w:lineRule="auto"/>
        <w:jc w:val="both"/>
        <w:rPr>
          <w:rFonts w:asciiTheme="majorHAnsi" w:hAnsiTheme="majorHAnsi" w:cstheme="majorHAnsi"/>
          <w:sz w:val="20"/>
        </w:rPr>
      </w:pPr>
      <w:r w:rsidRPr="00D24DA9">
        <w:rPr>
          <w:rFonts w:asciiTheme="majorHAnsi" w:hAnsiTheme="majorHAnsi" w:cstheme="majorHAnsi"/>
          <w:sz w:val="20"/>
        </w:rPr>
        <w:t>pivnica drevenej sudoviny</w:t>
      </w:r>
    </w:p>
    <w:p w:rsidR="00D24DA9" w:rsidRDefault="00D24DA9" w:rsidP="00D24DA9">
      <w:pPr>
        <w:spacing w:line="360" w:lineRule="auto"/>
        <w:jc w:val="both"/>
        <w:rPr>
          <w:rFonts w:asciiTheme="majorHAnsi" w:hAnsiTheme="majorHAnsi" w:cstheme="majorHAnsi"/>
          <w:i/>
          <w:sz w:val="20"/>
          <w:u w:val="single"/>
        </w:rPr>
      </w:pPr>
    </w:p>
    <w:p w:rsidR="00D24DA9" w:rsidRPr="00D24DA9" w:rsidRDefault="00D24DA9" w:rsidP="00D24DA9">
      <w:pPr>
        <w:spacing w:line="360" w:lineRule="auto"/>
        <w:jc w:val="both"/>
        <w:rPr>
          <w:rFonts w:asciiTheme="majorHAnsi" w:hAnsiTheme="majorHAnsi" w:cstheme="majorHAnsi"/>
          <w:i/>
          <w:sz w:val="20"/>
          <w:u w:val="single"/>
        </w:rPr>
      </w:pPr>
      <w:r w:rsidRPr="00D24DA9">
        <w:rPr>
          <w:rFonts w:asciiTheme="majorHAnsi" w:hAnsiTheme="majorHAnsi" w:cstheme="majorHAnsi"/>
          <w:i/>
          <w:sz w:val="20"/>
          <w:u w:val="single"/>
        </w:rPr>
        <w:t>Regulovaná fermentácia</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Pivnica zabezpečuje prekvášanie odkalených, upravených muštov pri teplotách, ktoré budú pre jednotlivé nádrže vopred navolené.</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ab/>
        <w:t>Upravený mušt bude už upravený na cukornatosť, môže byť pridaný bentonit a kvasinky.</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ab/>
        <w:t xml:space="preserve">Pre riadené kvasenie muštov sú vytvorené podmienky automatickej regulácie teploty. Nerezové nádrže vybavené duplikátorom v ktorom prúdi chladiaca tekutina (8°C glykol- voda). Ďalej je nádrž vybavená snímačom teploty a napojená na chladiace médium cez servoventil. Tento sa otvára a zatvára podľa signálu od snímača teploty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 CO2) a povelu mikroprocesoru z riadiaceho panelu.. Jednotlivé nádrže sú vybavené armatúrami na stáčanie vína z kvasníc, na ochutnávanie vína  a na sanitáciu nádrží.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xml:space="preserve">Z dôvodov sanitácie nádrží sme na nádržiach vynechali stavoznaky, ktoré sa ťažšie sanitujú a hladinu je možné snímať cez priesvitnú hadičku napojenú na ochutnávací kohútik,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ab/>
        <w:t>Riadiaci panel bude umiestnený v miestnosti technológa, alebo priamo v pivnici odkiaľ bude celý proces fermentácie vína sledovaný a riadený.</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Tieto nádrže budú použité aj na dokvášanie červených vín.</w:t>
      </w:r>
    </w:p>
    <w:p w:rsidR="00D24DA9" w:rsidRPr="00D24DA9" w:rsidRDefault="00D24DA9" w:rsidP="00D24DA9">
      <w:pPr>
        <w:spacing w:line="204" w:lineRule="auto"/>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i/>
          <w:sz w:val="20"/>
          <w:u w:val="single"/>
        </w:rPr>
      </w:pPr>
      <w:r w:rsidRPr="00D24DA9">
        <w:rPr>
          <w:rFonts w:asciiTheme="majorHAnsi" w:hAnsiTheme="majorHAnsi" w:cstheme="majorHAnsi"/>
          <w:i/>
          <w:sz w:val="20"/>
          <w:u w:val="single"/>
        </w:rPr>
        <w:t>Zretie a príprava vína na fľašovanie</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V pivnici budú dozrievať hotové sfiltrované vína,  môžu byť pripravované kupáže a taktiež budú stabilizované   pred fľašovaním.</w:t>
      </w:r>
    </w:p>
    <w:p w:rsidR="00D24DA9" w:rsidRPr="00D24DA9" w:rsidRDefault="00D24DA9" w:rsidP="00D24DA9">
      <w:pPr>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b/>
          <w:i/>
          <w:sz w:val="20"/>
          <w:u w:val="single"/>
        </w:rPr>
      </w:pPr>
      <w:r w:rsidRPr="00D24DA9">
        <w:rPr>
          <w:rFonts w:asciiTheme="majorHAnsi" w:hAnsiTheme="majorHAnsi" w:cstheme="majorHAnsi"/>
          <w:b/>
          <w:i/>
          <w:sz w:val="20"/>
          <w:u w:val="single"/>
        </w:rPr>
        <w:t>Koncepcia  automatizovaného  systému  riadenia</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Veľmi dôležitú úlohu pri výrobe kvalitných vín zohráva teplota kvasenia vína. Optimálna teplota kvasenia je 16-</w:t>
      </w:r>
      <w:smartTag w:uri="urn:schemas-microsoft-com:office:smarttags" w:element="metricconverter">
        <w:smartTagPr>
          <w:attr w:name="ProductID" w:val="20ﾰC"/>
        </w:smartTagPr>
        <w:r w:rsidRPr="00D24DA9">
          <w:rPr>
            <w:rFonts w:asciiTheme="majorHAnsi" w:hAnsiTheme="majorHAnsi" w:cstheme="majorHAnsi"/>
            <w:sz w:val="20"/>
          </w:rPr>
          <w:t>20°C</w:t>
        </w:r>
      </w:smartTag>
      <w:r w:rsidRPr="00D24DA9">
        <w:rPr>
          <w:rFonts w:asciiTheme="majorHAnsi" w:hAnsiTheme="majorHAnsi" w:cstheme="majorHAnsi"/>
          <w:sz w:val="20"/>
        </w:rPr>
        <w:t>. Bez zásahu do procesu kvasenia nie je možné túto teplotu udržať. Súbor je vybavený riadiacim panelom, kde každá z vyčlenených nádrží má možnosť nastavenia požadovanej teploty pri kvasení, ktorú potom tento riadiaci systém udržuje.</w:t>
      </w:r>
    </w:p>
    <w:p w:rsidR="00D24DA9" w:rsidRDefault="00D24DA9" w:rsidP="00D24DA9">
      <w:pPr>
        <w:spacing w:line="360" w:lineRule="auto"/>
        <w:jc w:val="both"/>
        <w:rPr>
          <w:rFonts w:asciiTheme="majorHAnsi" w:hAnsiTheme="majorHAnsi" w:cstheme="majorHAnsi"/>
          <w:i/>
          <w:sz w:val="20"/>
          <w:u w:val="single"/>
        </w:rPr>
      </w:pPr>
    </w:p>
    <w:p w:rsidR="00D24DA9" w:rsidRPr="00D24DA9" w:rsidRDefault="00D24DA9" w:rsidP="00D24DA9">
      <w:pPr>
        <w:spacing w:line="360" w:lineRule="auto"/>
        <w:jc w:val="both"/>
        <w:rPr>
          <w:rFonts w:asciiTheme="majorHAnsi" w:hAnsiTheme="majorHAnsi" w:cstheme="majorHAnsi"/>
          <w:i/>
          <w:sz w:val="20"/>
          <w:u w:val="single"/>
        </w:rPr>
      </w:pPr>
      <w:r w:rsidRPr="00D24DA9">
        <w:rPr>
          <w:rFonts w:asciiTheme="majorHAnsi" w:hAnsiTheme="majorHAnsi" w:cstheme="majorHAnsi"/>
          <w:i/>
          <w:sz w:val="20"/>
          <w:u w:val="single"/>
        </w:rPr>
        <w:t>Látková bilancia</w:t>
      </w:r>
    </w:p>
    <w:p w:rsidR="00D24DA9" w:rsidRPr="00D24DA9" w:rsidRDefault="00D24DA9" w:rsidP="00D24DA9">
      <w:pPr>
        <w:spacing w:line="360" w:lineRule="auto"/>
        <w:jc w:val="both"/>
        <w:rPr>
          <w:rFonts w:asciiTheme="majorHAnsi" w:hAnsiTheme="majorHAnsi" w:cstheme="majorHAnsi"/>
          <w:sz w:val="20"/>
          <w:u w:val="single"/>
        </w:rPr>
      </w:pPr>
      <w:r w:rsidRPr="00D24DA9">
        <w:rPr>
          <w:rFonts w:asciiTheme="majorHAnsi" w:hAnsiTheme="majorHAnsi" w:cstheme="majorHAnsi"/>
          <w:sz w:val="20"/>
          <w:u w:val="single"/>
        </w:rPr>
        <w:t>Vstupný produkt</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Mušt a mladé víno celkom</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23,5    m</w:t>
      </w:r>
      <w:r w:rsidRPr="00D24DA9">
        <w:rPr>
          <w:rFonts w:asciiTheme="majorHAnsi" w:hAnsiTheme="majorHAnsi" w:cstheme="majorHAnsi"/>
          <w:sz w:val="20"/>
          <w:vertAlign w:val="superscript"/>
        </w:rPr>
        <w:t xml:space="preserve">3 </w:t>
      </w:r>
      <w:r w:rsidRPr="00D24DA9">
        <w:rPr>
          <w:rFonts w:asciiTheme="majorHAnsi" w:hAnsiTheme="majorHAnsi" w:cstheme="majorHAnsi"/>
          <w:sz w:val="20"/>
        </w:rPr>
        <w:t>/ rok</w:t>
      </w:r>
    </w:p>
    <w:p w:rsidR="00D24DA9" w:rsidRPr="00D24DA9" w:rsidRDefault="00D24DA9" w:rsidP="00D24DA9">
      <w:pPr>
        <w:spacing w:line="360" w:lineRule="auto"/>
        <w:jc w:val="both"/>
        <w:rPr>
          <w:rFonts w:asciiTheme="majorHAnsi" w:hAnsiTheme="majorHAnsi" w:cstheme="majorHAnsi"/>
          <w:sz w:val="20"/>
          <w:u w:val="single"/>
        </w:rPr>
      </w:pPr>
      <w:r w:rsidRPr="00D24DA9">
        <w:rPr>
          <w:rFonts w:asciiTheme="majorHAnsi" w:hAnsiTheme="majorHAnsi" w:cstheme="majorHAnsi"/>
          <w:sz w:val="20"/>
          <w:u w:val="single"/>
        </w:rPr>
        <w:t>Výstupný produkt</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Stočené víno</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22   m</w:t>
      </w:r>
      <w:r w:rsidRPr="00D24DA9">
        <w:rPr>
          <w:rFonts w:asciiTheme="majorHAnsi" w:hAnsiTheme="majorHAnsi" w:cstheme="majorHAnsi"/>
          <w:sz w:val="20"/>
          <w:vertAlign w:val="superscript"/>
        </w:rPr>
        <w:t xml:space="preserve">3 </w:t>
      </w:r>
      <w:r w:rsidRPr="00D24DA9">
        <w:rPr>
          <w:rFonts w:asciiTheme="majorHAnsi" w:hAnsiTheme="majorHAnsi" w:cstheme="majorHAnsi"/>
          <w:sz w:val="20"/>
        </w:rPr>
        <w:t>/ rok</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Kvasničné kaly</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0,7   m</w:t>
      </w:r>
      <w:r w:rsidRPr="00D24DA9">
        <w:rPr>
          <w:rFonts w:asciiTheme="majorHAnsi" w:hAnsiTheme="majorHAnsi" w:cstheme="majorHAnsi"/>
          <w:sz w:val="20"/>
          <w:vertAlign w:val="superscript"/>
        </w:rPr>
        <w:t xml:space="preserve">3 </w:t>
      </w:r>
      <w:r w:rsidRPr="00D24DA9">
        <w:rPr>
          <w:rFonts w:asciiTheme="majorHAnsi" w:hAnsiTheme="majorHAnsi" w:cstheme="majorHAnsi"/>
          <w:sz w:val="20"/>
        </w:rPr>
        <w:t>/ rok</w:t>
      </w:r>
    </w:p>
    <w:p w:rsidR="00D24DA9" w:rsidRPr="00D24DA9" w:rsidRDefault="00D24DA9" w:rsidP="00D24DA9">
      <w:pPr>
        <w:spacing w:line="360" w:lineRule="auto"/>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b/>
          <w:i/>
          <w:sz w:val="20"/>
          <w:u w:val="single"/>
        </w:rPr>
      </w:pPr>
      <w:r w:rsidRPr="00D24DA9">
        <w:rPr>
          <w:rFonts w:asciiTheme="majorHAnsi" w:hAnsiTheme="majorHAnsi" w:cstheme="majorHAnsi"/>
          <w:b/>
          <w:i/>
          <w:sz w:val="20"/>
          <w:u w:val="single"/>
        </w:rPr>
        <w:t>Likvidácia  odpadov</w:t>
      </w:r>
    </w:p>
    <w:p w:rsidR="00D24DA9" w:rsidRPr="00D24DA9" w:rsidRDefault="00D24DA9" w:rsidP="00D24DA9">
      <w:pPr>
        <w:spacing w:line="360" w:lineRule="auto"/>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lastRenderedPageBreak/>
        <w:t>Pri výrobe vína nevzniká odpad (bezodpadová technológia) ale jedná sa o druhotnú surovinu ktorú je možné ďalej využiť. Jedná sa o :</w:t>
      </w:r>
    </w:p>
    <w:p w:rsidR="00D24DA9" w:rsidRPr="00D24DA9" w:rsidRDefault="00D24DA9" w:rsidP="00D24DA9">
      <w:pPr>
        <w:spacing w:line="360" w:lineRule="auto"/>
        <w:jc w:val="both"/>
        <w:rPr>
          <w:rFonts w:asciiTheme="majorHAnsi" w:hAnsiTheme="majorHAnsi" w:cstheme="majorHAnsi"/>
          <w:sz w:val="20"/>
          <w:vertAlign w:val="superscript"/>
        </w:rPr>
      </w:pPr>
      <w:r w:rsidRPr="00D24DA9">
        <w:rPr>
          <w:rFonts w:asciiTheme="majorHAnsi" w:hAnsiTheme="majorHAnsi" w:cstheme="majorHAnsi"/>
          <w:sz w:val="20"/>
        </w:rPr>
        <w:t>- kvasničné kaly</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0,7  m</w:t>
      </w:r>
      <w:r w:rsidRPr="00D24DA9">
        <w:rPr>
          <w:rFonts w:asciiTheme="majorHAnsi" w:hAnsiTheme="majorHAnsi" w:cstheme="majorHAnsi"/>
          <w:sz w:val="20"/>
          <w:vertAlign w:val="superscript"/>
        </w:rPr>
        <w:t>3</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CO</w:t>
      </w:r>
      <w:r w:rsidRPr="00D24DA9">
        <w:rPr>
          <w:rFonts w:asciiTheme="majorHAnsi" w:hAnsiTheme="majorHAnsi" w:cstheme="majorHAnsi"/>
          <w:sz w:val="20"/>
          <w:vertAlign w:val="subscript"/>
        </w:rPr>
        <w:t>2</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max   2   t / rok ( na celú prevádzku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Nižšie uvedené skupiny, podskupiny a druhy odpadov sú vyšpecifikované v zmysle vyhlášky MŽP SR č. 365/ 2015 Zb. ktorou sa stanoví Katalóg odpadov.</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Tuhý využiteľný odpad organického pôvodu je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 kvasničné kaly (zelený zoznam GM 170)</w:t>
      </w:r>
      <w:r w:rsidRPr="00D24DA9">
        <w:rPr>
          <w:rFonts w:asciiTheme="majorHAnsi" w:hAnsiTheme="majorHAnsi" w:cstheme="majorHAnsi"/>
          <w:sz w:val="20"/>
        </w:rPr>
        <w:tab/>
      </w:r>
      <w:r w:rsidRPr="00D24DA9">
        <w:rPr>
          <w:rFonts w:asciiTheme="majorHAnsi" w:hAnsiTheme="majorHAnsi" w:cstheme="majorHAnsi"/>
          <w:sz w:val="20"/>
        </w:rPr>
        <w:tab/>
        <w:t xml:space="preserve"> 0,7   m</w:t>
      </w:r>
      <w:r w:rsidRPr="00D24DA9">
        <w:rPr>
          <w:rFonts w:asciiTheme="majorHAnsi" w:hAnsiTheme="majorHAnsi" w:cstheme="majorHAnsi"/>
          <w:sz w:val="20"/>
          <w:vertAlign w:val="superscript"/>
        </w:rPr>
        <w:t xml:space="preserve">3 </w:t>
      </w:r>
      <w:r w:rsidRPr="00D24DA9">
        <w:rPr>
          <w:rFonts w:asciiTheme="majorHAnsi" w:hAnsiTheme="majorHAnsi" w:cstheme="majorHAnsi"/>
          <w:sz w:val="20"/>
        </w:rPr>
        <w:t>/ rok</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druh odpadu č. 020701 – odpady z mechanického spracovania surovín pri výrobe alkoholických nápojov. Budú vznikať pri filtrovaní mladého vína. kvasničné kaly bude možné odfiltrovať na vákuovom filtri ( kalolise) a vzniknutú hmotu je možno odpredať na výrobu kyseliny vinnej. Vznikajúci CO</w:t>
      </w:r>
      <w:r w:rsidRPr="00D24DA9">
        <w:rPr>
          <w:rFonts w:asciiTheme="majorHAnsi" w:hAnsiTheme="majorHAnsi" w:cstheme="majorHAnsi"/>
          <w:sz w:val="20"/>
          <w:vertAlign w:val="subscript"/>
        </w:rPr>
        <w:t>2</w:t>
      </w:r>
      <w:r w:rsidRPr="00D24DA9">
        <w:rPr>
          <w:rFonts w:asciiTheme="majorHAnsi" w:hAnsiTheme="majorHAnsi" w:cstheme="majorHAnsi"/>
          <w:sz w:val="20"/>
        </w:rPr>
        <w:t xml:space="preserve"> pri kvasení vína je vzduchotechnickými súpravami odtiahnutý z výrobných priestorov a rozptýlený v ovzduší. je neškodný.</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Nastavenie snímačov koncentrácie CO2 nesmie prekročiť hranicu 5 000 ppm.</w:t>
      </w:r>
    </w:p>
    <w:p w:rsidR="00D24DA9" w:rsidRPr="00D24DA9" w:rsidRDefault="00D24DA9" w:rsidP="00D24DA9">
      <w:pPr>
        <w:spacing w:line="360" w:lineRule="auto"/>
        <w:jc w:val="both"/>
        <w:rPr>
          <w:rFonts w:asciiTheme="majorHAnsi" w:hAnsiTheme="majorHAnsi" w:cstheme="majorHAnsi"/>
          <w:b/>
          <w:i/>
          <w:sz w:val="20"/>
          <w:u w:val="single"/>
        </w:rPr>
      </w:pPr>
      <w:r w:rsidRPr="00D24DA9">
        <w:rPr>
          <w:rFonts w:asciiTheme="majorHAnsi" w:hAnsiTheme="majorHAnsi" w:cstheme="majorHAnsi"/>
          <w:b/>
          <w:i/>
          <w:sz w:val="20"/>
          <w:u w:val="single"/>
        </w:rPr>
        <w:t>Sklad surovín</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Suroviny potrebné pre chod prevádzkového súboru budú uložené v sklade. Jedná sa o malé množstvá napr. kremelina, bentonit, síra..</w:t>
      </w:r>
    </w:p>
    <w:p w:rsidR="00D24DA9" w:rsidRPr="00D24DA9" w:rsidRDefault="00D24DA9" w:rsidP="00D24DA9">
      <w:pPr>
        <w:spacing w:line="360" w:lineRule="auto"/>
        <w:jc w:val="both"/>
        <w:rPr>
          <w:rFonts w:asciiTheme="majorHAnsi" w:hAnsiTheme="majorHAnsi" w:cstheme="majorHAnsi"/>
          <w:b/>
          <w:i/>
          <w:sz w:val="20"/>
          <w:u w:val="single"/>
        </w:rPr>
      </w:pPr>
      <w:r w:rsidRPr="00D24DA9">
        <w:rPr>
          <w:rFonts w:asciiTheme="majorHAnsi" w:hAnsiTheme="majorHAnsi" w:cstheme="majorHAnsi"/>
          <w:b/>
          <w:i/>
          <w:sz w:val="20"/>
          <w:u w:val="single"/>
        </w:rPr>
        <w:t>Potreba energií</w:t>
      </w:r>
    </w:p>
    <w:p w:rsidR="00D24DA9" w:rsidRPr="00D24DA9" w:rsidRDefault="00D24DA9" w:rsidP="00D24DA9">
      <w:pPr>
        <w:spacing w:line="360" w:lineRule="auto"/>
        <w:jc w:val="both"/>
        <w:rPr>
          <w:rFonts w:asciiTheme="majorHAnsi" w:hAnsiTheme="majorHAnsi" w:cstheme="majorHAnsi"/>
          <w:sz w:val="20"/>
          <w:u w:val="single"/>
        </w:rPr>
      </w:pPr>
      <w:r w:rsidRPr="00D24DA9">
        <w:rPr>
          <w:rFonts w:asciiTheme="majorHAnsi" w:hAnsiTheme="majorHAnsi" w:cstheme="majorHAnsi"/>
          <w:sz w:val="20"/>
        </w:rPr>
        <w:t xml:space="preserve">a) </w:t>
      </w:r>
      <w:r w:rsidRPr="00D24DA9">
        <w:rPr>
          <w:rFonts w:asciiTheme="majorHAnsi" w:hAnsiTheme="majorHAnsi" w:cstheme="majorHAnsi"/>
          <w:sz w:val="20"/>
        </w:rPr>
        <w:tab/>
      </w:r>
      <w:r w:rsidRPr="00D24DA9">
        <w:rPr>
          <w:rFonts w:asciiTheme="majorHAnsi" w:hAnsiTheme="majorHAnsi" w:cstheme="majorHAnsi"/>
          <w:sz w:val="20"/>
          <w:u w:val="single"/>
        </w:rPr>
        <w:t>Voda (technologická)</w:t>
      </w:r>
    </w:p>
    <w:p w:rsidR="00D24DA9" w:rsidRPr="00D24DA9" w:rsidRDefault="00D24DA9" w:rsidP="00D24DA9">
      <w:pPr>
        <w:spacing w:line="360" w:lineRule="auto"/>
        <w:ind w:left="705"/>
        <w:jc w:val="both"/>
        <w:rPr>
          <w:rFonts w:asciiTheme="majorHAnsi" w:hAnsiTheme="majorHAnsi" w:cstheme="majorHAnsi"/>
          <w:sz w:val="20"/>
        </w:rPr>
      </w:pPr>
      <w:r w:rsidRPr="00D24DA9">
        <w:rPr>
          <w:rFonts w:asciiTheme="majorHAnsi" w:hAnsiTheme="majorHAnsi" w:cstheme="majorHAnsi"/>
          <w:sz w:val="20"/>
        </w:rPr>
        <w:t>Z celkovej spotreby vody 66 m</w:t>
      </w:r>
      <w:r w:rsidRPr="00D24DA9">
        <w:rPr>
          <w:rFonts w:asciiTheme="majorHAnsi" w:hAnsiTheme="majorHAnsi" w:cstheme="majorHAnsi"/>
          <w:sz w:val="20"/>
          <w:vertAlign w:val="superscript"/>
        </w:rPr>
        <w:t xml:space="preserve">3 </w:t>
      </w:r>
      <w:r w:rsidRPr="00D24DA9">
        <w:rPr>
          <w:rFonts w:asciiTheme="majorHAnsi" w:hAnsiTheme="majorHAnsi" w:cstheme="majorHAnsi"/>
          <w:sz w:val="20"/>
        </w:rPr>
        <w:t>/ rok bude v tomto súbore spotreba 46  m</w:t>
      </w:r>
      <w:r w:rsidRPr="00D24DA9">
        <w:rPr>
          <w:rFonts w:asciiTheme="majorHAnsi" w:hAnsiTheme="majorHAnsi" w:cstheme="majorHAnsi"/>
          <w:sz w:val="20"/>
          <w:vertAlign w:val="superscript"/>
        </w:rPr>
        <w:t xml:space="preserve">3 </w:t>
      </w:r>
      <w:r w:rsidRPr="00D24DA9">
        <w:rPr>
          <w:rFonts w:asciiTheme="majorHAnsi" w:hAnsiTheme="majorHAnsi" w:cstheme="majorHAnsi"/>
          <w:sz w:val="20"/>
        </w:rPr>
        <w:t>/ rok</w:t>
      </w:r>
    </w:p>
    <w:p w:rsidR="00D24DA9" w:rsidRPr="00D24DA9" w:rsidRDefault="00D24DA9" w:rsidP="00D24DA9">
      <w:pPr>
        <w:spacing w:line="360" w:lineRule="auto"/>
        <w:ind w:left="705"/>
        <w:jc w:val="both"/>
        <w:rPr>
          <w:rFonts w:asciiTheme="majorHAnsi" w:hAnsiTheme="majorHAnsi" w:cstheme="majorHAnsi"/>
          <w:sz w:val="20"/>
        </w:rPr>
      </w:pPr>
    </w:p>
    <w:p w:rsidR="00D24DA9" w:rsidRPr="00D24DA9" w:rsidRDefault="00D24DA9" w:rsidP="00D24DA9">
      <w:pPr>
        <w:spacing w:line="360" w:lineRule="auto"/>
        <w:jc w:val="both"/>
        <w:rPr>
          <w:rFonts w:asciiTheme="majorHAnsi" w:hAnsiTheme="majorHAnsi" w:cstheme="majorHAnsi"/>
          <w:sz w:val="20"/>
          <w:u w:val="single"/>
        </w:rPr>
      </w:pPr>
      <w:r w:rsidRPr="00D24DA9">
        <w:rPr>
          <w:rFonts w:asciiTheme="majorHAnsi" w:hAnsiTheme="majorHAnsi" w:cstheme="majorHAnsi"/>
          <w:sz w:val="20"/>
        </w:rPr>
        <w:t>b)</w:t>
      </w:r>
      <w:r w:rsidRPr="00D24DA9">
        <w:rPr>
          <w:rFonts w:asciiTheme="majorHAnsi" w:hAnsiTheme="majorHAnsi" w:cstheme="majorHAnsi"/>
          <w:sz w:val="20"/>
        </w:rPr>
        <w:tab/>
      </w:r>
      <w:r w:rsidRPr="00D24DA9">
        <w:rPr>
          <w:rFonts w:asciiTheme="majorHAnsi" w:hAnsiTheme="majorHAnsi" w:cstheme="majorHAnsi"/>
          <w:sz w:val="20"/>
          <w:u w:val="single"/>
        </w:rPr>
        <w:t>Elektrická energia (technologická)</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ab/>
        <w:t>Inštalovaný príkon (zásuvky)</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18   kW  </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ab/>
        <w:t>Max. koef. súčasnosti</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0,45</w:t>
      </w:r>
    </w:p>
    <w:p w:rsidR="00D24DA9" w:rsidRPr="00D24DA9" w:rsidRDefault="00D24DA9" w:rsidP="00D24DA9">
      <w:pPr>
        <w:spacing w:line="360" w:lineRule="auto"/>
        <w:jc w:val="both"/>
        <w:rPr>
          <w:rFonts w:asciiTheme="majorHAnsi" w:hAnsiTheme="majorHAnsi" w:cstheme="majorHAnsi"/>
          <w:sz w:val="20"/>
        </w:rPr>
      </w:pPr>
      <w:r w:rsidRPr="00D24DA9">
        <w:rPr>
          <w:rFonts w:asciiTheme="majorHAnsi" w:hAnsiTheme="majorHAnsi" w:cstheme="majorHAnsi"/>
          <w:sz w:val="20"/>
        </w:rPr>
        <w:tab/>
        <w:t>Špičkový odber</w:t>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r>
      <w:r w:rsidRPr="00D24DA9">
        <w:rPr>
          <w:rFonts w:asciiTheme="majorHAnsi" w:hAnsiTheme="majorHAnsi" w:cstheme="majorHAnsi"/>
          <w:sz w:val="20"/>
        </w:rPr>
        <w:tab/>
        <w:t xml:space="preserve">  </w:t>
      </w:r>
      <w:r w:rsidRPr="00D24DA9">
        <w:rPr>
          <w:rFonts w:asciiTheme="majorHAnsi" w:hAnsiTheme="majorHAnsi" w:cstheme="majorHAnsi"/>
          <w:sz w:val="20"/>
        </w:rPr>
        <w:tab/>
        <w:t>8   kW</w:t>
      </w:r>
    </w:p>
    <w:p w:rsidR="009F7606" w:rsidRPr="00F05470" w:rsidRDefault="009F7606" w:rsidP="00F05470">
      <w:pPr>
        <w:autoSpaceDE w:val="0"/>
        <w:autoSpaceDN w:val="0"/>
        <w:adjustRightInd w:val="0"/>
        <w:rPr>
          <w:rFonts w:ascii="Calibri" w:hAnsi="Calibri" w:cs="Calibri"/>
          <w:b/>
          <w:iCs/>
          <w:sz w:val="24"/>
        </w:rPr>
      </w:pPr>
    </w:p>
    <w:p w:rsidR="00816C0C" w:rsidRDefault="00816C0C" w:rsidP="00F05470">
      <w:pPr>
        <w:autoSpaceDE w:val="0"/>
        <w:autoSpaceDN w:val="0"/>
        <w:adjustRightInd w:val="0"/>
        <w:rPr>
          <w:rFonts w:ascii="Calibri" w:hAnsi="Calibri" w:cs="Calibri"/>
          <w:b/>
          <w:iCs/>
          <w:sz w:val="24"/>
        </w:rPr>
      </w:pPr>
    </w:p>
    <w:p w:rsidR="00763F78" w:rsidRPr="00F05470" w:rsidRDefault="00763F78" w:rsidP="0009245A">
      <w:pPr>
        <w:autoSpaceDE w:val="0"/>
        <w:autoSpaceDN w:val="0"/>
        <w:adjustRightInd w:val="0"/>
        <w:rPr>
          <w:rFonts w:ascii="Calibri" w:hAnsi="Calibri" w:cs="Calibri"/>
          <w:b/>
          <w:iCs/>
          <w:sz w:val="24"/>
        </w:rPr>
      </w:pPr>
      <w:r w:rsidRPr="00F05470">
        <w:rPr>
          <w:rFonts w:ascii="Calibri" w:hAnsi="Calibri" w:cs="Calibri"/>
          <w:b/>
          <w:iCs/>
          <w:sz w:val="24"/>
        </w:rPr>
        <w:t>TEPLOTECHNICKÉ POSÚDENIE</w:t>
      </w:r>
      <w:r w:rsidR="00ED12C2" w:rsidRPr="00F05470">
        <w:rPr>
          <w:rFonts w:ascii="Calibri" w:hAnsi="Calibri" w:cs="Calibri"/>
          <w:b/>
          <w:iCs/>
          <w:sz w:val="24"/>
        </w:rPr>
        <w:t xml:space="preserve"> ( SO 01 )</w:t>
      </w:r>
    </w:p>
    <w:p w:rsidR="00ED12C2" w:rsidRPr="00F05470" w:rsidRDefault="00ED12C2" w:rsidP="0009245A">
      <w:pPr>
        <w:autoSpaceDE w:val="0"/>
        <w:autoSpaceDN w:val="0"/>
        <w:adjustRightInd w:val="0"/>
        <w:rPr>
          <w:rFonts w:ascii="Calibri" w:hAnsi="Calibri" w:cs="Calibri"/>
          <w:b/>
          <w:iCs/>
          <w:sz w:val="24"/>
        </w:rPr>
      </w:pPr>
    </w:p>
    <w:p w:rsidR="00ED12C2" w:rsidRPr="00F05470" w:rsidRDefault="005B33B0" w:rsidP="00165ED7">
      <w:pPr>
        <w:pStyle w:val="Nadpis1"/>
      </w:pPr>
      <w:bookmarkStart w:id="132" w:name="_Toc1907025"/>
      <w:r>
        <w:t>2</w:t>
      </w:r>
      <w:r w:rsidR="00ED12C2" w:rsidRPr="00F05470">
        <w:t>. Základné údaje charakterizujúce stavbu</w:t>
      </w:r>
      <w:bookmarkEnd w:id="132"/>
    </w:p>
    <w:p w:rsidR="00ED12C2" w:rsidRPr="00F05470" w:rsidRDefault="00ED12C2" w:rsidP="00ED12C2">
      <w:pPr>
        <w:autoSpaceDE w:val="0"/>
        <w:autoSpaceDN w:val="0"/>
        <w:adjustRightInd w:val="0"/>
        <w:jc w:val="both"/>
        <w:rPr>
          <w:rFonts w:ascii="Calibri" w:hAnsi="Calibri" w:cs="Calibri"/>
          <w:sz w:val="20"/>
        </w:rPr>
      </w:pPr>
      <w:bookmarkStart w:id="133" w:name="_Toc456543357"/>
      <w:r w:rsidRPr="00F05470">
        <w:rPr>
          <w:rFonts w:ascii="Calibri" w:hAnsi="Calibri" w:cs="Calibri"/>
          <w:sz w:val="20"/>
        </w:rPr>
        <w:t>Jedná sa o reprezentačnú stavba vinárskej výroby a showroomu s ubytovaním,  stavebný objekt SO 01. Objekt vinárstva sa nachádza v katastrálnom území Strekov. Vinárstvo je zastrešené sedlovou strechou. Vstup do objektu je situovaný z juhozápadnej strany z príjazdovej komunikácie. Objekt je jednopodlažný so sedlovou strechou, je pôdorysu v tvare obdĺžnika s max. rozmermi  domu  13,35 x 7,30 m. Vinárstvo je navrhnuté na rovinatom teréne.</w:t>
      </w:r>
    </w:p>
    <w:p w:rsidR="00ED12C2" w:rsidRPr="00F05470" w:rsidRDefault="00ED12C2" w:rsidP="00ED12C2">
      <w:pPr>
        <w:autoSpaceDE w:val="0"/>
        <w:autoSpaceDN w:val="0"/>
        <w:adjustRightInd w:val="0"/>
        <w:jc w:val="both"/>
        <w:rPr>
          <w:rFonts w:ascii="Calibri" w:hAnsi="Calibri" w:cs="Calibri"/>
          <w:sz w:val="20"/>
        </w:rPr>
      </w:pPr>
      <w:r w:rsidRPr="00F05470">
        <w:rPr>
          <w:rFonts w:ascii="Calibri" w:hAnsi="Calibri" w:cs="Calibri"/>
          <w:sz w:val="20"/>
        </w:rPr>
        <w:t>Objekt je riešený ako samostatne stojaci a bude slúžiť reprezentáciu a ubytovanie.</w:t>
      </w:r>
    </w:p>
    <w:p w:rsidR="00ED12C2" w:rsidRPr="00F05470" w:rsidRDefault="00ED12C2" w:rsidP="00ED12C2">
      <w:pPr>
        <w:autoSpaceDE w:val="0"/>
        <w:autoSpaceDN w:val="0"/>
        <w:adjustRightInd w:val="0"/>
        <w:jc w:val="both"/>
        <w:rPr>
          <w:rFonts w:ascii="Calibri" w:hAnsi="Calibri" w:cs="Calibri"/>
          <w:sz w:val="20"/>
        </w:rPr>
      </w:pPr>
      <w:r w:rsidRPr="00F05470">
        <w:rPr>
          <w:rFonts w:ascii="Calibri" w:hAnsi="Calibri" w:cs="Calibri"/>
          <w:sz w:val="20"/>
        </w:rPr>
        <w:t>Hlavný vstup na pozemok je orientovaný na juhozápadnú stranu. Stavba bude napojená na navrhované  prípojky.</w:t>
      </w:r>
    </w:p>
    <w:p w:rsidR="00ED12C2" w:rsidRPr="00F05470" w:rsidRDefault="00ED12C2" w:rsidP="00ED12C2">
      <w:pPr>
        <w:autoSpaceDE w:val="0"/>
        <w:autoSpaceDN w:val="0"/>
        <w:adjustRightInd w:val="0"/>
        <w:jc w:val="both"/>
        <w:rPr>
          <w:rFonts w:ascii="Calibri" w:hAnsi="Calibri" w:cs="Calibri"/>
          <w:sz w:val="20"/>
        </w:rPr>
      </w:pPr>
    </w:p>
    <w:p w:rsidR="00ED12C2" w:rsidRPr="00F05470" w:rsidRDefault="00ED12C2" w:rsidP="00ED12C2">
      <w:pPr>
        <w:autoSpaceDE w:val="0"/>
        <w:autoSpaceDN w:val="0"/>
        <w:adjustRightInd w:val="0"/>
        <w:jc w:val="both"/>
        <w:rPr>
          <w:rFonts w:ascii="Calibri" w:hAnsi="Calibri" w:cs="Calibri"/>
          <w:b/>
          <w:sz w:val="20"/>
        </w:rPr>
      </w:pPr>
      <w:r w:rsidRPr="00F05470">
        <w:rPr>
          <w:rFonts w:ascii="Calibri" w:hAnsi="Calibri" w:cs="Calibri"/>
          <w:b/>
          <w:sz w:val="20"/>
        </w:rPr>
        <w:t>Návrhové hodnoty parametrov:</w:t>
      </w:r>
    </w:p>
    <w:p w:rsidR="00ED12C2" w:rsidRPr="00F05470" w:rsidRDefault="00ED12C2" w:rsidP="00ED12C2">
      <w:pPr>
        <w:autoSpaceDE w:val="0"/>
        <w:autoSpaceDN w:val="0"/>
        <w:adjustRightInd w:val="0"/>
        <w:jc w:val="both"/>
        <w:rPr>
          <w:rFonts w:ascii="Calibri" w:hAnsi="Calibri" w:cs="Calibri"/>
          <w:sz w:val="20"/>
        </w:rPr>
      </w:pPr>
      <w:r w:rsidRPr="00F05470">
        <w:rPr>
          <w:rFonts w:ascii="Calibri" w:hAnsi="Calibri" w:cs="Calibri"/>
          <w:sz w:val="20"/>
        </w:rPr>
        <w:t>Teplota vnútorného vzduchu:</w:t>
      </w:r>
      <w:r w:rsidRPr="00F05470">
        <w:rPr>
          <w:rFonts w:ascii="Calibri" w:hAnsi="Calibri" w:cs="Calibri"/>
          <w:sz w:val="20"/>
        </w:rPr>
        <w:tab/>
      </w:r>
      <w:r w:rsidRPr="00F05470">
        <w:rPr>
          <w:rFonts w:ascii="Calibri" w:hAnsi="Calibri" w:cs="Calibri"/>
          <w:sz w:val="20"/>
        </w:rPr>
        <w:tab/>
      </w:r>
      <w:r w:rsidRPr="00F05470">
        <w:rPr>
          <w:rFonts w:ascii="Calibri" w:hAnsi="Calibri" w:cs="Calibri"/>
          <w:sz w:val="20"/>
        </w:rPr>
        <w:tab/>
        <w:t xml:space="preserve"> 20,0°C</w:t>
      </w:r>
    </w:p>
    <w:p w:rsidR="00ED12C2" w:rsidRPr="00F05470" w:rsidRDefault="00ED12C2" w:rsidP="00ED12C2">
      <w:pPr>
        <w:autoSpaceDE w:val="0"/>
        <w:autoSpaceDN w:val="0"/>
        <w:adjustRightInd w:val="0"/>
        <w:jc w:val="both"/>
        <w:rPr>
          <w:rFonts w:ascii="Calibri" w:hAnsi="Calibri" w:cs="Calibri"/>
          <w:sz w:val="20"/>
        </w:rPr>
      </w:pPr>
      <w:r w:rsidRPr="00F05470">
        <w:rPr>
          <w:rFonts w:ascii="Calibri" w:hAnsi="Calibri" w:cs="Calibri"/>
          <w:sz w:val="20"/>
        </w:rPr>
        <w:t xml:space="preserve">Vnútorná výpočtová teplota pre vykurovanie: </w:t>
      </w:r>
      <w:r w:rsidRPr="00F05470">
        <w:rPr>
          <w:rFonts w:ascii="Calibri" w:hAnsi="Calibri" w:cs="Calibri"/>
          <w:sz w:val="20"/>
        </w:rPr>
        <w:tab/>
        <w:t xml:space="preserve"> 20,0°C</w:t>
      </w:r>
    </w:p>
    <w:p w:rsidR="00ED12C2" w:rsidRPr="00F05470" w:rsidRDefault="00ED12C2" w:rsidP="00ED12C2">
      <w:pPr>
        <w:autoSpaceDE w:val="0"/>
        <w:autoSpaceDN w:val="0"/>
        <w:adjustRightInd w:val="0"/>
        <w:jc w:val="both"/>
        <w:rPr>
          <w:rFonts w:ascii="Calibri" w:hAnsi="Calibri" w:cs="Calibri"/>
          <w:sz w:val="20"/>
        </w:rPr>
      </w:pPr>
      <w:r w:rsidRPr="00F05470">
        <w:rPr>
          <w:rFonts w:ascii="Calibri" w:hAnsi="Calibri" w:cs="Calibri"/>
          <w:sz w:val="20"/>
        </w:rPr>
        <w:t>Vonkajšia výpočtová teplota oblasti:</w:t>
      </w:r>
      <w:r w:rsidRPr="00F05470">
        <w:rPr>
          <w:rFonts w:ascii="Calibri" w:hAnsi="Calibri" w:cs="Calibri"/>
          <w:sz w:val="20"/>
        </w:rPr>
        <w:tab/>
        <w:t xml:space="preserve"> </w:t>
      </w:r>
      <w:r w:rsidRPr="00F05470">
        <w:rPr>
          <w:rFonts w:ascii="Calibri" w:hAnsi="Calibri" w:cs="Calibri"/>
          <w:sz w:val="20"/>
        </w:rPr>
        <w:tab/>
        <w:t>-11,0°C</w:t>
      </w:r>
    </w:p>
    <w:p w:rsidR="00ED12C2" w:rsidRPr="00F05470" w:rsidRDefault="005B33B0" w:rsidP="00165ED7">
      <w:pPr>
        <w:pStyle w:val="Nadpis1"/>
      </w:pPr>
      <w:bookmarkStart w:id="134" w:name="_Toc1907026"/>
      <w:r>
        <w:t>3</w:t>
      </w:r>
      <w:r w:rsidR="00ED12C2" w:rsidRPr="00F05470">
        <w:t>. Popis vykurovacieho systému</w:t>
      </w:r>
      <w:bookmarkEnd w:id="134"/>
    </w:p>
    <w:p w:rsidR="00ED12C2" w:rsidRPr="00F05470" w:rsidRDefault="00ED12C2" w:rsidP="00ED12C2">
      <w:pPr>
        <w:jc w:val="both"/>
        <w:rPr>
          <w:rFonts w:ascii="Calibri" w:hAnsi="Calibri" w:cs="Calibri"/>
          <w:sz w:val="20"/>
        </w:rPr>
      </w:pPr>
      <w:bookmarkStart w:id="135" w:name="_Toc456543359"/>
      <w:bookmarkEnd w:id="133"/>
      <w:r w:rsidRPr="00F05470">
        <w:rPr>
          <w:rFonts w:ascii="Calibri" w:hAnsi="Calibri" w:cs="Calibri"/>
          <w:sz w:val="20"/>
        </w:rPr>
        <w:t xml:space="preserve">Zdrojom tepla bude sústava vykurovacích rohoží vybavených  odporovými káblami DEVI s výkonom 100W/m2 - 150W/m2. Vykurovacie rohože budú ukladané na poter do lepidla pod dlažbu. </w:t>
      </w:r>
    </w:p>
    <w:p w:rsidR="00ED12C2" w:rsidRPr="00F05470" w:rsidRDefault="00ED12C2" w:rsidP="00ED12C2">
      <w:pPr>
        <w:jc w:val="both"/>
        <w:rPr>
          <w:rFonts w:ascii="Calibri" w:hAnsi="Calibri" w:cs="Calibri"/>
          <w:sz w:val="20"/>
        </w:rPr>
      </w:pPr>
      <w:r w:rsidRPr="00F05470">
        <w:rPr>
          <w:rFonts w:ascii="Calibri" w:hAnsi="Calibri" w:cs="Calibri"/>
          <w:sz w:val="20"/>
        </w:rPr>
        <w:lastRenderedPageBreak/>
        <w:t xml:space="preserve">Maximálny vykurovací Výkon rohoží je spolu 7063 W. Rohože budú ovládané priestorovými termostatmi Devireg touch s displejom resp. nadradenou reguláciou. Maximálny spínaný výkon termostatu je 3,5kW. </w:t>
      </w:r>
    </w:p>
    <w:p w:rsidR="00ED12C2" w:rsidRPr="00F05470" w:rsidRDefault="00ED12C2" w:rsidP="00ED12C2">
      <w:pPr>
        <w:jc w:val="both"/>
        <w:rPr>
          <w:rFonts w:ascii="Calibri" w:hAnsi="Calibri" w:cs="Calibri"/>
          <w:sz w:val="20"/>
        </w:rPr>
      </w:pPr>
      <w:r w:rsidRPr="00F05470">
        <w:rPr>
          <w:rFonts w:ascii="Calibri" w:hAnsi="Calibri" w:cs="Calibri"/>
          <w:sz w:val="20"/>
        </w:rPr>
        <w:t>Ohrev teplej pitnej vody v SO01 bude zabezpečený zásobníkom teplej vody s objemom 100Litrov LX ACDC/M+K 100.</w:t>
      </w:r>
    </w:p>
    <w:p w:rsidR="00ED12C2" w:rsidRPr="00F05470" w:rsidRDefault="00ED12C2" w:rsidP="00ED12C2">
      <w:pPr>
        <w:jc w:val="both"/>
        <w:rPr>
          <w:rFonts w:ascii="Calibri" w:hAnsi="Calibri" w:cs="Calibri"/>
          <w:sz w:val="20"/>
        </w:rPr>
      </w:pPr>
      <w:r w:rsidRPr="00F05470">
        <w:rPr>
          <w:rFonts w:ascii="Calibri" w:hAnsi="Calibri" w:cs="Calibri"/>
          <w:sz w:val="20"/>
        </w:rPr>
        <w:t>Regulácia bude zabezpečená izbovými regulátormi v každej miestnosti , na vykurovacích telesách resp. nadradeným systémom.</w:t>
      </w:r>
    </w:p>
    <w:p w:rsidR="00ED12C2" w:rsidRPr="00F05470" w:rsidRDefault="00ED12C2" w:rsidP="00ED12C2">
      <w:pPr>
        <w:jc w:val="both"/>
        <w:rPr>
          <w:rFonts w:ascii="Calibri" w:hAnsi="Calibri" w:cs="Calibri"/>
          <w:color w:val="FF0000"/>
          <w:sz w:val="20"/>
        </w:rPr>
      </w:pPr>
    </w:p>
    <w:p w:rsidR="00ED12C2" w:rsidRPr="00F05470" w:rsidRDefault="005B33B0" w:rsidP="00165ED7">
      <w:pPr>
        <w:pStyle w:val="Nadpis1"/>
      </w:pPr>
      <w:bookmarkStart w:id="136" w:name="_Toc1907027"/>
      <w:r>
        <w:t>4</w:t>
      </w:r>
      <w:r w:rsidR="00ED12C2" w:rsidRPr="00F05470">
        <w:t>. Všeobecné požiadavky na konštrukcie z hľadiska stavebnej tepelnej techniky a platných STN</w:t>
      </w:r>
      <w:bookmarkEnd w:id="135"/>
      <w:bookmarkEnd w:id="136"/>
    </w:p>
    <w:p w:rsidR="00ED12C2" w:rsidRPr="00F05470" w:rsidRDefault="00ED12C2" w:rsidP="00ED12C2">
      <w:pPr>
        <w:pStyle w:val="Nadpis2"/>
        <w:numPr>
          <w:ilvl w:val="0"/>
          <w:numId w:val="0"/>
        </w:numPr>
        <w:jc w:val="both"/>
        <w:rPr>
          <w:rFonts w:ascii="Calibri" w:hAnsi="Calibri" w:cs="Calibri"/>
          <w:szCs w:val="20"/>
        </w:rPr>
      </w:pPr>
      <w:bookmarkStart w:id="137" w:name="_Toc456543360"/>
      <w:bookmarkStart w:id="138" w:name="_Toc1907028"/>
      <w:r w:rsidRPr="00F05470">
        <w:rPr>
          <w:rFonts w:ascii="Calibri" w:hAnsi="Calibri" w:cs="Calibri"/>
          <w:szCs w:val="20"/>
        </w:rPr>
        <w:t>4.1 Tepelnoizolačné kritérium</w:t>
      </w:r>
      <w:bookmarkEnd w:id="137"/>
      <w:bookmarkEnd w:id="138"/>
    </w:p>
    <w:p w:rsidR="00ED12C2" w:rsidRPr="00F05470" w:rsidRDefault="00ED12C2" w:rsidP="00ED12C2">
      <w:pPr>
        <w:jc w:val="both"/>
        <w:rPr>
          <w:rFonts w:ascii="Calibri" w:hAnsi="Calibri" w:cs="Calibri"/>
          <w:sz w:val="20"/>
          <w:u w:val="single"/>
        </w:rPr>
      </w:pPr>
      <w:r w:rsidRPr="00F05470">
        <w:rPr>
          <w:rFonts w:ascii="Calibri" w:hAnsi="Calibri" w:cs="Calibri"/>
          <w:sz w:val="20"/>
          <w:u w:val="single"/>
        </w:rPr>
        <w:t>Súčiniteľ prechodu tepla a tepelný odpor konštrukcie</w:t>
      </w:r>
    </w:p>
    <w:p w:rsidR="00ED12C2" w:rsidRPr="00F05470" w:rsidRDefault="00ED12C2" w:rsidP="00ED12C2">
      <w:pPr>
        <w:jc w:val="both"/>
        <w:rPr>
          <w:rFonts w:ascii="Calibri" w:hAnsi="Calibri" w:cs="Calibri"/>
          <w:sz w:val="20"/>
        </w:rPr>
      </w:pPr>
      <w:r w:rsidRPr="00F05470">
        <w:rPr>
          <w:rFonts w:ascii="Calibri" w:hAnsi="Calibri" w:cs="Calibri"/>
          <w:sz w:val="20"/>
        </w:rPr>
        <w:t>S ohľadom na splnenie podmienok tepelnej pohody v miestnosti v zimnom období a splnenie energetických požiadaviek musia mať steny, strechy, stopy a podlahy vykurovaných alebo klimatizovaných bytových a nebytových budov v priestoroch s relatívnou vlhkosťou ϕ</w:t>
      </w:r>
      <w:r w:rsidRPr="00F05470">
        <w:rPr>
          <w:rFonts w:ascii="Calibri" w:hAnsi="Calibri" w:cs="Calibri"/>
          <w:sz w:val="20"/>
          <w:vertAlign w:val="subscript"/>
        </w:rPr>
        <w:t>i</w:t>
      </w:r>
      <w:r w:rsidRPr="00F05470">
        <w:rPr>
          <w:rFonts w:ascii="Calibri" w:hAnsi="Calibri" w:cs="Calibri"/>
          <w:sz w:val="20"/>
        </w:rPr>
        <w:t>≤80% taký súčiniteľ prechodu tepla konštrukcie U a taký tepelný odpor stavebnej konštrukcie R, aby sa splnili podmienky:</w:t>
      </w:r>
    </w:p>
    <w:p w:rsidR="005B33B0" w:rsidRDefault="005B33B0" w:rsidP="00ED12C2">
      <w:pPr>
        <w:jc w:val="both"/>
        <w:rPr>
          <w:rFonts w:ascii="Calibri" w:hAnsi="Calibri" w:cs="Calibri"/>
          <w:sz w:val="20"/>
        </w:rPr>
      </w:pPr>
    </w:p>
    <w:p w:rsidR="00ED12C2" w:rsidRPr="00F05470" w:rsidRDefault="00ED12C2" w:rsidP="00ED12C2">
      <w:pPr>
        <w:jc w:val="both"/>
        <w:rPr>
          <w:rFonts w:ascii="Calibri" w:hAnsi="Calibri" w:cs="Calibri"/>
          <w:sz w:val="20"/>
        </w:rPr>
      </w:pPr>
      <w:r w:rsidRPr="00F05470">
        <w:rPr>
          <w:rFonts w:ascii="Calibri" w:hAnsi="Calibri" w:cs="Calibri"/>
          <w:sz w:val="20"/>
        </w:rPr>
        <w:t>U≤U</w:t>
      </w:r>
      <w:r w:rsidRPr="00F05470">
        <w:rPr>
          <w:rFonts w:ascii="Calibri" w:hAnsi="Calibri" w:cs="Calibri"/>
          <w:sz w:val="20"/>
          <w:vertAlign w:val="subscript"/>
        </w:rPr>
        <w:t>N</w:t>
      </w:r>
    </w:p>
    <w:p w:rsidR="00ED12C2" w:rsidRPr="00F05470" w:rsidRDefault="005B33B0" w:rsidP="00ED12C2">
      <w:pPr>
        <w:ind w:left="708" w:hanging="705"/>
        <w:jc w:val="both"/>
        <w:rPr>
          <w:rFonts w:ascii="Calibri" w:hAnsi="Calibri" w:cs="Calibri"/>
          <w:sz w:val="20"/>
        </w:rPr>
      </w:pPr>
      <w:r>
        <w:rPr>
          <w:rFonts w:ascii="Calibri" w:hAnsi="Calibri" w:cs="Calibri"/>
          <w:sz w:val="20"/>
        </w:rPr>
        <w:t xml:space="preserve">kde </w:t>
      </w:r>
      <w:r w:rsidR="00ED12C2" w:rsidRPr="00F05470">
        <w:rPr>
          <w:rFonts w:ascii="Calibri" w:hAnsi="Calibri" w:cs="Calibri"/>
          <w:sz w:val="20"/>
        </w:rPr>
        <w:t>U</w:t>
      </w:r>
      <w:r w:rsidR="00ED12C2" w:rsidRPr="00F05470">
        <w:rPr>
          <w:rFonts w:ascii="Calibri" w:hAnsi="Calibri" w:cs="Calibri"/>
          <w:sz w:val="20"/>
          <w:vertAlign w:val="subscript"/>
        </w:rPr>
        <w:t>N</w:t>
      </w:r>
      <w:r w:rsidR="00ED12C2" w:rsidRPr="00F05470">
        <w:rPr>
          <w:rFonts w:ascii="Calibri" w:hAnsi="Calibri" w:cs="Calibri"/>
          <w:sz w:val="20"/>
        </w:rPr>
        <w:t xml:space="preserve"> je normalizovaná hodnota súčiniteľa prechodu tepla konštrukciou  </w:t>
      </w:r>
    </w:p>
    <w:p w:rsidR="005B33B0" w:rsidRDefault="005B33B0" w:rsidP="00ED12C2">
      <w:pPr>
        <w:ind w:left="708" w:hanging="705"/>
        <w:jc w:val="both"/>
        <w:rPr>
          <w:rFonts w:ascii="Calibri" w:hAnsi="Calibri" w:cs="Calibri"/>
          <w:sz w:val="20"/>
        </w:rPr>
      </w:pPr>
    </w:p>
    <w:p w:rsidR="00ED12C2" w:rsidRPr="00F05470" w:rsidRDefault="00ED12C2" w:rsidP="00ED12C2">
      <w:pPr>
        <w:ind w:left="708" w:hanging="705"/>
        <w:jc w:val="both"/>
        <w:rPr>
          <w:rFonts w:ascii="Calibri" w:hAnsi="Calibri" w:cs="Calibri"/>
          <w:sz w:val="20"/>
        </w:rPr>
      </w:pPr>
      <w:r w:rsidRPr="00F05470">
        <w:rPr>
          <w:rFonts w:ascii="Calibri" w:hAnsi="Calibri" w:cs="Calibri"/>
          <w:sz w:val="20"/>
        </w:rPr>
        <w:t>R≥R</w:t>
      </w:r>
      <w:r w:rsidRPr="00F05470">
        <w:rPr>
          <w:rFonts w:ascii="Calibri" w:hAnsi="Calibri" w:cs="Calibri"/>
          <w:sz w:val="20"/>
          <w:vertAlign w:val="subscript"/>
        </w:rPr>
        <w:t>N</w:t>
      </w:r>
    </w:p>
    <w:p w:rsidR="00ED12C2" w:rsidRPr="00F05470" w:rsidRDefault="005B33B0" w:rsidP="00ED12C2">
      <w:pPr>
        <w:ind w:left="708" w:hanging="705"/>
        <w:jc w:val="both"/>
        <w:rPr>
          <w:rFonts w:ascii="Calibri" w:hAnsi="Calibri" w:cs="Calibri"/>
          <w:sz w:val="20"/>
        </w:rPr>
      </w:pPr>
      <w:r>
        <w:rPr>
          <w:rFonts w:ascii="Calibri" w:hAnsi="Calibri" w:cs="Calibri"/>
          <w:sz w:val="20"/>
        </w:rPr>
        <w:t xml:space="preserve">kde </w:t>
      </w:r>
      <w:r w:rsidR="00ED12C2" w:rsidRPr="00F05470">
        <w:rPr>
          <w:rFonts w:ascii="Calibri" w:hAnsi="Calibri" w:cs="Calibri"/>
          <w:sz w:val="20"/>
        </w:rPr>
        <w:t>R</w:t>
      </w:r>
      <w:r w:rsidR="00ED12C2" w:rsidRPr="00F05470">
        <w:rPr>
          <w:rFonts w:ascii="Calibri" w:hAnsi="Calibri" w:cs="Calibri"/>
          <w:sz w:val="20"/>
          <w:vertAlign w:val="subscript"/>
        </w:rPr>
        <w:t>N</w:t>
      </w:r>
      <w:r w:rsidR="00ED12C2" w:rsidRPr="00F05470">
        <w:rPr>
          <w:rFonts w:ascii="Calibri" w:hAnsi="Calibri" w:cs="Calibri"/>
          <w:sz w:val="20"/>
        </w:rPr>
        <w:t xml:space="preserve"> je normalizovaná hodnota tepelného odporu</w:t>
      </w:r>
    </w:p>
    <w:p w:rsidR="005B33B0" w:rsidRDefault="00ED12C2" w:rsidP="00ED12C2">
      <w:pPr>
        <w:ind w:firstLine="3"/>
        <w:jc w:val="both"/>
        <w:rPr>
          <w:rFonts w:ascii="Calibri" w:hAnsi="Calibri" w:cs="Calibri"/>
          <w:sz w:val="20"/>
        </w:rPr>
      </w:pPr>
      <w:r w:rsidRPr="00F05470">
        <w:rPr>
          <w:rFonts w:ascii="Calibri" w:hAnsi="Calibri" w:cs="Calibri"/>
          <w:sz w:val="20"/>
        </w:rPr>
        <w:tab/>
      </w:r>
    </w:p>
    <w:p w:rsidR="00ED12C2" w:rsidRPr="00F05470" w:rsidRDefault="00ED12C2" w:rsidP="00ED12C2">
      <w:pPr>
        <w:ind w:firstLine="3"/>
        <w:jc w:val="both"/>
        <w:rPr>
          <w:rFonts w:ascii="Calibri" w:hAnsi="Calibri" w:cs="Calibri"/>
          <w:sz w:val="20"/>
        </w:rPr>
      </w:pPr>
      <w:r w:rsidRPr="00F05470">
        <w:rPr>
          <w:rFonts w:ascii="Calibri" w:hAnsi="Calibri" w:cs="Calibri"/>
          <w:sz w:val="20"/>
        </w:rPr>
        <w:t>Vonkajšie okná a dvere bytových a nebytových budov musia mať súčiniteľ prechodu tepla konštrukcie U</w:t>
      </w:r>
      <w:r w:rsidRPr="00F05470">
        <w:rPr>
          <w:rFonts w:ascii="Calibri" w:hAnsi="Calibri" w:cs="Calibri"/>
          <w:sz w:val="20"/>
          <w:vertAlign w:val="subscript"/>
        </w:rPr>
        <w:t>W</w:t>
      </w:r>
      <w:r w:rsidRPr="00F05470">
        <w:rPr>
          <w:rFonts w:ascii="Calibri" w:hAnsi="Calibri" w:cs="Calibri"/>
          <w:sz w:val="20"/>
        </w:rPr>
        <w:t xml:space="preserve"> aby splnil podmienku:</w:t>
      </w:r>
    </w:p>
    <w:p w:rsidR="005B33B0" w:rsidRDefault="005B33B0" w:rsidP="00ED12C2">
      <w:pPr>
        <w:ind w:firstLine="3"/>
        <w:jc w:val="both"/>
        <w:rPr>
          <w:rFonts w:ascii="Calibri" w:hAnsi="Calibri" w:cs="Calibri"/>
          <w:sz w:val="20"/>
        </w:rPr>
      </w:pPr>
    </w:p>
    <w:p w:rsidR="00ED12C2" w:rsidRPr="00F05470" w:rsidRDefault="00ED12C2" w:rsidP="00ED12C2">
      <w:pPr>
        <w:ind w:firstLine="3"/>
        <w:jc w:val="both"/>
        <w:rPr>
          <w:rFonts w:ascii="Calibri" w:hAnsi="Calibri" w:cs="Calibri"/>
          <w:sz w:val="20"/>
        </w:rPr>
      </w:pPr>
      <w:r w:rsidRPr="00F05470">
        <w:rPr>
          <w:rFonts w:ascii="Calibri" w:hAnsi="Calibri" w:cs="Calibri"/>
          <w:sz w:val="20"/>
        </w:rPr>
        <w:t>U</w:t>
      </w:r>
      <w:r w:rsidRPr="00F05470">
        <w:rPr>
          <w:rFonts w:ascii="Calibri" w:hAnsi="Calibri" w:cs="Calibri"/>
          <w:sz w:val="20"/>
          <w:vertAlign w:val="subscript"/>
        </w:rPr>
        <w:t>W</w:t>
      </w:r>
      <w:r w:rsidRPr="00F05470">
        <w:rPr>
          <w:rFonts w:ascii="Calibri" w:hAnsi="Calibri" w:cs="Calibri"/>
          <w:sz w:val="20"/>
        </w:rPr>
        <w:t>≤U</w:t>
      </w:r>
      <w:r w:rsidRPr="00F05470">
        <w:rPr>
          <w:rFonts w:ascii="Calibri" w:hAnsi="Calibri" w:cs="Calibri"/>
          <w:sz w:val="20"/>
          <w:vertAlign w:val="subscript"/>
        </w:rPr>
        <w:t>W,N</w:t>
      </w:r>
    </w:p>
    <w:p w:rsidR="00ED12C2" w:rsidRPr="00F05470" w:rsidRDefault="005B33B0" w:rsidP="00ED12C2">
      <w:pPr>
        <w:ind w:left="708" w:hanging="705"/>
        <w:jc w:val="both"/>
        <w:rPr>
          <w:rFonts w:ascii="Calibri" w:hAnsi="Calibri" w:cs="Calibri"/>
          <w:sz w:val="20"/>
        </w:rPr>
      </w:pPr>
      <w:r>
        <w:rPr>
          <w:rFonts w:ascii="Calibri" w:hAnsi="Calibri" w:cs="Calibri"/>
          <w:sz w:val="20"/>
        </w:rPr>
        <w:t xml:space="preserve">kde </w:t>
      </w:r>
      <w:r w:rsidR="00ED12C2" w:rsidRPr="00F05470">
        <w:rPr>
          <w:rFonts w:ascii="Calibri" w:hAnsi="Calibri" w:cs="Calibri"/>
          <w:sz w:val="20"/>
        </w:rPr>
        <w:t>U</w:t>
      </w:r>
      <w:r w:rsidR="00ED12C2" w:rsidRPr="00F05470">
        <w:rPr>
          <w:rFonts w:ascii="Calibri" w:hAnsi="Calibri" w:cs="Calibri"/>
          <w:sz w:val="20"/>
          <w:vertAlign w:val="subscript"/>
        </w:rPr>
        <w:t>W,N</w:t>
      </w:r>
      <w:r w:rsidR="00ED12C2" w:rsidRPr="00F05470">
        <w:rPr>
          <w:rFonts w:ascii="Calibri" w:hAnsi="Calibri" w:cs="Calibri"/>
          <w:sz w:val="20"/>
        </w:rPr>
        <w:t xml:space="preserve"> je normalizovaná hodnota súčiniteľa prechodu tepla vonkajších otvorových konštrukcií </w:t>
      </w:r>
    </w:p>
    <w:p w:rsidR="005B33B0" w:rsidRDefault="005B33B0" w:rsidP="005B33B0">
      <w:pPr>
        <w:jc w:val="both"/>
        <w:rPr>
          <w:rFonts w:ascii="Calibri" w:hAnsi="Calibri" w:cs="Calibri"/>
          <w:sz w:val="20"/>
          <w:u w:val="single"/>
        </w:rPr>
      </w:pPr>
    </w:p>
    <w:p w:rsidR="00ED12C2" w:rsidRPr="00F05470" w:rsidRDefault="00ED12C2" w:rsidP="005B33B0">
      <w:pPr>
        <w:jc w:val="both"/>
        <w:rPr>
          <w:rFonts w:ascii="Calibri" w:hAnsi="Calibri" w:cs="Calibri"/>
          <w:sz w:val="20"/>
          <w:u w:val="single"/>
        </w:rPr>
      </w:pPr>
      <w:r w:rsidRPr="00F05470">
        <w:rPr>
          <w:rFonts w:ascii="Calibri" w:hAnsi="Calibri" w:cs="Calibri"/>
          <w:sz w:val="20"/>
          <w:u w:val="single"/>
        </w:rPr>
        <w:t>Najnižšia povrchová teplota konštrukcie</w:t>
      </w:r>
    </w:p>
    <w:p w:rsidR="00ED12C2" w:rsidRPr="00F05470" w:rsidRDefault="00ED12C2" w:rsidP="005B33B0">
      <w:pPr>
        <w:jc w:val="both"/>
        <w:rPr>
          <w:rFonts w:ascii="Calibri" w:hAnsi="Calibri" w:cs="Calibri"/>
          <w:sz w:val="20"/>
        </w:rPr>
      </w:pPr>
      <w:r w:rsidRPr="00F05470">
        <w:rPr>
          <w:rFonts w:ascii="Calibri" w:hAnsi="Calibri" w:cs="Calibri"/>
          <w:sz w:val="20"/>
        </w:rPr>
        <w:t>Steny, stropy a podlahy v priestoroch s relatívnou vlhkosťou vzduchu ϕ</w:t>
      </w:r>
      <w:r w:rsidRPr="00F05470">
        <w:rPr>
          <w:rFonts w:ascii="Calibri" w:hAnsi="Calibri" w:cs="Calibri"/>
          <w:sz w:val="20"/>
          <w:vertAlign w:val="subscript"/>
        </w:rPr>
        <w:t>i</w:t>
      </w:r>
      <w:r w:rsidRPr="00F05470">
        <w:rPr>
          <w:rFonts w:ascii="Calibri" w:hAnsi="Calibri" w:cs="Calibri"/>
          <w:sz w:val="20"/>
        </w:rPr>
        <w:t>≤80% musia mať na každom mieste vnútorného povrchu teplotu θ</w:t>
      </w:r>
      <w:r w:rsidRPr="00F05470">
        <w:rPr>
          <w:rFonts w:ascii="Calibri" w:hAnsi="Calibri" w:cs="Calibri"/>
          <w:sz w:val="20"/>
          <w:vertAlign w:val="subscript"/>
        </w:rPr>
        <w:t>si</w:t>
      </w:r>
      <w:r w:rsidRPr="00F05470">
        <w:rPr>
          <w:rFonts w:ascii="Calibri" w:hAnsi="Calibri" w:cs="Calibri"/>
          <w:sz w:val="20"/>
        </w:rPr>
        <w:t>, vyjadrenú v °C, ktorá je bezpečne nad teplotou rosného bodu a vylučuje riziko vzniku plesní</w:t>
      </w:r>
    </w:p>
    <w:p w:rsidR="005B33B0" w:rsidRDefault="005B33B0" w:rsidP="00ED12C2">
      <w:pPr>
        <w:ind w:firstLine="3"/>
        <w:jc w:val="both"/>
        <w:rPr>
          <w:rFonts w:ascii="Calibri" w:hAnsi="Calibri" w:cs="Calibri"/>
          <w:sz w:val="20"/>
        </w:rPr>
      </w:pPr>
    </w:p>
    <w:p w:rsidR="00ED12C2" w:rsidRPr="00F05470" w:rsidRDefault="00ED12C2" w:rsidP="00ED12C2">
      <w:pPr>
        <w:ind w:firstLine="3"/>
        <w:jc w:val="both"/>
        <w:rPr>
          <w:rFonts w:ascii="Calibri" w:hAnsi="Calibri" w:cs="Calibri"/>
          <w:sz w:val="20"/>
        </w:rPr>
      </w:pPr>
      <w:r w:rsidRPr="00F05470">
        <w:rPr>
          <w:rFonts w:ascii="Calibri" w:hAnsi="Calibri" w:cs="Calibri"/>
          <w:sz w:val="20"/>
        </w:rPr>
        <w:t>θ</w:t>
      </w:r>
      <w:r w:rsidRPr="00F05470">
        <w:rPr>
          <w:rFonts w:ascii="Calibri" w:hAnsi="Calibri" w:cs="Calibri"/>
          <w:sz w:val="20"/>
          <w:vertAlign w:val="subscript"/>
        </w:rPr>
        <w:t>si</w:t>
      </w:r>
      <w:r w:rsidRPr="00F05470">
        <w:rPr>
          <w:rFonts w:ascii="Calibri" w:hAnsi="Calibri" w:cs="Calibri"/>
          <w:sz w:val="20"/>
        </w:rPr>
        <w:t>≥θ</w:t>
      </w:r>
      <w:r w:rsidRPr="00F05470">
        <w:rPr>
          <w:rFonts w:ascii="Calibri" w:hAnsi="Calibri" w:cs="Calibri"/>
          <w:sz w:val="20"/>
          <w:vertAlign w:val="subscript"/>
        </w:rPr>
        <w:t>si,N</w:t>
      </w:r>
      <w:r w:rsidRPr="00F05470">
        <w:rPr>
          <w:rFonts w:ascii="Calibri" w:hAnsi="Calibri" w:cs="Calibri"/>
          <w:sz w:val="20"/>
        </w:rPr>
        <w:t>=θ</w:t>
      </w:r>
      <w:r w:rsidRPr="00F05470">
        <w:rPr>
          <w:rFonts w:ascii="Calibri" w:hAnsi="Calibri" w:cs="Calibri"/>
          <w:sz w:val="20"/>
          <w:vertAlign w:val="subscript"/>
        </w:rPr>
        <w:t>si,80</w:t>
      </w:r>
      <w:r w:rsidRPr="00F05470">
        <w:rPr>
          <w:rFonts w:ascii="Calibri" w:hAnsi="Calibri" w:cs="Calibri"/>
          <w:sz w:val="20"/>
        </w:rPr>
        <w:t>+Δθ</w:t>
      </w:r>
      <w:r w:rsidRPr="00F05470">
        <w:rPr>
          <w:rFonts w:ascii="Calibri" w:hAnsi="Calibri" w:cs="Calibri"/>
          <w:sz w:val="20"/>
          <w:vertAlign w:val="subscript"/>
        </w:rPr>
        <w:t>si</w:t>
      </w:r>
    </w:p>
    <w:p w:rsidR="00ED12C2" w:rsidRPr="00F05470" w:rsidRDefault="005B33B0" w:rsidP="00ED12C2">
      <w:pPr>
        <w:ind w:left="708" w:hanging="705"/>
        <w:jc w:val="both"/>
        <w:rPr>
          <w:rFonts w:ascii="Calibri" w:hAnsi="Calibri" w:cs="Calibri"/>
          <w:sz w:val="20"/>
        </w:rPr>
      </w:pPr>
      <w:r>
        <w:rPr>
          <w:rFonts w:ascii="Calibri" w:hAnsi="Calibri" w:cs="Calibri"/>
          <w:sz w:val="20"/>
        </w:rPr>
        <w:t>kde</w:t>
      </w:r>
      <w:r>
        <w:rPr>
          <w:rFonts w:ascii="Calibri" w:hAnsi="Calibri" w:cs="Calibri"/>
          <w:sz w:val="20"/>
        </w:rPr>
        <w:tab/>
      </w:r>
      <w:r w:rsidR="00ED12C2" w:rsidRPr="00F05470">
        <w:rPr>
          <w:rFonts w:ascii="Calibri" w:hAnsi="Calibri" w:cs="Calibri"/>
          <w:sz w:val="20"/>
        </w:rPr>
        <w:t>θ</w:t>
      </w:r>
      <w:r w:rsidR="00ED12C2" w:rsidRPr="00F05470">
        <w:rPr>
          <w:rFonts w:ascii="Calibri" w:hAnsi="Calibri" w:cs="Calibri"/>
          <w:sz w:val="20"/>
          <w:vertAlign w:val="subscript"/>
        </w:rPr>
        <w:t xml:space="preserve">si,N </w:t>
      </w:r>
      <w:r w:rsidR="00ED12C2" w:rsidRPr="00F05470">
        <w:rPr>
          <w:rFonts w:ascii="Calibri" w:hAnsi="Calibri" w:cs="Calibri"/>
          <w:sz w:val="20"/>
        </w:rPr>
        <w:t>je najnižšia vnútorná teplota, ktorá sa určí pre najmenej priaznivé miesto stavebnej konštrukcie</w:t>
      </w:r>
    </w:p>
    <w:p w:rsidR="00ED12C2" w:rsidRPr="00F05470" w:rsidRDefault="00ED12C2" w:rsidP="005B33B0">
      <w:pPr>
        <w:ind w:left="708"/>
        <w:jc w:val="both"/>
        <w:rPr>
          <w:rFonts w:ascii="Calibri" w:hAnsi="Calibri" w:cs="Calibri"/>
          <w:sz w:val="20"/>
        </w:rPr>
      </w:pPr>
      <w:r w:rsidRPr="00F05470">
        <w:rPr>
          <w:rFonts w:ascii="Calibri" w:hAnsi="Calibri" w:cs="Calibri"/>
          <w:sz w:val="20"/>
        </w:rPr>
        <w:t>θ</w:t>
      </w:r>
      <w:r w:rsidRPr="00F05470">
        <w:rPr>
          <w:rFonts w:ascii="Calibri" w:hAnsi="Calibri" w:cs="Calibri"/>
          <w:sz w:val="20"/>
          <w:vertAlign w:val="subscript"/>
        </w:rPr>
        <w:t xml:space="preserve">si,80 </w:t>
      </w:r>
      <w:r w:rsidRPr="00F05470">
        <w:rPr>
          <w:rFonts w:ascii="Calibri" w:hAnsi="Calibri" w:cs="Calibri"/>
          <w:sz w:val="20"/>
        </w:rPr>
        <w:t>je kritická povrchová teplota na vznik plesní</w:t>
      </w:r>
    </w:p>
    <w:p w:rsidR="00ED12C2" w:rsidRPr="00F05470" w:rsidRDefault="00ED12C2" w:rsidP="00ED12C2">
      <w:pPr>
        <w:ind w:left="708" w:hanging="705"/>
        <w:jc w:val="both"/>
        <w:rPr>
          <w:rFonts w:ascii="Calibri" w:hAnsi="Calibri" w:cs="Calibri"/>
          <w:sz w:val="20"/>
        </w:rPr>
      </w:pPr>
      <w:r w:rsidRPr="00F05470">
        <w:rPr>
          <w:rFonts w:ascii="Calibri" w:hAnsi="Calibri" w:cs="Calibri"/>
          <w:sz w:val="20"/>
        </w:rPr>
        <w:tab/>
        <w:t>Δθ</w:t>
      </w:r>
      <w:r w:rsidRPr="00F05470">
        <w:rPr>
          <w:rFonts w:ascii="Calibri" w:hAnsi="Calibri" w:cs="Calibri"/>
          <w:sz w:val="20"/>
          <w:vertAlign w:val="subscript"/>
        </w:rPr>
        <w:t>si</w:t>
      </w:r>
      <w:r w:rsidRPr="00F05470">
        <w:rPr>
          <w:rFonts w:ascii="Calibri" w:hAnsi="Calibri" w:cs="Calibri"/>
          <w:sz w:val="20"/>
        </w:rPr>
        <w:t xml:space="preserve"> je bezpečnostná prirážka zohľadňujúca spôsob vykurovania miestností </w:t>
      </w:r>
    </w:p>
    <w:p w:rsidR="005B33B0" w:rsidRDefault="005B33B0" w:rsidP="00ED12C2">
      <w:pPr>
        <w:ind w:firstLine="4"/>
        <w:jc w:val="both"/>
        <w:rPr>
          <w:rFonts w:ascii="Calibri" w:hAnsi="Calibri" w:cs="Calibri"/>
          <w:sz w:val="20"/>
        </w:rPr>
      </w:pPr>
    </w:p>
    <w:p w:rsidR="00ED12C2" w:rsidRPr="00F05470" w:rsidRDefault="00ED12C2" w:rsidP="00ED12C2">
      <w:pPr>
        <w:ind w:firstLine="4"/>
        <w:jc w:val="both"/>
        <w:rPr>
          <w:rFonts w:ascii="Calibri" w:hAnsi="Calibri" w:cs="Calibri"/>
          <w:sz w:val="20"/>
        </w:rPr>
      </w:pPr>
      <w:r w:rsidRPr="00F05470">
        <w:rPr>
          <w:rFonts w:ascii="Calibri" w:hAnsi="Calibri" w:cs="Calibri"/>
          <w:sz w:val="20"/>
        </w:rPr>
        <w:t>Rámy, nepriesvitné a priesvitné výplne otvorov v priestoroch s relatívnou vlhkosťou vzduchu ϕ</w:t>
      </w:r>
      <w:r w:rsidRPr="00F05470">
        <w:rPr>
          <w:rFonts w:ascii="Calibri" w:hAnsi="Calibri" w:cs="Calibri"/>
          <w:sz w:val="20"/>
          <w:vertAlign w:val="subscript"/>
        </w:rPr>
        <w:t>i</w:t>
      </w:r>
      <w:r w:rsidRPr="00F05470">
        <w:rPr>
          <w:rFonts w:ascii="Calibri" w:hAnsi="Calibri" w:cs="Calibri"/>
          <w:sz w:val="20"/>
        </w:rPr>
        <w:t>≤50% musia mať na každom mieste povrchovú teplotu θ</w:t>
      </w:r>
      <w:r w:rsidRPr="00F05470">
        <w:rPr>
          <w:rFonts w:ascii="Calibri" w:hAnsi="Calibri" w:cs="Calibri"/>
          <w:sz w:val="20"/>
          <w:vertAlign w:val="subscript"/>
        </w:rPr>
        <w:t>si,w</w:t>
      </w:r>
      <w:r w:rsidRPr="00F05470">
        <w:rPr>
          <w:rFonts w:ascii="Calibri" w:hAnsi="Calibri" w:cs="Calibri"/>
          <w:sz w:val="20"/>
        </w:rPr>
        <w:t>, vyjadrenú v °C, nad teplotou rosného bodu θ</w:t>
      </w:r>
      <w:r w:rsidRPr="00F05470">
        <w:rPr>
          <w:rFonts w:ascii="Calibri" w:hAnsi="Calibri" w:cs="Calibri"/>
          <w:sz w:val="20"/>
          <w:vertAlign w:val="subscript"/>
        </w:rPr>
        <w:t>dp</w:t>
      </w:r>
      <w:r w:rsidRPr="00F05470">
        <w:rPr>
          <w:rFonts w:ascii="Calibri" w:hAnsi="Calibri" w:cs="Calibri"/>
          <w:sz w:val="20"/>
        </w:rPr>
        <w:t>:</w:t>
      </w:r>
    </w:p>
    <w:p w:rsidR="005B33B0" w:rsidRDefault="005B33B0" w:rsidP="00ED12C2">
      <w:pPr>
        <w:ind w:firstLine="3"/>
        <w:jc w:val="both"/>
        <w:rPr>
          <w:rFonts w:ascii="Calibri" w:hAnsi="Calibri" w:cs="Calibri"/>
          <w:sz w:val="20"/>
        </w:rPr>
      </w:pPr>
    </w:p>
    <w:p w:rsidR="00ED12C2" w:rsidRPr="00F05470" w:rsidRDefault="00ED12C2" w:rsidP="00ED12C2">
      <w:pPr>
        <w:ind w:firstLine="3"/>
        <w:jc w:val="both"/>
        <w:rPr>
          <w:rFonts w:ascii="Calibri" w:hAnsi="Calibri" w:cs="Calibri"/>
          <w:sz w:val="20"/>
        </w:rPr>
      </w:pPr>
      <w:r w:rsidRPr="00F05470">
        <w:rPr>
          <w:rFonts w:ascii="Calibri" w:hAnsi="Calibri" w:cs="Calibri"/>
          <w:sz w:val="20"/>
        </w:rPr>
        <w:t>θ</w:t>
      </w:r>
      <w:r w:rsidRPr="00F05470">
        <w:rPr>
          <w:rFonts w:ascii="Calibri" w:hAnsi="Calibri" w:cs="Calibri"/>
          <w:sz w:val="20"/>
          <w:vertAlign w:val="subscript"/>
        </w:rPr>
        <w:t>si,w</w:t>
      </w:r>
      <w:r w:rsidRPr="00F05470">
        <w:rPr>
          <w:rFonts w:ascii="Calibri" w:hAnsi="Calibri" w:cs="Calibri"/>
          <w:sz w:val="20"/>
        </w:rPr>
        <w:t>≥θ</w:t>
      </w:r>
      <w:r w:rsidRPr="00F05470">
        <w:rPr>
          <w:rFonts w:ascii="Calibri" w:hAnsi="Calibri" w:cs="Calibri"/>
          <w:sz w:val="20"/>
          <w:vertAlign w:val="subscript"/>
        </w:rPr>
        <w:t>si,w,N</w:t>
      </w:r>
      <w:r w:rsidRPr="00F05470">
        <w:rPr>
          <w:rFonts w:ascii="Calibri" w:hAnsi="Calibri" w:cs="Calibri"/>
          <w:sz w:val="20"/>
        </w:rPr>
        <w:t>=θ</w:t>
      </w:r>
      <w:r w:rsidRPr="00F05470">
        <w:rPr>
          <w:rFonts w:ascii="Calibri" w:hAnsi="Calibri" w:cs="Calibri"/>
          <w:sz w:val="20"/>
          <w:vertAlign w:val="subscript"/>
        </w:rPr>
        <w:t>dp</w:t>
      </w:r>
    </w:p>
    <w:p w:rsidR="00ED12C2" w:rsidRPr="00F05470" w:rsidRDefault="00ED12C2" w:rsidP="00ED12C2">
      <w:pPr>
        <w:ind w:left="708" w:hanging="705"/>
        <w:jc w:val="both"/>
        <w:rPr>
          <w:rFonts w:ascii="Calibri" w:hAnsi="Calibri" w:cs="Calibri"/>
          <w:sz w:val="20"/>
        </w:rPr>
      </w:pPr>
      <w:r w:rsidRPr="00F05470">
        <w:rPr>
          <w:rFonts w:ascii="Calibri" w:hAnsi="Calibri" w:cs="Calibri"/>
          <w:sz w:val="20"/>
        </w:rPr>
        <w:t>kde</w:t>
      </w:r>
      <w:r w:rsidRPr="00F05470">
        <w:rPr>
          <w:rFonts w:ascii="Calibri" w:hAnsi="Calibri" w:cs="Calibri"/>
          <w:sz w:val="20"/>
        </w:rPr>
        <w:tab/>
        <w:t>θ</w:t>
      </w:r>
      <w:r w:rsidRPr="00F05470">
        <w:rPr>
          <w:rFonts w:ascii="Calibri" w:hAnsi="Calibri" w:cs="Calibri"/>
          <w:sz w:val="20"/>
          <w:vertAlign w:val="subscript"/>
        </w:rPr>
        <w:t xml:space="preserve">si,w,N </w:t>
      </w:r>
      <w:r w:rsidRPr="00F05470">
        <w:rPr>
          <w:rFonts w:ascii="Calibri" w:hAnsi="Calibri" w:cs="Calibri"/>
          <w:sz w:val="20"/>
        </w:rPr>
        <w:t>je požadovaná normalizovaná hodnota vnútornej povrchovej teploty výplne otvoru, v °C</w:t>
      </w:r>
    </w:p>
    <w:p w:rsidR="00ED12C2" w:rsidRPr="00F05470" w:rsidRDefault="00ED12C2" w:rsidP="00ED12C2">
      <w:pPr>
        <w:ind w:left="708" w:hanging="705"/>
        <w:jc w:val="both"/>
        <w:rPr>
          <w:rFonts w:ascii="Calibri" w:hAnsi="Calibri" w:cs="Calibri"/>
          <w:sz w:val="20"/>
        </w:rPr>
      </w:pPr>
      <w:r w:rsidRPr="00F05470">
        <w:rPr>
          <w:rFonts w:ascii="Calibri" w:hAnsi="Calibri" w:cs="Calibri"/>
          <w:sz w:val="20"/>
        </w:rPr>
        <w:tab/>
        <w:t>θ</w:t>
      </w:r>
      <w:r w:rsidRPr="00F05470">
        <w:rPr>
          <w:rFonts w:ascii="Calibri" w:hAnsi="Calibri" w:cs="Calibri"/>
          <w:sz w:val="20"/>
          <w:vertAlign w:val="subscript"/>
        </w:rPr>
        <w:t xml:space="preserve">dp </w:t>
      </w:r>
      <w:r w:rsidRPr="00F05470">
        <w:rPr>
          <w:rFonts w:ascii="Calibri" w:hAnsi="Calibri" w:cs="Calibri"/>
          <w:sz w:val="20"/>
        </w:rPr>
        <w:t xml:space="preserve">je teplota rosného bodu </w:t>
      </w:r>
    </w:p>
    <w:p w:rsidR="005B33B0" w:rsidRDefault="005B33B0" w:rsidP="005B33B0">
      <w:pPr>
        <w:jc w:val="both"/>
        <w:rPr>
          <w:rFonts w:ascii="Calibri" w:hAnsi="Calibri" w:cs="Calibri"/>
          <w:sz w:val="20"/>
          <w:u w:val="single"/>
        </w:rPr>
      </w:pPr>
    </w:p>
    <w:p w:rsidR="00ED12C2" w:rsidRPr="00F05470" w:rsidRDefault="00ED12C2" w:rsidP="005B33B0">
      <w:pPr>
        <w:jc w:val="both"/>
        <w:rPr>
          <w:rFonts w:ascii="Calibri" w:hAnsi="Calibri" w:cs="Calibri"/>
          <w:sz w:val="20"/>
          <w:u w:val="single"/>
        </w:rPr>
      </w:pPr>
      <w:r w:rsidRPr="00F05470">
        <w:rPr>
          <w:rFonts w:ascii="Calibri" w:hAnsi="Calibri" w:cs="Calibri"/>
          <w:sz w:val="20"/>
          <w:u w:val="single"/>
        </w:rPr>
        <w:t>Šírenie vlhkosti v konštrukcií</w:t>
      </w:r>
    </w:p>
    <w:p w:rsidR="00ED12C2" w:rsidRPr="00F05470" w:rsidRDefault="00ED12C2" w:rsidP="00ED12C2">
      <w:pPr>
        <w:ind w:left="708" w:hanging="705"/>
        <w:jc w:val="both"/>
        <w:rPr>
          <w:rFonts w:ascii="Calibri" w:hAnsi="Calibri" w:cs="Calibri"/>
          <w:i/>
          <w:sz w:val="20"/>
        </w:rPr>
      </w:pPr>
      <w:r w:rsidRPr="00F05470">
        <w:rPr>
          <w:rFonts w:ascii="Calibri" w:hAnsi="Calibri" w:cs="Calibri"/>
          <w:i/>
          <w:sz w:val="20"/>
        </w:rPr>
        <w:t xml:space="preserve">Skondenzované množstvo vodnej pary v konštrukcií </w:t>
      </w:r>
    </w:p>
    <w:p w:rsidR="00ED12C2" w:rsidRPr="00F05470" w:rsidRDefault="00ED12C2" w:rsidP="00ED12C2">
      <w:pPr>
        <w:ind w:firstLine="3"/>
        <w:jc w:val="both"/>
        <w:rPr>
          <w:rFonts w:ascii="Calibri" w:hAnsi="Calibri" w:cs="Calibri"/>
          <w:sz w:val="20"/>
        </w:rPr>
      </w:pPr>
      <w:r w:rsidRPr="00F05470">
        <w:rPr>
          <w:rFonts w:ascii="Calibri" w:hAnsi="Calibri" w:cs="Calibri"/>
          <w:sz w:val="20"/>
        </w:rPr>
        <w:t>Bez kondenzácie vodnej pary v konštrukciách musia sa navrhnúť strechy, stropy, a steny, v ktorých by skondenzovaná vodná para mohla ohroziť ich požadovanú funkciu:</w:t>
      </w:r>
    </w:p>
    <w:p w:rsidR="005B33B0" w:rsidRDefault="005B33B0" w:rsidP="00ED12C2">
      <w:pPr>
        <w:ind w:firstLine="3"/>
        <w:jc w:val="both"/>
        <w:rPr>
          <w:rFonts w:ascii="Calibri" w:hAnsi="Calibri" w:cs="Calibri"/>
          <w:sz w:val="20"/>
        </w:rPr>
      </w:pPr>
    </w:p>
    <w:p w:rsidR="00ED12C2" w:rsidRPr="00F05470" w:rsidRDefault="00ED12C2" w:rsidP="00ED12C2">
      <w:pPr>
        <w:ind w:firstLine="3"/>
        <w:jc w:val="both"/>
        <w:rPr>
          <w:rFonts w:ascii="Calibri" w:hAnsi="Calibri" w:cs="Calibri"/>
          <w:sz w:val="20"/>
        </w:rPr>
      </w:pPr>
      <w:r w:rsidRPr="00F05470">
        <w:rPr>
          <w:rFonts w:ascii="Calibri" w:hAnsi="Calibri" w:cs="Calibri"/>
          <w:sz w:val="20"/>
        </w:rPr>
        <w:t>M</w:t>
      </w:r>
      <w:r w:rsidRPr="00F05470">
        <w:rPr>
          <w:rFonts w:ascii="Calibri" w:hAnsi="Calibri" w:cs="Calibri"/>
          <w:sz w:val="20"/>
          <w:vertAlign w:val="subscript"/>
        </w:rPr>
        <w:t>c</w:t>
      </w:r>
      <w:r w:rsidRPr="00F05470">
        <w:rPr>
          <w:rFonts w:ascii="Calibri" w:hAnsi="Calibri" w:cs="Calibri"/>
          <w:sz w:val="20"/>
        </w:rPr>
        <w:t>=0</w:t>
      </w:r>
    </w:p>
    <w:p w:rsidR="005B33B0" w:rsidRDefault="005B33B0" w:rsidP="00ED12C2">
      <w:pPr>
        <w:ind w:firstLine="3"/>
        <w:jc w:val="both"/>
        <w:rPr>
          <w:rFonts w:ascii="Calibri" w:hAnsi="Calibri" w:cs="Calibri"/>
          <w:sz w:val="20"/>
        </w:rPr>
      </w:pPr>
    </w:p>
    <w:p w:rsidR="00ED12C2" w:rsidRPr="00F05470" w:rsidRDefault="00ED12C2" w:rsidP="00ED12C2">
      <w:pPr>
        <w:ind w:firstLine="3"/>
        <w:jc w:val="both"/>
        <w:rPr>
          <w:rFonts w:ascii="Calibri" w:hAnsi="Calibri" w:cs="Calibri"/>
          <w:sz w:val="20"/>
        </w:rPr>
      </w:pPr>
      <w:r w:rsidRPr="00F05470">
        <w:rPr>
          <w:rFonts w:ascii="Calibri" w:hAnsi="Calibri" w:cs="Calibri"/>
          <w:sz w:val="20"/>
        </w:rPr>
        <w:t>S obmedzenou kondenzáciou vodnej pary v konštrukcií, ktorá sa určí bez uvažovania vplyvu slnečného žiarenia, možno navrhnúť strechy, stropy a steny, v ktorých sa splnili tieto podmienky:</w:t>
      </w:r>
    </w:p>
    <w:p w:rsidR="00ED12C2" w:rsidRPr="00F05470" w:rsidRDefault="00ED12C2" w:rsidP="00ED12C2">
      <w:pPr>
        <w:jc w:val="both"/>
        <w:rPr>
          <w:rFonts w:ascii="Calibri" w:hAnsi="Calibri" w:cs="Calibri"/>
          <w:sz w:val="20"/>
        </w:rPr>
      </w:pPr>
      <w:r w:rsidRPr="00F05470">
        <w:rPr>
          <w:rFonts w:ascii="Calibri" w:hAnsi="Calibri" w:cs="Calibri"/>
          <w:sz w:val="20"/>
        </w:rPr>
        <w:t>- Skondenzovaná vodná para neohrozí požadovanú funkciu konštrukcie</w:t>
      </w:r>
    </w:p>
    <w:p w:rsidR="00ED12C2" w:rsidRPr="00F05470" w:rsidRDefault="00ED12C2" w:rsidP="00ED12C2">
      <w:pPr>
        <w:jc w:val="both"/>
        <w:rPr>
          <w:rFonts w:ascii="Calibri" w:hAnsi="Calibri" w:cs="Calibri"/>
          <w:sz w:val="20"/>
        </w:rPr>
      </w:pPr>
      <w:r w:rsidRPr="00F05470">
        <w:rPr>
          <w:rFonts w:ascii="Calibri" w:hAnsi="Calibri" w:cs="Calibri"/>
          <w:sz w:val="20"/>
        </w:rPr>
        <w:t>- Prípustné celoročné množstvo skondenzovanej vodnej pary je:</w:t>
      </w:r>
    </w:p>
    <w:p w:rsidR="005B33B0" w:rsidRDefault="005B33B0" w:rsidP="00ED12C2">
      <w:pPr>
        <w:ind w:left="2124" w:firstLine="708"/>
        <w:jc w:val="both"/>
        <w:rPr>
          <w:rFonts w:ascii="Calibri" w:hAnsi="Calibri" w:cs="Calibri"/>
          <w:sz w:val="20"/>
        </w:rPr>
      </w:pPr>
    </w:p>
    <w:p w:rsidR="00ED12C2" w:rsidRPr="00F05470" w:rsidRDefault="00ED12C2" w:rsidP="00ED12C2">
      <w:pPr>
        <w:ind w:left="2124" w:firstLine="708"/>
        <w:jc w:val="both"/>
        <w:rPr>
          <w:rFonts w:ascii="Calibri" w:hAnsi="Calibri" w:cs="Calibri"/>
          <w:sz w:val="20"/>
        </w:rPr>
      </w:pPr>
      <w:r w:rsidRPr="00F05470">
        <w:rPr>
          <w:rFonts w:ascii="Calibri" w:hAnsi="Calibri" w:cs="Calibri"/>
          <w:sz w:val="20"/>
        </w:rPr>
        <w:lastRenderedPageBreak/>
        <w:t xml:space="preserve">Pre jednopláštové strechy </w:t>
      </w:r>
    </w:p>
    <w:p w:rsidR="00ED12C2" w:rsidRPr="00F05470" w:rsidRDefault="00ED12C2" w:rsidP="00ED12C2">
      <w:pPr>
        <w:pStyle w:val="Odsekzoznamu"/>
        <w:ind w:left="2832" w:firstLine="708"/>
        <w:jc w:val="both"/>
        <w:rPr>
          <w:rFonts w:ascii="Calibri" w:hAnsi="Calibri" w:cs="Calibri"/>
          <w:sz w:val="20"/>
          <w:szCs w:val="20"/>
        </w:rPr>
      </w:pPr>
      <w:r w:rsidRPr="00F05470">
        <w:rPr>
          <w:rFonts w:ascii="Calibri" w:hAnsi="Calibri" w:cs="Calibri"/>
          <w:sz w:val="20"/>
          <w:szCs w:val="20"/>
        </w:rPr>
        <w:t>M</w:t>
      </w:r>
      <w:r w:rsidRPr="00F05470">
        <w:rPr>
          <w:rFonts w:ascii="Calibri" w:hAnsi="Calibri" w:cs="Calibri"/>
          <w:sz w:val="20"/>
          <w:szCs w:val="20"/>
          <w:vertAlign w:val="subscript"/>
        </w:rPr>
        <w:t>c</w:t>
      </w:r>
      <w:r w:rsidRPr="00F05470">
        <w:rPr>
          <w:rFonts w:ascii="Calibri" w:hAnsi="Calibri" w:cs="Calibri"/>
          <w:sz w:val="20"/>
          <w:szCs w:val="20"/>
        </w:rPr>
        <w:t>≤0,1kg/(m</w:t>
      </w:r>
      <w:r w:rsidRPr="00F05470">
        <w:rPr>
          <w:rFonts w:ascii="Calibri" w:hAnsi="Calibri" w:cs="Calibri"/>
          <w:sz w:val="20"/>
          <w:szCs w:val="20"/>
          <w:vertAlign w:val="superscript"/>
        </w:rPr>
        <w:t>2</w:t>
      </w:r>
      <w:r w:rsidRPr="00F05470">
        <w:rPr>
          <w:rFonts w:ascii="Calibri" w:hAnsi="Calibri" w:cs="Calibri"/>
          <w:sz w:val="20"/>
          <w:szCs w:val="20"/>
        </w:rPr>
        <w:t>.a)</w:t>
      </w:r>
    </w:p>
    <w:p w:rsidR="005B33B0" w:rsidRDefault="005B33B0" w:rsidP="00ED12C2">
      <w:pPr>
        <w:ind w:left="2832"/>
        <w:jc w:val="both"/>
        <w:rPr>
          <w:rFonts w:ascii="Calibri" w:hAnsi="Calibri" w:cs="Calibri"/>
          <w:sz w:val="20"/>
        </w:rPr>
      </w:pPr>
    </w:p>
    <w:p w:rsidR="00ED12C2" w:rsidRPr="00F05470" w:rsidRDefault="00ED12C2" w:rsidP="00ED12C2">
      <w:pPr>
        <w:ind w:left="2832"/>
        <w:jc w:val="both"/>
        <w:rPr>
          <w:rFonts w:ascii="Calibri" w:hAnsi="Calibri" w:cs="Calibri"/>
          <w:sz w:val="20"/>
        </w:rPr>
      </w:pPr>
      <w:r w:rsidRPr="00F05470">
        <w:rPr>
          <w:rFonts w:ascii="Calibri" w:hAnsi="Calibri" w:cs="Calibri"/>
          <w:sz w:val="20"/>
        </w:rPr>
        <w:t>Pre ostatné konštrukcie</w:t>
      </w:r>
    </w:p>
    <w:p w:rsidR="00ED12C2" w:rsidRDefault="00ED12C2" w:rsidP="00ED12C2">
      <w:pPr>
        <w:pStyle w:val="Odsekzoznamu"/>
        <w:ind w:left="2832" w:firstLine="708"/>
        <w:jc w:val="both"/>
        <w:rPr>
          <w:rFonts w:ascii="Calibri" w:hAnsi="Calibri" w:cs="Calibri"/>
          <w:sz w:val="20"/>
          <w:szCs w:val="20"/>
        </w:rPr>
      </w:pPr>
      <w:r w:rsidRPr="00F05470">
        <w:rPr>
          <w:rFonts w:ascii="Calibri" w:hAnsi="Calibri" w:cs="Calibri"/>
          <w:sz w:val="20"/>
          <w:szCs w:val="20"/>
        </w:rPr>
        <w:t>M</w:t>
      </w:r>
      <w:r w:rsidRPr="00F05470">
        <w:rPr>
          <w:rFonts w:ascii="Calibri" w:hAnsi="Calibri" w:cs="Calibri"/>
          <w:sz w:val="20"/>
          <w:szCs w:val="20"/>
          <w:vertAlign w:val="subscript"/>
        </w:rPr>
        <w:t>c</w:t>
      </w:r>
      <w:r w:rsidRPr="00F05470">
        <w:rPr>
          <w:rFonts w:ascii="Calibri" w:hAnsi="Calibri" w:cs="Calibri"/>
          <w:sz w:val="20"/>
          <w:szCs w:val="20"/>
        </w:rPr>
        <w:t>≤0,5kg/(m</w:t>
      </w:r>
      <w:r w:rsidRPr="00F05470">
        <w:rPr>
          <w:rFonts w:ascii="Calibri" w:hAnsi="Calibri" w:cs="Calibri"/>
          <w:sz w:val="20"/>
          <w:szCs w:val="20"/>
          <w:vertAlign w:val="superscript"/>
        </w:rPr>
        <w:t>2</w:t>
      </w:r>
      <w:r w:rsidRPr="00F05470">
        <w:rPr>
          <w:rFonts w:ascii="Calibri" w:hAnsi="Calibri" w:cs="Calibri"/>
          <w:sz w:val="20"/>
          <w:szCs w:val="20"/>
        </w:rPr>
        <w:t>.a)</w:t>
      </w:r>
    </w:p>
    <w:p w:rsidR="005B33B0" w:rsidRDefault="005B33B0" w:rsidP="00ED12C2">
      <w:pPr>
        <w:pStyle w:val="Odsekzoznamu"/>
        <w:ind w:left="2832" w:firstLine="708"/>
        <w:jc w:val="both"/>
        <w:rPr>
          <w:rFonts w:ascii="Calibri" w:hAnsi="Calibri" w:cs="Calibri"/>
          <w:sz w:val="20"/>
          <w:szCs w:val="20"/>
        </w:rPr>
      </w:pPr>
    </w:p>
    <w:p w:rsidR="005B33B0" w:rsidRPr="00F05470" w:rsidRDefault="005B33B0" w:rsidP="00ED12C2">
      <w:pPr>
        <w:pStyle w:val="Odsekzoznamu"/>
        <w:ind w:left="2832" w:firstLine="708"/>
        <w:jc w:val="both"/>
        <w:rPr>
          <w:rFonts w:ascii="Calibri" w:hAnsi="Calibri" w:cs="Calibri"/>
          <w:sz w:val="20"/>
          <w:szCs w:val="20"/>
        </w:rPr>
      </w:pPr>
    </w:p>
    <w:p w:rsidR="00ED12C2" w:rsidRPr="00F05470" w:rsidRDefault="00ED12C2" w:rsidP="00ED12C2">
      <w:pPr>
        <w:jc w:val="both"/>
        <w:rPr>
          <w:rFonts w:ascii="Calibri" w:hAnsi="Calibri" w:cs="Calibri"/>
          <w:i/>
          <w:sz w:val="20"/>
        </w:rPr>
      </w:pPr>
      <w:r w:rsidRPr="00F05470">
        <w:rPr>
          <w:rFonts w:ascii="Calibri" w:hAnsi="Calibri" w:cs="Calibri"/>
          <w:i/>
          <w:sz w:val="20"/>
        </w:rPr>
        <w:t>Celoročná bilancia skondenzovanej a vyparenej vodnej pary vo vnútri konštrukcie</w:t>
      </w:r>
    </w:p>
    <w:p w:rsidR="00ED12C2" w:rsidRPr="00F05470" w:rsidRDefault="00ED12C2" w:rsidP="00ED12C2">
      <w:pPr>
        <w:jc w:val="both"/>
        <w:rPr>
          <w:rFonts w:ascii="Calibri" w:hAnsi="Calibri" w:cs="Calibri"/>
          <w:sz w:val="20"/>
        </w:rPr>
      </w:pPr>
      <w:r w:rsidRPr="00F05470">
        <w:rPr>
          <w:rFonts w:ascii="Calibri" w:hAnsi="Calibri" w:cs="Calibri"/>
          <w:sz w:val="20"/>
        </w:rPr>
        <w:t>V stavebnej konštrukcií s prípustnou obmedzenou kondenzáciou vodnej pary vo vnútri konštrukcie sa nesmie ročnou bilanciou skondenzovanej a vyparenej vodnej pary preukázať žiadne zostávajúce skondenzované množstvo vodnej pary, ktoré by dlhodobo zvyšovalo vlhkosť konštrukcie:</w:t>
      </w:r>
    </w:p>
    <w:p w:rsidR="005B33B0" w:rsidRDefault="005B33B0" w:rsidP="00ED12C2">
      <w:pPr>
        <w:jc w:val="both"/>
        <w:rPr>
          <w:rFonts w:ascii="Calibri" w:hAnsi="Calibri" w:cs="Calibri"/>
          <w:sz w:val="20"/>
        </w:rPr>
      </w:pPr>
    </w:p>
    <w:p w:rsidR="00ED12C2" w:rsidRPr="00F05470" w:rsidRDefault="00ED12C2" w:rsidP="00ED12C2">
      <w:pPr>
        <w:jc w:val="both"/>
        <w:rPr>
          <w:rFonts w:ascii="Calibri" w:hAnsi="Calibri" w:cs="Calibri"/>
          <w:sz w:val="20"/>
        </w:rPr>
      </w:pPr>
      <w:r w:rsidRPr="00F05470">
        <w:rPr>
          <w:rFonts w:ascii="Calibri" w:hAnsi="Calibri" w:cs="Calibri"/>
          <w:sz w:val="20"/>
        </w:rPr>
        <w:t>M</w:t>
      </w:r>
      <w:r w:rsidRPr="00F05470">
        <w:rPr>
          <w:rFonts w:ascii="Calibri" w:hAnsi="Calibri" w:cs="Calibri"/>
          <w:sz w:val="20"/>
          <w:vertAlign w:val="subscript"/>
        </w:rPr>
        <w:t>c</w:t>
      </w:r>
      <w:r w:rsidRPr="00F05470">
        <w:rPr>
          <w:rFonts w:ascii="Calibri" w:hAnsi="Calibri" w:cs="Calibri"/>
          <w:sz w:val="20"/>
        </w:rPr>
        <w:t>˂M</w:t>
      </w:r>
      <w:r w:rsidRPr="00F05470">
        <w:rPr>
          <w:rFonts w:ascii="Calibri" w:hAnsi="Calibri" w:cs="Calibri"/>
          <w:sz w:val="20"/>
          <w:vertAlign w:val="subscript"/>
        </w:rPr>
        <w:t>ev</w:t>
      </w:r>
    </w:p>
    <w:p w:rsidR="00ED12C2" w:rsidRPr="00F05470" w:rsidRDefault="00ED12C2" w:rsidP="00ED12C2">
      <w:pPr>
        <w:ind w:left="705" w:hanging="705"/>
        <w:jc w:val="both"/>
        <w:rPr>
          <w:rFonts w:ascii="Calibri" w:hAnsi="Calibri" w:cs="Calibri"/>
          <w:sz w:val="20"/>
        </w:rPr>
      </w:pPr>
      <w:r w:rsidRPr="00F05470">
        <w:rPr>
          <w:rFonts w:ascii="Calibri" w:hAnsi="Calibri" w:cs="Calibri"/>
          <w:sz w:val="20"/>
        </w:rPr>
        <w:t xml:space="preserve">Kde </w:t>
      </w:r>
      <w:r w:rsidRPr="00F05470">
        <w:rPr>
          <w:rFonts w:ascii="Calibri" w:hAnsi="Calibri" w:cs="Calibri"/>
          <w:sz w:val="20"/>
        </w:rPr>
        <w:tab/>
        <w:t>M</w:t>
      </w:r>
      <w:r w:rsidRPr="00F05470">
        <w:rPr>
          <w:rFonts w:ascii="Calibri" w:hAnsi="Calibri" w:cs="Calibri"/>
          <w:sz w:val="20"/>
          <w:vertAlign w:val="subscript"/>
        </w:rPr>
        <w:t>c</w:t>
      </w:r>
      <w:r w:rsidRPr="00F05470">
        <w:rPr>
          <w:rFonts w:ascii="Calibri" w:hAnsi="Calibri" w:cs="Calibri"/>
          <w:sz w:val="20"/>
        </w:rPr>
        <w:t xml:space="preserve"> je celoročné množstvo skondenzovanej vodnej pary v konštrukcií</w:t>
      </w:r>
    </w:p>
    <w:p w:rsidR="00ED12C2" w:rsidRPr="00F05470" w:rsidRDefault="00ED12C2" w:rsidP="00ED12C2">
      <w:pPr>
        <w:pStyle w:val="Nadpis2"/>
        <w:numPr>
          <w:ilvl w:val="0"/>
          <w:numId w:val="0"/>
        </w:numPr>
        <w:jc w:val="both"/>
        <w:rPr>
          <w:rFonts w:ascii="Calibri" w:hAnsi="Calibri" w:cs="Calibri"/>
          <w:szCs w:val="20"/>
        </w:rPr>
      </w:pPr>
      <w:bookmarkStart w:id="139" w:name="_Toc1907029"/>
      <w:r w:rsidRPr="00F05470">
        <w:rPr>
          <w:rFonts w:ascii="Calibri" w:hAnsi="Calibri" w:cs="Calibri"/>
          <w:szCs w:val="20"/>
        </w:rPr>
        <w:t>4.2 Kritérium výmeny vzduchu</w:t>
      </w:r>
      <w:bookmarkEnd w:id="139"/>
    </w:p>
    <w:p w:rsidR="00ED12C2" w:rsidRPr="00F05470" w:rsidRDefault="00ED12C2" w:rsidP="00ED12C2">
      <w:pPr>
        <w:jc w:val="both"/>
        <w:rPr>
          <w:rFonts w:ascii="Calibri" w:hAnsi="Calibri" w:cs="Calibri"/>
          <w:sz w:val="20"/>
          <w:u w:val="single"/>
        </w:rPr>
      </w:pPr>
      <w:r w:rsidRPr="00F05470">
        <w:rPr>
          <w:rFonts w:ascii="Calibri" w:hAnsi="Calibri" w:cs="Calibri"/>
          <w:sz w:val="20"/>
          <w:u w:val="single"/>
        </w:rPr>
        <w:t>Priemerná výmena vzduchu v miestnosti</w:t>
      </w:r>
    </w:p>
    <w:p w:rsidR="00ED12C2" w:rsidRPr="00F05470" w:rsidRDefault="00ED12C2" w:rsidP="00ED12C2">
      <w:pPr>
        <w:jc w:val="both"/>
        <w:rPr>
          <w:rFonts w:ascii="Calibri" w:hAnsi="Calibri" w:cs="Calibri"/>
          <w:sz w:val="20"/>
        </w:rPr>
      </w:pPr>
      <w:r w:rsidRPr="00F05470">
        <w:rPr>
          <w:rFonts w:ascii="Calibri" w:hAnsi="Calibri" w:cs="Calibri"/>
          <w:sz w:val="20"/>
        </w:rPr>
        <w:t>Priemerná výmena vzduchu v miestnosti n vyhovuje, ak sa škárovou prievzdušnostou stykov  a škár vyplní otvorov (prirodzenou infiltráciou) splní podmienka:</w:t>
      </w:r>
    </w:p>
    <w:p w:rsidR="005B33B0" w:rsidRDefault="005B33B0" w:rsidP="00ED12C2">
      <w:pPr>
        <w:jc w:val="both"/>
        <w:rPr>
          <w:rFonts w:ascii="Calibri" w:hAnsi="Calibri" w:cs="Calibri"/>
          <w:sz w:val="20"/>
        </w:rPr>
      </w:pPr>
    </w:p>
    <w:p w:rsidR="00ED12C2" w:rsidRPr="00F05470" w:rsidRDefault="00ED12C2" w:rsidP="00ED12C2">
      <w:pPr>
        <w:jc w:val="both"/>
        <w:rPr>
          <w:rFonts w:ascii="Calibri" w:hAnsi="Calibri" w:cs="Calibri"/>
          <w:sz w:val="20"/>
        </w:rPr>
      </w:pPr>
      <w:r w:rsidRPr="00F05470">
        <w:rPr>
          <w:rFonts w:ascii="Calibri" w:hAnsi="Calibri" w:cs="Calibri"/>
          <w:sz w:val="20"/>
        </w:rPr>
        <w:t>n≥n</w:t>
      </w:r>
      <w:r w:rsidRPr="00F05470">
        <w:rPr>
          <w:rFonts w:ascii="Calibri" w:hAnsi="Calibri" w:cs="Calibri"/>
          <w:sz w:val="20"/>
          <w:vertAlign w:val="subscript"/>
        </w:rPr>
        <w:t>N</w:t>
      </w:r>
    </w:p>
    <w:p w:rsidR="00ED12C2" w:rsidRPr="00F05470" w:rsidRDefault="00ED12C2" w:rsidP="00ED12C2">
      <w:pPr>
        <w:jc w:val="both"/>
        <w:rPr>
          <w:rFonts w:ascii="Calibri" w:hAnsi="Calibri" w:cs="Calibri"/>
          <w:sz w:val="20"/>
        </w:rPr>
      </w:pPr>
      <w:r w:rsidRPr="00F05470">
        <w:rPr>
          <w:rFonts w:ascii="Calibri" w:hAnsi="Calibri" w:cs="Calibri"/>
          <w:sz w:val="20"/>
        </w:rPr>
        <w:t xml:space="preserve">Kde </w:t>
      </w:r>
      <w:r w:rsidRPr="00F05470">
        <w:rPr>
          <w:rFonts w:ascii="Calibri" w:hAnsi="Calibri" w:cs="Calibri"/>
          <w:sz w:val="20"/>
        </w:rPr>
        <w:tab/>
        <w:t>n</w:t>
      </w:r>
      <w:r w:rsidRPr="00F05470">
        <w:rPr>
          <w:rFonts w:ascii="Calibri" w:hAnsi="Calibri" w:cs="Calibri"/>
          <w:sz w:val="20"/>
          <w:vertAlign w:val="subscript"/>
        </w:rPr>
        <w:t>N</w:t>
      </w:r>
      <w:r w:rsidRPr="00F05470">
        <w:rPr>
          <w:rFonts w:ascii="Calibri" w:hAnsi="Calibri" w:cs="Calibri"/>
          <w:sz w:val="20"/>
        </w:rPr>
        <w:t xml:space="preserve"> je požadovaná priemerná intenzita výmeny vzduchu, v 1/h</w:t>
      </w:r>
    </w:p>
    <w:p w:rsidR="00ED12C2" w:rsidRPr="00F05470" w:rsidRDefault="00ED12C2" w:rsidP="00ED12C2">
      <w:pPr>
        <w:jc w:val="both"/>
        <w:rPr>
          <w:rFonts w:ascii="Calibri" w:hAnsi="Calibri" w:cs="Calibri"/>
          <w:sz w:val="20"/>
        </w:rPr>
      </w:pPr>
    </w:p>
    <w:p w:rsidR="00ED12C2" w:rsidRPr="00F05470" w:rsidRDefault="00ED12C2" w:rsidP="00ED12C2">
      <w:pPr>
        <w:pStyle w:val="Nadpis2"/>
        <w:numPr>
          <w:ilvl w:val="0"/>
          <w:numId w:val="0"/>
        </w:numPr>
        <w:ind w:left="397" w:hanging="397"/>
        <w:jc w:val="both"/>
        <w:rPr>
          <w:rFonts w:ascii="Calibri" w:hAnsi="Calibri" w:cs="Calibri"/>
          <w:szCs w:val="20"/>
        </w:rPr>
      </w:pPr>
      <w:bookmarkStart w:id="140" w:name="_Toc1907030"/>
      <w:r w:rsidRPr="00F05470">
        <w:rPr>
          <w:rFonts w:ascii="Calibri" w:hAnsi="Calibri" w:cs="Calibri"/>
          <w:szCs w:val="20"/>
        </w:rPr>
        <w:t>4.3 Hygienické kritérium</w:t>
      </w:r>
      <w:bookmarkEnd w:id="140"/>
    </w:p>
    <w:p w:rsidR="00ED12C2" w:rsidRPr="00F05470" w:rsidRDefault="00ED12C2" w:rsidP="00ED12C2">
      <w:pPr>
        <w:jc w:val="both"/>
        <w:rPr>
          <w:rFonts w:ascii="Calibri" w:hAnsi="Calibri" w:cs="Calibri"/>
          <w:sz w:val="20"/>
          <w:u w:val="single"/>
        </w:rPr>
      </w:pPr>
      <w:r w:rsidRPr="00F05470">
        <w:rPr>
          <w:rFonts w:ascii="Calibri" w:hAnsi="Calibri" w:cs="Calibri"/>
          <w:sz w:val="20"/>
          <w:u w:val="single"/>
        </w:rPr>
        <w:t>Najnižšia povrchová teplota konštrukcie</w:t>
      </w:r>
    </w:p>
    <w:p w:rsidR="00ED12C2" w:rsidRPr="00F05470" w:rsidRDefault="00ED12C2" w:rsidP="00ED12C2">
      <w:pPr>
        <w:jc w:val="both"/>
        <w:rPr>
          <w:rFonts w:ascii="Calibri" w:hAnsi="Calibri" w:cs="Calibri"/>
          <w:sz w:val="20"/>
        </w:rPr>
      </w:pPr>
      <w:r w:rsidRPr="00F05470">
        <w:rPr>
          <w:rFonts w:ascii="Calibri" w:hAnsi="Calibri" w:cs="Calibri"/>
          <w:sz w:val="20"/>
        </w:rPr>
        <w:t>Steny, stropy a podlahy v priestoroch s relatívnou vlhkosťou vzduchu ϕi≤80% musia mať na každom mieste vnútorného povrchu teplotu θsi, vyjadrenú v °C, ktorá je bezpečne nad teplotou rosného bodu a vylučuje riziko vzniku plesní</w:t>
      </w:r>
    </w:p>
    <w:p w:rsidR="005B33B0" w:rsidRDefault="005B33B0" w:rsidP="00ED12C2">
      <w:pPr>
        <w:jc w:val="both"/>
        <w:rPr>
          <w:rFonts w:ascii="Calibri" w:hAnsi="Calibri" w:cs="Calibri"/>
          <w:sz w:val="20"/>
        </w:rPr>
      </w:pPr>
    </w:p>
    <w:p w:rsidR="00ED12C2" w:rsidRPr="00F05470" w:rsidRDefault="00ED12C2" w:rsidP="00ED12C2">
      <w:pPr>
        <w:jc w:val="both"/>
        <w:rPr>
          <w:rFonts w:ascii="Calibri" w:hAnsi="Calibri" w:cs="Calibri"/>
          <w:sz w:val="20"/>
        </w:rPr>
      </w:pPr>
      <w:r w:rsidRPr="00F05470">
        <w:rPr>
          <w:rFonts w:ascii="Calibri" w:hAnsi="Calibri" w:cs="Calibri"/>
          <w:sz w:val="20"/>
        </w:rPr>
        <w:t>θ</w:t>
      </w:r>
      <w:r w:rsidRPr="00F05470">
        <w:rPr>
          <w:rFonts w:ascii="Calibri" w:hAnsi="Calibri" w:cs="Calibri"/>
          <w:sz w:val="20"/>
          <w:vertAlign w:val="subscript"/>
        </w:rPr>
        <w:t>si</w:t>
      </w:r>
      <w:r w:rsidRPr="00F05470">
        <w:rPr>
          <w:rFonts w:ascii="Calibri" w:hAnsi="Calibri" w:cs="Calibri"/>
          <w:sz w:val="20"/>
        </w:rPr>
        <w:t>≥θ</w:t>
      </w:r>
      <w:r w:rsidRPr="00F05470">
        <w:rPr>
          <w:rFonts w:ascii="Calibri" w:hAnsi="Calibri" w:cs="Calibri"/>
          <w:sz w:val="20"/>
          <w:vertAlign w:val="subscript"/>
        </w:rPr>
        <w:t>si,N</w:t>
      </w:r>
      <w:r w:rsidRPr="00F05470">
        <w:rPr>
          <w:rFonts w:ascii="Calibri" w:hAnsi="Calibri" w:cs="Calibri"/>
          <w:sz w:val="20"/>
        </w:rPr>
        <w:t>=θ</w:t>
      </w:r>
      <w:r w:rsidRPr="00F05470">
        <w:rPr>
          <w:rFonts w:ascii="Calibri" w:hAnsi="Calibri" w:cs="Calibri"/>
          <w:sz w:val="20"/>
          <w:vertAlign w:val="subscript"/>
        </w:rPr>
        <w:t>si,80</w:t>
      </w:r>
      <w:r w:rsidRPr="00F05470">
        <w:rPr>
          <w:rFonts w:ascii="Calibri" w:hAnsi="Calibri" w:cs="Calibri"/>
          <w:sz w:val="20"/>
        </w:rPr>
        <w:t>+Δθsi</w:t>
      </w:r>
    </w:p>
    <w:p w:rsidR="00ED12C2" w:rsidRPr="00F05470" w:rsidRDefault="00ED12C2" w:rsidP="00ED12C2">
      <w:pPr>
        <w:ind w:left="720" w:hanging="720"/>
        <w:jc w:val="both"/>
        <w:rPr>
          <w:rFonts w:ascii="Calibri" w:hAnsi="Calibri" w:cs="Calibri"/>
          <w:sz w:val="20"/>
        </w:rPr>
      </w:pPr>
      <w:r w:rsidRPr="00F05470">
        <w:rPr>
          <w:rFonts w:ascii="Calibri" w:hAnsi="Calibri" w:cs="Calibri"/>
          <w:sz w:val="20"/>
        </w:rPr>
        <w:t>kde</w:t>
      </w:r>
      <w:r w:rsidRPr="00F05470">
        <w:rPr>
          <w:rFonts w:ascii="Calibri" w:hAnsi="Calibri" w:cs="Calibri"/>
          <w:sz w:val="20"/>
        </w:rPr>
        <w:tab/>
        <w:t>θ</w:t>
      </w:r>
      <w:r w:rsidRPr="00F05470">
        <w:rPr>
          <w:rFonts w:ascii="Calibri" w:hAnsi="Calibri" w:cs="Calibri"/>
          <w:sz w:val="20"/>
          <w:vertAlign w:val="subscript"/>
        </w:rPr>
        <w:t xml:space="preserve">si,N </w:t>
      </w:r>
      <w:r w:rsidRPr="00F05470">
        <w:rPr>
          <w:rFonts w:ascii="Calibri" w:hAnsi="Calibri" w:cs="Calibri"/>
          <w:sz w:val="20"/>
        </w:rPr>
        <w:t>je najnižšia vnútorná teplota, ktorá sa určí pre najmenej priaznivé miesto stavebnej konštrukcie</w:t>
      </w:r>
    </w:p>
    <w:p w:rsidR="00ED12C2" w:rsidRPr="00F05470" w:rsidRDefault="00ED12C2" w:rsidP="00ED12C2">
      <w:pPr>
        <w:jc w:val="both"/>
        <w:rPr>
          <w:rFonts w:ascii="Calibri" w:hAnsi="Calibri" w:cs="Calibri"/>
          <w:sz w:val="20"/>
        </w:rPr>
      </w:pPr>
      <w:r w:rsidRPr="00F05470">
        <w:rPr>
          <w:rFonts w:ascii="Calibri" w:hAnsi="Calibri" w:cs="Calibri"/>
          <w:sz w:val="20"/>
        </w:rPr>
        <w:tab/>
        <w:t>θ</w:t>
      </w:r>
      <w:r w:rsidRPr="00F05470">
        <w:rPr>
          <w:rFonts w:ascii="Calibri" w:hAnsi="Calibri" w:cs="Calibri"/>
          <w:sz w:val="20"/>
          <w:vertAlign w:val="subscript"/>
        </w:rPr>
        <w:t>si,80</w:t>
      </w:r>
      <w:r w:rsidRPr="00F05470">
        <w:rPr>
          <w:rFonts w:ascii="Calibri" w:hAnsi="Calibri" w:cs="Calibri"/>
          <w:sz w:val="20"/>
        </w:rPr>
        <w:t xml:space="preserve"> je kritická povrchová teplota na vznik plesní</w:t>
      </w:r>
    </w:p>
    <w:p w:rsidR="00ED12C2" w:rsidRPr="00F05470" w:rsidRDefault="00ED12C2" w:rsidP="00ED12C2">
      <w:pPr>
        <w:jc w:val="both"/>
        <w:rPr>
          <w:rFonts w:ascii="Calibri" w:hAnsi="Calibri" w:cs="Calibri"/>
          <w:sz w:val="20"/>
        </w:rPr>
      </w:pPr>
      <w:r w:rsidRPr="00F05470">
        <w:rPr>
          <w:rFonts w:ascii="Calibri" w:hAnsi="Calibri" w:cs="Calibri"/>
          <w:sz w:val="20"/>
        </w:rPr>
        <w:tab/>
        <w:t>Δθ</w:t>
      </w:r>
      <w:r w:rsidRPr="00F05470">
        <w:rPr>
          <w:rFonts w:ascii="Calibri" w:hAnsi="Calibri" w:cs="Calibri"/>
          <w:sz w:val="20"/>
          <w:vertAlign w:val="subscript"/>
        </w:rPr>
        <w:t>si</w:t>
      </w:r>
      <w:r w:rsidRPr="00F05470">
        <w:rPr>
          <w:rFonts w:ascii="Calibri" w:hAnsi="Calibri" w:cs="Calibri"/>
          <w:sz w:val="20"/>
        </w:rPr>
        <w:t xml:space="preserve"> je bezpečnostná prirážka zohľadňujúca spôsob vykurovania miestností </w:t>
      </w:r>
    </w:p>
    <w:p w:rsidR="005B33B0" w:rsidRDefault="005B33B0" w:rsidP="00ED12C2">
      <w:pPr>
        <w:jc w:val="both"/>
        <w:rPr>
          <w:rFonts w:ascii="Calibri" w:hAnsi="Calibri" w:cs="Calibri"/>
          <w:sz w:val="20"/>
        </w:rPr>
      </w:pPr>
    </w:p>
    <w:p w:rsidR="00ED12C2" w:rsidRPr="00F05470" w:rsidRDefault="00ED12C2" w:rsidP="00ED12C2">
      <w:pPr>
        <w:jc w:val="both"/>
        <w:rPr>
          <w:rFonts w:ascii="Calibri" w:hAnsi="Calibri" w:cs="Calibri"/>
          <w:sz w:val="20"/>
        </w:rPr>
      </w:pPr>
      <w:r w:rsidRPr="00F05470">
        <w:rPr>
          <w:rFonts w:ascii="Calibri" w:hAnsi="Calibri" w:cs="Calibri"/>
          <w:sz w:val="20"/>
        </w:rPr>
        <w:t>Rámy, nepriesvitné a priesvitné výplne otvorov v priestoroch s relatívnou vlhkosťou vzduchu ϕi≤50% musia mať na každom mieste povrchovú teplotu θsi,w, vyjadrenú v °C, nad teplotou rosného bodu θdp:</w:t>
      </w:r>
    </w:p>
    <w:p w:rsidR="005B33B0" w:rsidRDefault="005B33B0" w:rsidP="00ED12C2">
      <w:pPr>
        <w:jc w:val="both"/>
        <w:rPr>
          <w:rFonts w:ascii="Calibri" w:hAnsi="Calibri" w:cs="Calibri"/>
          <w:sz w:val="20"/>
        </w:rPr>
      </w:pPr>
    </w:p>
    <w:p w:rsidR="00ED12C2" w:rsidRPr="00F05470" w:rsidRDefault="00ED12C2" w:rsidP="00ED12C2">
      <w:pPr>
        <w:jc w:val="both"/>
        <w:rPr>
          <w:rFonts w:ascii="Calibri" w:hAnsi="Calibri" w:cs="Calibri"/>
          <w:sz w:val="20"/>
        </w:rPr>
      </w:pPr>
      <w:r w:rsidRPr="00F05470">
        <w:rPr>
          <w:rFonts w:ascii="Calibri" w:hAnsi="Calibri" w:cs="Calibri"/>
          <w:sz w:val="20"/>
        </w:rPr>
        <w:t>θ</w:t>
      </w:r>
      <w:r w:rsidRPr="00F05470">
        <w:rPr>
          <w:rFonts w:ascii="Calibri" w:hAnsi="Calibri" w:cs="Calibri"/>
          <w:sz w:val="20"/>
          <w:vertAlign w:val="subscript"/>
        </w:rPr>
        <w:t>si,w</w:t>
      </w:r>
      <w:r w:rsidRPr="00F05470">
        <w:rPr>
          <w:rFonts w:ascii="Calibri" w:hAnsi="Calibri" w:cs="Calibri"/>
          <w:sz w:val="20"/>
        </w:rPr>
        <w:t>≥θ</w:t>
      </w:r>
      <w:r w:rsidRPr="00F05470">
        <w:rPr>
          <w:rFonts w:ascii="Calibri" w:hAnsi="Calibri" w:cs="Calibri"/>
          <w:sz w:val="20"/>
          <w:vertAlign w:val="subscript"/>
        </w:rPr>
        <w:t>si,w,N</w:t>
      </w:r>
      <w:r w:rsidRPr="00F05470">
        <w:rPr>
          <w:rFonts w:ascii="Calibri" w:hAnsi="Calibri" w:cs="Calibri"/>
          <w:sz w:val="20"/>
        </w:rPr>
        <w:t>=θ</w:t>
      </w:r>
      <w:r w:rsidRPr="00F05470">
        <w:rPr>
          <w:rFonts w:ascii="Calibri" w:hAnsi="Calibri" w:cs="Calibri"/>
          <w:sz w:val="20"/>
          <w:vertAlign w:val="subscript"/>
        </w:rPr>
        <w:t>dp</w:t>
      </w:r>
    </w:p>
    <w:p w:rsidR="00ED12C2" w:rsidRPr="00F05470" w:rsidRDefault="00ED12C2" w:rsidP="00ED12C2">
      <w:pPr>
        <w:ind w:left="720" w:hanging="720"/>
        <w:jc w:val="both"/>
        <w:rPr>
          <w:rFonts w:ascii="Calibri" w:hAnsi="Calibri" w:cs="Calibri"/>
          <w:sz w:val="20"/>
        </w:rPr>
      </w:pPr>
      <w:r w:rsidRPr="00F05470">
        <w:rPr>
          <w:rFonts w:ascii="Calibri" w:hAnsi="Calibri" w:cs="Calibri"/>
          <w:sz w:val="20"/>
        </w:rPr>
        <w:t>kde</w:t>
      </w:r>
      <w:r w:rsidRPr="00F05470">
        <w:rPr>
          <w:rFonts w:ascii="Calibri" w:hAnsi="Calibri" w:cs="Calibri"/>
          <w:sz w:val="20"/>
        </w:rPr>
        <w:tab/>
        <w:t>θ</w:t>
      </w:r>
      <w:r w:rsidRPr="00F05470">
        <w:rPr>
          <w:rFonts w:ascii="Calibri" w:hAnsi="Calibri" w:cs="Calibri"/>
          <w:sz w:val="20"/>
          <w:vertAlign w:val="subscript"/>
        </w:rPr>
        <w:t xml:space="preserve">si,w,N </w:t>
      </w:r>
      <w:r w:rsidRPr="00F05470">
        <w:rPr>
          <w:rFonts w:ascii="Calibri" w:hAnsi="Calibri" w:cs="Calibri"/>
          <w:sz w:val="20"/>
        </w:rPr>
        <w:t>je požadovaná normalizovaná hodnota vnútornej povrchovej teploty výplne otvoru,      v °C</w:t>
      </w:r>
    </w:p>
    <w:p w:rsidR="00ED12C2" w:rsidRPr="00F05470" w:rsidRDefault="00ED12C2" w:rsidP="00ED12C2">
      <w:pPr>
        <w:jc w:val="both"/>
        <w:rPr>
          <w:rFonts w:ascii="Calibri" w:hAnsi="Calibri" w:cs="Calibri"/>
          <w:sz w:val="20"/>
        </w:rPr>
      </w:pPr>
      <w:r w:rsidRPr="00F05470">
        <w:rPr>
          <w:rFonts w:ascii="Calibri" w:hAnsi="Calibri" w:cs="Calibri"/>
          <w:sz w:val="20"/>
        </w:rPr>
        <w:tab/>
        <w:t>θ</w:t>
      </w:r>
      <w:r w:rsidRPr="00F05470">
        <w:rPr>
          <w:rFonts w:ascii="Calibri" w:hAnsi="Calibri" w:cs="Calibri"/>
          <w:sz w:val="20"/>
          <w:vertAlign w:val="subscript"/>
        </w:rPr>
        <w:t>dp</w:t>
      </w:r>
      <w:r w:rsidRPr="00F05470">
        <w:rPr>
          <w:rFonts w:ascii="Calibri" w:hAnsi="Calibri" w:cs="Calibri"/>
          <w:sz w:val="20"/>
        </w:rPr>
        <w:t xml:space="preserve"> je teplota rosného bodu</w:t>
      </w:r>
    </w:p>
    <w:p w:rsidR="00ED12C2" w:rsidRPr="00F05470" w:rsidRDefault="00ED12C2" w:rsidP="00ED12C2">
      <w:pPr>
        <w:pStyle w:val="Nadpis2"/>
        <w:numPr>
          <w:ilvl w:val="0"/>
          <w:numId w:val="0"/>
        </w:numPr>
        <w:jc w:val="both"/>
        <w:rPr>
          <w:rFonts w:ascii="Calibri" w:hAnsi="Calibri" w:cs="Calibri"/>
          <w:szCs w:val="20"/>
        </w:rPr>
      </w:pPr>
      <w:bookmarkStart w:id="141" w:name="_Toc1907031"/>
      <w:r w:rsidRPr="00F05470">
        <w:rPr>
          <w:rFonts w:ascii="Calibri" w:hAnsi="Calibri" w:cs="Calibri"/>
          <w:szCs w:val="20"/>
        </w:rPr>
        <w:t>4.4 Energetické kritérium</w:t>
      </w:r>
      <w:bookmarkEnd w:id="141"/>
    </w:p>
    <w:p w:rsidR="00ED12C2" w:rsidRPr="00F05470" w:rsidRDefault="00ED12C2" w:rsidP="00ED12C2">
      <w:pPr>
        <w:jc w:val="both"/>
        <w:rPr>
          <w:rFonts w:ascii="Calibri" w:hAnsi="Calibri" w:cs="Calibri"/>
          <w:sz w:val="20"/>
          <w:u w:val="single"/>
        </w:rPr>
      </w:pPr>
      <w:r w:rsidRPr="00F05470">
        <w:rPr>
          <w:rFonts w:ascii="Calibri" w:hAnsi="Calibri" w:cs="Calibri"/>
          <w:sz w:val="20"/>
          <w:u w:val="single"/>
        </w:rPr>
        <w:t xml:space="preserve">Výpočet mernej potreby tepla </w:t>
      </w:r>
    </w:p>
    <w:p w:rsidR="00ED12C2" w:rsidRPr="00F05470" w:rsidRDefault="00ED12C2" w:rsidP="00ED12C2">
      <w:pPr>
        <w:jc w:val="both"/>
        <w:rPr>
          <w:rFonts w:ascii="Calibri" w:hAnsi="Calibri" w:cs="Calibri"/>
          <w:sz w:val="20"/>
        </w:rPr>
      </w:pPr>
      <w:r w:rsidRPr="00F05470">
        <w:rPr>
          <w:rFonts w:ascii="Calibri" w:hAnsi="Calibri" w:cs="Calibri"/>
          <w:sz w:val="20"/>
        </w:rPr>
        <w:t>Výpočet mernej potreby tepla Q</w:t>
      </w:r>
      <w:r w:rsidRPr="00F05470">
        <w:rPr>
          <w:rFonts w:ascii="Calibri" w:hAnsi="Calibri" w:cs="Calibri"/>
          <w:sz w:val="20"/>
          <w:vertAlign w:val="subscript"/>
        </w:rPr>
        <w:t xml:space="preserve">H,nd </w:t>
      </w:r>
      <w:r w:rsidRPr="00F05470">
        <w:rPr>
          <w:rFonts w:ascii="Calibri" w:hAnsi="Calibri" w:cs="Calibri"/>
          <w:sz w:val="20"/>
        </w:rPr>
        <w:t>pri uvažovaní neprerušovaného vykurovania je hodnotením energetického kritéria, ktoré zohľadňuje vplyv stavebných konštrukcií na maximálnu potrebu tepla bez zohľadnenia kategórie budovy podľa účelu jej užívania.</w:t>
      </w:r>
    </w:p>
    <w:p w:rsidR="005B33B0" w:rsidRDefault="005B33B0" w:rsidP="00ED12C2">
      <w:pPr>
        <w:jc w:val="both"/>
        <w:rPr>
          <w:rFonts w:ascii="Calibri" w:hAnsi="Calibri" w:cs="Calibri"/>
          <w:sz w:val="20"/>
        </w:rPr>
      </w:pPr>
    </w:p>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H,nd</w:t>
      </w:r>
      <w:r w:rsidRPr="00F05470">
        <w:rPr>
          <w:rFonts w:ascii="Calibri" w:hAnsi="Calibri" w:cs="Calibri"/>
          <w:sz w:val="20"/>
        </w:rPr>
        <w:t xml:space="preserve"> ≤ Q</w:t>
      </w:r>
      <w:r w:rsidRPr="00F05470">
        <w:rPr>
          <w:rFonts w:ascii="Calibri" w:hAnsi="Calibri" w:cs="Calibri"/>
          <w:sz w:val="20"/>
          <w:vertAlign w:val="subscript"/>
        </w:rPr>
        <w:t>H,nd,N</w:t>
      </w:r>
    </w:p>
    <w:p w:rsidR="00ED12C2" w:rsidRPr="00F05470" w:rsidRDefault="00ED12C2" w:rsidP="00ED12C2">
      <w:pPr>
        <w:ind w:left="720" w:hanging="720"/>
        <w:jc w:val="both"/>
        <w:rPr>
          <w:rFonts w:ascii="Calibri" w:hAnsi="Calibri" w:cs="Calibri"/>
          <w:sz w:val="20"/>
        </w:rPr>
      </w:pPr>
      <w:r w:rsidRPr="00F05470">
        <w:rPr>
          <w:rFonts w:ascii="Calibri" w:hAnsi="Calibri" w:cs="Calibri"/>
          <w:sz w:val="20"/>
        </w:rPr>
        <w:t xml:space="preserve">kde </w:t>
      </w:r>
      <w:r w:rsidRPr="00F05470">
        <w:rPr>
          <w:rFonts w:ascii="Calibri" w:hAnsi="Calibri" w:cs="Calibri"/>
          <w:sz w:val="20"/>
        </w:rPr>
        <w:tab/>
        <w:t>Q</w:t>
      </w:r>
      <w:r w:rsidRPr="00F05470">
        <w:rPr>
          <w:rFonts w:ascii="Calibri" w:hAnsi="Calibri" w:cs="Calibri"/>
          <w:sz w:val="20"/>
          <w:vertAlign w:val="subscript"/>
        </w:rPr>
        <w:t xml:space="preserve">H,nd,N </w:t>
      </w:r>
      <w:r w:rsidRPr="00F05470">
        <w:rPr>
          <w:rFonts w:ascii="Calibri" w:hAnsi="Calibri" w:cs="Calibri"/>
          <w:sz w:val="20"/>
        </w:rPr>
        <w:t>je normalizovaná hodnota mernej potreby tepla, stanovená v kWh/(m</w:t>
      </w:r>
      <w:r w:rsidRPr="00F05470">
        <w:rPr>
          <w:rFonts w:ascii="Calibri" w:hAnsi="Calibri" w:cs="Calibri"/>
          <w:sz w:val="20"/>
          <w:vertAlign w:val="superscript"/>
        </w:rPr>
        <w:t>2</w:t>
      </w:r>
      <w:r w:rsidRPr="00F05470">
        <w:rPr>
          <w:rFonts w:ascii="Calibri" w:hAnsi="Calibri" w:cs="Calibri"/>
          <w:sz w:val="20"/>
        </w:rPr>
        <w:t>.a) pre bytové a nebytové budovy a je stanovená pre nebytové budovy s konštrukčnou výškou viac ako 2,8 m, ktoré nespĺňajú prvú požiadavku, v kWh/(m</w:t>
      </w:r>
      <w:r w:rsidRPr="00F05470">
        <w:rPr>
          <w:rFonts w:ascii="Calibri" w:hAnsi="Calibri" w:cs="Calibri"/>
          <w:sz w:val="20"/>
          <w:vertAlign w:val="superscript"/>
        </w:rPr>
        <w:t>3</w:t>
      </w:r>
      <w:r w:rsidRPr="00F05470">
        <w:rPr>
          <w:rFonts w:ascii="Calibri" w:hAnsi="Calibri" w:cs="Calibri"/>
          <w:sz w:val="20"/>
        </w:rPr>
        <w:t>.a)</w:t>
      </w:r>
    </w:p>
    <w:p w:rsidR="00ED12C2" w:rsidRPr="00F05470" w:rsidRDefault="00ED12C2" w:rsidP="00ED12C2">
      <w:pPr>
        <w:ind w:firstLine="720"/>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 xml:space="preserve">H,nd </w:t>
      </w:r>
      <w:r w:rsidRPr="00F05470">
        <w:rPr>
          <w:rFonts w:ascii="Calibri" w:hAnsi="Calibri" w:cs="Calibri"/>
          <w:sz w:val="20"/>
        </w:rPr>
        <w:t>je merná potreba tepla, v kWh/(m</w:t>
      </w:r>
      <w:r w:rsidRPr="00F05470">
        <w:rPr>
          <w:rFonts w:ascii="Calibri" w:hAnsi="Calibri" w:cs="Calibri"/>
          <w:sz w:val="20"/>
          <w:vertAlign w:val="superscript"/>
        </w:rPr>
        <w:t>2</w:t>
      </w:r>
      <w:r w:rsidRPr="00F05470">
        <w:rPr>
          <w:rFonts w:ascii="Calibri" w:hAnsi="Calibri" w:cs="Calibri"/>
          <w:sz w:val="20"/>
        </w:rPr>
        <w:t>.a) alebo v kWh/(m</w:t>
      </w:r>
      <w:r w:rsidRPr="00F05470">
        <w:rPr>
          <w:rFonts w:ascii="Calibri" w:hAnsi="Calibri" w:cs="Calibri"/>
          <w:sz w:val="20"/>
          <w:vertAlign w:val="superscript"/>
        </w:rPr>
        <w:t>3</w:t>
      </w:r>
      <w:r w:rsidRPr="00F05470">
        <w:rPr>
          <w:rFonts w:ascii="Calibri" w:hAnsi="Calibri" w:cs="Calibri"/>
          <w:sz w:val="20"/>
        </w:rPr>
        <w:t>.a).</w:t>
      </w:r>
    </w:p>
    <w:p w:rsidR="005B33B0" w:rsidRDefault="005B33B0" w:rsidP="005B33B0">
      <w:pPr>
        <w:jc w:val="both"/>
        <w:rPr>
          <w:rFonts w:ascii="Calibri" w:hAnsi="Calibri" w:cs="Calibri"/>
          <w:sz w:val="20"/>
          <w:u w:val="single"/>
        </w:rPr>
      </w:pPr>
    </w:p>
    <w:p w:rsidR="00ED12C2" w:rsidRPr="00F05470" w:rsidRDefault="00ED12C2" w:rsidP="005B33B0">
      <w:pPr>
        <w:jc w:val="both"/>
        <w:rPr>
          <w:rFonts w:ascii="Calibri" w:hAnsi="Calibri" w:cs="Calibri"/>
          <w:sz w:val="20"/>
          <w:u w:val="single"/>
        </w:rPr>
      </w:pPr>
      <w:r w:rsidRPr="00F05470">
        <w:rPr>
          <w:rFonts w:ascii="Calibri" w:hAnsi="Calibri" w:cs="Calibri"/>
          <w:sz w:val="20"/>
          <w:u w:val="single"/>
        </w:rPr>
        <w:t>Stanovenie predpokladu splnenia energetickej hospodárnosti budov</w:t>
      </w:r>
    </w:p>
    <w:p w:rsidR="00ED12C2" w:rsidRPr="00F05470" w:rsidRDefault="00ED12C2" w:rsidP="00ED12C2">
      <w:pPr>
        <w:ind w:firstLine="720"/>
        <w:jc w:val="both"/>
        <w:rPr>
          <w:rFonts w:ascii="Calibri" w:hAnsi="Calibri" w:cs="Calibri"/>
          <w:sz w:val="20"/>
        </w:rPr>
      </w:pPr>
      <w:r w:rsidRPr="00F05470">
        <w:rPr>
          <w:rFonts w:ascii="Calibri" w:hAnsi="Calibri" w:cs="Calibri"/>
          <w:sz w:val="20"/>
        </w:rPr>
        <w:lastRenderedPageBreak/>
        <w:t>Výpočet potreby tepla na preukázanie predpokladu splnenia minimálnej požiadavky na energetic-kú hospodárnosť budovy zohľadňuje aj prevádzkový čas vykurovania budov so stanoveným vplyvom na pokles vnútornej teploty v budove určenej kategórie.</w:t>
      </w:r>
    </w:p>
    <w:p w:rsidR="005B33B0" w:rsidRDefault="005B33B0" w:rsidP="00ED12C2">
      <w:pPr>
        <w:ind w:left="720" w:hanging="720"/>
        <w:jc w:val="both"/>
        <w:rPr>
          <w:rFonts w:ascii="Calibri" w:hAnsi="Calibri" w:cs="Calibri"/>
          <w:sz w:val="20"/>
        </w:rPr>
      </w:pPr>
    </w:p>
    <w:p w:rsidR="00ED12C2" w:rsidRPr="00F05470" w:rsidRDefault="00ED12C2" w:rsidP="00ED12C2">
      <w:pPr>
        <w:ind w:left="720" w:hanging="720"/>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EP</w:t>
      </w:r>
      <w:r w:rsidRPr="00F05470">
        <w:rPr>
          <w:rFonts w:ascii="Calibri" w:hAnsi="Calibri" w:cs="Calibri"/>
          <w:sz w:val="20"/>
        </w:rPr>
        <w:t xml:space="preserve"> ≤ Q</w:t>
      </w:r>
      <w:r w:rsidRPr="00F05470">
        <w:rPr>
          <w:rFonts w:ascii="Calibri" w:hAnsi="Calibri" w:cs="Calibri"/>
          <w:sz w:val="20"/>
          <w:vertAlign w:val="subscript"/>
        </w:rPr>
        <w:t>N,EP</w:t>
      </w:r>
    </w:p>
    <w:p w:rsidR="00ED12C2" w:rsidRPr="00F05470" w:rsidRDefault="00ED12C2" w:rsidP="00ED12C2">
      <w:pPr>
        <w:ind w:left="720" w:hanging="720"/>
        <w:jc w:val="both"/>
        <w:rPr>
          <w:rFonts w:ascii="Calibri" w:hAnsi="Calibri" w:cs="Calibri"/>
          <w:sz w:val="20"/>
        </w:rPr>
      </w:pPr>
      <w:r w:rsidRPr="00F05470">
        <w:rPr>
          <w:rFonts w:ascii="Calibri" w:hAnsi="Calibri" w:cs="Calibri"/>
          <w:sz w:val="20"/>
        </w:rPr>
        <w:t xml:space="preserve">kde </w:t>
      </w:r>
      <w:r w:rsidRPr="00F05470">
        <w:rPr>
          <w:rFonts w:ascii="Calibri" w:hAnsi="Calibri" w:cs="Calibri"/>
          <w:sz w:val="20"/>
        </w:rPr>
        <w:tab/>
        <w:t>Q</w:t>
      </w:r>
      <w:r w:rsidRPr="00F05470">
        <w:rPr>
          <w:rFonts w:ascii="Calibri" w:hAnsi="Calibri" w:cs="Calibri"/>
          <w:sz w:val="20"/>
          <w:vertAlign w:val="subscript"/>
        </w:rPr>
        <w:t>N,EP</w:t>
      </w:r>
      <w:r w:rsidRPr="00F05470">
        <w:rPr>
          <w:rFonts w:ascii="Calibri" w:hAnsi="Calibri" w:cs="Calibri"/>
          <w:sz w:val="20"/>
        </w:rPr>
        <w:t xml:space="preserve"> je normalizovaná hodnota potreby tepla na vykurovanie na dosiahnutie energetickej hospodárnosti budovy, v kWh/(m</w:t>
      </w:r>
      <w:r w:rsidRPr="00F05470">
        <w:rPr>
          <w:rFonts w:ascii="Calibri" w:hAnsi="Calibri" w:cs="Calibri"/>
          <w:sz w:val="20"/>
          <w:vertAlign w:val="superscript"/>
        </w:rPr>
        <w:t>2</w:t>
      </w:r>
      <w:r w:rsidRPr="00F05470">
        <w:rPr>
          <w:rFonts w:ascii="Calibri" w:hAnsi="Calibri" w:cs="Calibri"/>
          <w:sz w:val="20"/>
        </w:rPr>
        <w:t>.a)</w:t>
      </w:r>
    </w:p>
    <w:p w:rsidR="00ED12C2" w:rsidRPr="00F05470" w:rsidRDefault="00ED12C2" w:rsidP="00ED12C2">
      <w:pPr>
        <w:ind w:left="720"/>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EP</w:t>
      </w:r>
      <w:r w:rsidRPr="00F05470">
        <w:rPr>
          <w:rFonts w:ascii="Calibri" w:hAnsi="Calibri" w:cs="Calibri"/>
          <w:sz w:val="20"/>
        </w:rPr>
        <w:t xml:space="preserve"> je potreba tepla na vykurovanie na preukázanie predpokladu splnenia minimálnej požiadavky na energetickú hospodárnosť budovy, v kWh/(m</w:t>
      </w:r>
      <w:r w:rsidRPr="00F05470">
        <w:rPr>
          <w:rFonts w:ascii="Calibri" w:hAnsi="Calibri" w:cs="Calibri"/>
          <w:sz w:val="20"/>
          <w:vertAlign w:val="superscript"/>
        </w:rPr>
        <w:t>2</w:t>
      </w:r>
      <w:r w:rsidRPr="00F05470">
        <w:rPr>
          <w:rFonts w:ascii="Calibri" w:hAnsi="Calibri" w:cs="Calibri"/>
          <w:sz w:val="20"/>
        </w:rPr>
        <w:t>.a).</w:t>
      </w:r>
    </w:p>
    <w:p w:rsidR="00ED12C2" w:rsidRPr="00F05470" w:rsidRDefault="00ED12C2" w:rsidP="00165ED7">
      <w:pPr>
        <w:pStyle w:val="Nadpis1"/>
      </w:pPr>
      <w:bookmarkStart w:id="142" w:name="_Toc1907032"/>
      <w:r w:rsidRPr="00F05470">
        <w:t>5. Vyhodnotenie</w:t>
      </w:r>
      <w:bookmarkEnd w:id="142"/>
    </w:p>
    <w:p w:rsidR="00ED12C2" w:rsidRPr="00F05470" w:rsidRDefault="00ED12C2" w:rsidP="00ED12C2">
      <w:pPr>
        <w:pStyle w:val="Nadpis2"/>
        <w:numPr>
          <w:ilvl w:val="0"/>
          <w:numId w:val="0"/>
        </w:numPr>
        <w:ind w:left="397" w:hanging="397"/>
        <w:jc w:val="both"/>
        <w:rPr>
          <w:rFonts w:ascii="Calibri" w:hAnsi="Calibri" w:cs="Calibri"/>
          <w:szCs w:val="20"/>
        </w:rPr>
      </w:pPr>
      <w:bookmarkStart w:id="143" w:name="_Toc1907033"/>
      <w:r w:rsidRPr="00F05470">
        <w:rPr>
          <w:rFonts w:ascii="Calibri" w:hAnsi="Calibri" w:cs="Calibri"/>
          <w:szCs w:val="20"/>
        </w:rPr>
        <w:t>5.1 Vyhodnotenie tepelnoizolačných vlastností stavebných konštrukcií podľa STN EN 73 0540</w:t>
      </w:r>
      <w:bookmarkEnd w:id="143"/>
    </w:p>
    <w:p w:rsidR="00ED12C2" w:rsidRPr="00F05470" w:rsidRDefault="00ED12C2" w:rsidP="00ED12C2">
      <w:pPr>
        <w:pStyle w:val="Nadpis3"/>
        <w:numPr>
          <w:ilvl w:val="0"/>
          <w:numId w:val="0"/>
        </w:numPr>
        <w:ind w:left="397" w:hanging="397"/>
        <w:jc w:val="both"/>
        <w:rPr>
          <w:rFonts w:ascii="Calibri" w:hAnsi="Calibri" w:cs="Calibri"/>
        </w:rPr>
      </w:pPr>
      <w:bookmarkStart w:id="144" w:name="_Toc1907034"/>
      <w:r w:rsidRPr="00F05470">
        <w:rPr>
          <w:rFonts w:ascii="Calibri" w:hAnsi="Calibri" w:cs="Calibri"/>
        </w:rPr>
        <w:t>5.1.1 Súčiniteľ prechodu tepla</w:t>
      </w:r>
      <w:bookmarkEnd w:id="144"/>
      <w:r w:rsidRPr="00F05470">
        <w:rPr>
          <w:rFonts w:ascii="Calibri" w:hAnsi="Calibri" w:cs="Calibri"/>
        </w:rPr>
        <w:t xml:space="preserve">  </w:t>
      </w:r>
    </w:p>
    <w:p w:rsidR="00ED12C2" w:rsidRPr="00F05470" w:rsidRDefault="00ED12C2" w:rsidP="00ED12C2">
      <w:pPr>
        <w:autoSpaceDE w:val="0"/>
        <w:autoSpaceDN w:val="0"/>
        <w:adjustRightInd w:val="0"/>
        <w:ind w:firstLine="708"/>
        <w:jc w:val="both"/>
        <w:rPr>
          <w:rFonts w:ascii="Calibri" w:hAnsi="Calibri" w:cs="Calibri"/>
          <w:sz w:val="20"/>
        </w:rPr>
      </w:pPr>
    </w:p>
    <w:tbl>
      <w:tblPr>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3104"/>
        <w:gridCol w:w="2055"/>
        <w:gridCol w:w="418"/>
        <w:gridCol w:w="2048"/>
        <w:gridCol w:w="1401"/>
      </w:tblGrid>
      <w:tr w:rsidR="00ED12C2" w:rsidRPr="00F05470" w:rsidTr="00ED12C2">
        <w:tc>
          <w:tcPr>
            <w:tcW w:w="3227" w:type="dxa"/>
            <w:tcBorders>
              <w:top w:val="single" w:sz="18" w:space="0" w:color="auto"/>
              <w:bottom w:val="single" w:sz="18" w:space="0" w:color="auto"/>
            </w:tcBorders>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Posudzované fragmenty</w:t>
            </w:r>
          </w:p>
        </w:tc>
        <w:tc>
          <w:tcPr>
            <w:tcW w:w="2126" w:type="dxa"/>
            <w:tcBorders>
              <w:top w:val="single" w:sz="18" w:space="0" w:color="auto"/>
              <w:bottom w:val="single" w:sz="18" w:space="0" w:color="auto"/>
            </w:tcBorders>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Súčiniteľ prechodu tepla U</w:t>
            </w:r>
          </w:p>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[W/m2K]</w:t>
            </w:r>
          </w:p>
        </w:tc>
        <w:tc>
          <w:tcPr>
            <w:tcW w:w="425" w:type="dxa"/>
            <w:tcBorders>
              <w:top w:val="single" w:sz="18" w:space="0" w:color="auto"/>
              <w:bottom w:val="single" w:sz="18" w:space="0" w:color="auto"/>
            </w:tcBorders>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tc>
        <w:tc>
          <w:tcPr>
            <w:tcW w:w="2088" w:type="dxa"/>
            <w:tcBorders>
              <w:top w:val="single" w:sz="18" w:space="0" w:color="auto"/>
              <w:bottom w:val="single" w:sz="18" w:space="0" w:color="auto"/>
            </w:tcBorders>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Normalizovaný súčiniteľ prechodu tepla U</w:t>
            </w:r>
          </w:p>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[W/m2K]]</w:t>
            </w:r>
          </w:p>
        </w:tc>
        <w:tc>
          <w:tcPr>
            <w:tcW w:w="1422" w:type="dxa"/>
            <w:tcBorders>
              <w:top w:val="single" w:sz="18" w:space="0" w:color="auto"/>
              <w:bottom w:val="single" w:sz="18" w:space="0" w:color="auto"/>
            </w:tcBorders>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Posúdenie</w:t>
            </w:r>
          </w:p>
        </w:tc>
      </w:tr>
      <w:tr w:rsidR="00ED12C2" w:rsidRPr="00F05470" w:rsidTr="00ED12C2">
        <w:tc>
          <w:tcPr>
            <w:tcW w:w="3227" w:type="dxa"/>
            <w:tcBorders>
              <w:top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F05470">
              <w:rPr>
                <w:rFonts w:ascii="Calibri" w:hAnsi="Calibri" w:cs="Calibri"/>
                <w:sz w:val="20"/>
              </w:rPr>
              <w:t>Strecha šikmá</w:t>
            </w:r>
          </w:p>
        </w:tc>
        <w:tc>
          <w:tcPr>
            <w:tcW w:w="2126" w:type="dxa"/>
            <w:tcBorders>
              <w:top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0,10</w:t>
            </w:r>
          </w:p>
        </w:tc>
        <w:tc>
          <w:tcPr>
            <w:tcW w:w="425" w:type="dxa"/>
            <w:tcBorders>
              <w:top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F05470">
              <w:rPr>
                <w:rFonts w:ascii="Calibri" w:hAnsi="Calibri" w:cs="Calibri"/>
                <w:bCs/>
                <w:sz w:val="20"/>
              </w:rPr>
              <w:t>&lt;</w:t>
            </w:r>
          </w:p>
        </w:tc>
        <w:tc>
          <w:tcPr>
            <w:tcW w:w="2088" w:type="dxa"/>
            <w:tcBorders>
              <w:top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0,15</w:t>
            </w:r>
          </w:p>
        </w:tc>
        <w:tc>
          <w:tcPr>
            <w:tcW w:w="1422" w:type="dxa"/>
            <w:tcBorders>
              <w:top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F05470">
              <w:rPr>
                <w:rFonts w:ascii="Calibri" w:hAnsi="Calibri" w:cs="Calibri"/>
                <w:bCs/>
                <w:i/>
                <w:sz w:val="20"/>
              </w:rPr>
              <w:t>VYHOVUJE</w:t>
            </w:r>
          </w:p>
        </w:tc>
      </w:tr>
      <w:tr w:rsidR="00ED12C2" w:rsidRPr="00F05470" w:rsidTr="00ED12C2">
        <w:tc>
          <w:tcPr>
            <w:tcW w:w="3227" w:type="dxa"/>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F05470">
              <w:rPr>
                <w:rFonts w:ascii="Calibri" w:hAnsi="Calibri" w:cs="Calibri"/>
                <w:sz w:val="20"/>
              </w:rPr>
              <w:t>Obvodová stena</w:t>
            </w:r>
          </w:p>
        </w:tc>
        <w:tc>
          <w:tcPr>
            <w:tcW w:w="2126" w:type="dxa"/>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0,12</w:t>
            </w:r>
          </w:p>
        </w:tc>
        <w:tc>
          <w:tcPr>
            <w:tcW w:w="425" w:type="dxa"/>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F05470">
              <w:rPr>
                <w:rFonts w:ascii="Calibri" w:hAnsi="Calibri" w:cs="Calibri"/>
                <w:bCs/>
                <w:sz w:val="20"/>
              </w:rPr>
              <w:t>&lt;</w:t>
            </w:r>
          </w:p>
        </w:tc>
        <w:tc>
          <w:tcPr>
            <w:tcW w:w="2088" w:type="dxa"/>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0,22</w:t>
            </w:r>
          </w:p>
        </w:tc>
        <w:tc>
          <w:tcPr>
            <w:tcW w:w="1422" w:type="dxa"/>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F05470">
              <w:rPr>
                <w:rFonts w:ascii="Calibri" w:hAnsi="Calibri" w:cs="Calibri"/>
                <w:bCs/>
                <w:i/>
                <w:sz w:val="20"/>
              </w:rPr>
              <w:t>VYHOVUJE</w:t>
            </w:r>
          </w:p>
        </w:tc>
      </w:tr>
      <w:tr w:rsidR="00ED12C2" w:rsidRPr="00F05470" w:rsidTr="00ED12C2">
        <w:tc>
          <w:tcPr>
            <w:tcW w:w="3227" w:type="dxa"/>
            <w:tcBorders>
              <w:bottom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sz w:val="20"/>
              </w:rPr>
            </w:pPr>
            <w:r w:rsidRPr="00F05470">
              <w:rPr>
                <w:rFonts w:ascii="Calibri" w:hAnsi="Calibri" w:cs="Calibri"/>
                <w:sz w:val="20"/>
              </w:rPr>
              <w:t>Okná</w:t>
            </w:r>
          </w:p>
        </w:tc>
        <w:tc>
          <w:tcPr>
            <w:tcW w:w="2126" w:type="dxa"/>
            <w:tcBorders>
              <w:bottom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0,67</w:t>
            </w:r>
          </w:p>
        </w:tc>
        <w:tc>
          <w:tcPr>
            <w:tcW w:w="425" w:type="dxa"/>
            <w:tcBorders>
              <w:bottom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F05470">
              <w:rPr>
                <w:rFonts w:ascii="Calibri" w:hAnsi="Calibri" w:cs="Calibri"/>
                <w:bCs/>
                <w:sz w:val="20"/>
              </w:rPr>
              <w:t>&lt;</w:t>
            </w:r>
          </w:p>
        </w:tc>
        <w:tc>
          <w:tcPr>
            <w:tcW w:w="2088" w:type="dxa"/>
            <w:tcBorders>
              <w:bottom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1,00</w:t>
            </w:r>
          </w:p>
        </w:tc>
        <w:tc>
          <w:tcPr>
            <w:tcW w:w="1422" w:type="dxa"/>
            <w:tcBorders>
              <w:bottom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F05470">
              <w:rPr>
                <w:rFonts w:ascii="Calibri" w:hAnsi="Calibri" w:cs="Calibri"/>
                <w:bCs/>
                <w:i/>
                <w:sz w:val="20"/>
              </w:rPr>
              <w:t>VYHOVUJE</w:t>
            </w:r>
          </w:p>
        </w:tc>
      </w:tr>
    </w:tbl>
    <w:p w:rsidR="00ED12C2" w:rsidRPr="00F05470" w:rsidRDefault="00ED12C2" w:rsidP="00ED12C2">
      <w:pPr>
        <w:autoSpaceDE w:val="0"/>
        <w:autoSpaceDN w:val="0"/>
        <w:adjustRightInd w:val="0"/>
        <w:jc w:val="both"/>
        <w:rPr>
          <w:rFonts w:ascii="Calibri" w:hAnsi="Calibri" w:cs="Calibri"/>
          <w:sz w:val="20"/>
        </w:rPr>
      </w:pPr>
    </w:p>
    <w:p w:rsidR="00ED12C2" w:rsidRPr="00F05470" w:rsidRDefault="00ED12C2" w:rsidP="00ED12C2">
      <w:pPr>
        <w:pStyle w:val="Nadpis3"/>
        <w:numPr>
          <w:ilvl w:val="0"/>
          <w:numId w:val="0"/>
        </w:numPr>
        <w:jc w:val="both"/>
        <w:rPr>
          <w:rFonts w:ascii="Calibri" w:hAnsi="Calibri" w:cs="Calibri"/>
        </w:rPr>
      </w:pPr>
      <w:bookmarkStart w:id="145" w:name="_Toc1907035"/>
      <w:r w:rsidRPr="00F05470">
        <w:rPr>
          <w:rFonts w:ascii="Calibri" w:hAnsi="Calibri" w:cs="Calibri"/>
        </w:rPr>
        <w:t>5.1.2 Tepelný odpor</w:t>
      </w:r>
      <w:bookmarkEnd w:id="145"/>
      <w:r w:rsidRPr="00F05470">
        <w:rPr>
          <w:rFonts w:ascii="Calibri" w:hAnsi="Calibri" w:cs="Calibri"/>
        </w:rPr>
        <w:t xml:space="preserve">  </w:t>
      </w:r>
    </w:p>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tbl>
      <w:tblPr>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3104"/>
        <w:gridCol w:w="2054"/>
        <w:gridCol w:w="418"/>
        <w:gridCol w:w="2049"/>
        <w:gridCol w:w="1401"/>
      </w:tblGrid>
      <w:tr w:rsidR="00ED12C2" w:rsidRPr="00F05470" w:rsidTr="00ED12C2">
        <w:tc>
          <w:tcPr>
            <w:tcW w:w="3227" w:type="dxa"/>
            <w:tcBorders>
              <w:top w:val="single" w:sz="18" w:space="0" w:color="auto"/>
              <w:bottom w:val="single" w:sz="18" w:space="0" w:color="auto"/>
            </w:tcBorders>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Posudzované fragmenty</w:t>
            </w:r>
          </w:p>
        </w:tc>
        <w:tc>
          <w:tcPr>
            <w:tcW w:w="2126" w:type="dxa"/>
            <w:tcBorders>
              <w:top w:val="single" w:sz="18" w:space="0" w:color="auto"/>
              <w:bottom w:val="single" w:sz="18" w:space="0" w:color="auto"/>
            </w:tcBorders>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Tepelný odpor R</w:t>
            </w:r>
          </w:p>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[m2K/W]</w:t>
            </w:r>
          </w:p>
        </w:tc>
        <w:tc>
          <w:tcPr>
            <w:tcW w:w="425" w:type="dxa"/>
            <w:tcBorders>
              <w:top w:val="single" w:sz="18" w:space="0" w:color="auto"/>
              <w:bottom w:val="single" w:sz="18" w:space="0" w:color="auto"/>
            </w:tcBorders>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tc>
        <w:tc>
          <w:tcPr>
            <w:tcW w:w="2088" w:type="dxa"/>
            <w:tcBorders>
              <w:top w:val="single" w:sz="18" w:space="0" w:color="auto"/>
              <w:bottom w:val="single" w:sz="18" w:space="0" w:color="auto"/>
            </w:tcBorders>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Normalizovaný tepelný odpor</w:t>
            </w:r>
          </w:p>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[m2K/W]</w:t>
            </w:r>
          </w:p>
        </w:tc>
        <w:tc>
          <w:tcPr>
            <w:tcW w:w="1422" w:type="dxa"/>
            <w:tcBorders>
              <w:top w:val="single" w:sz="18" w:space="0" w:color="auto"/>
              <w:bottom w:val="single" w:sz="18" w:space="0" w:color="auto"/>
            </w:tcBorders>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Posúdenie</w:t>
            </w:r>
          </w:p>
        </w:tc>
      </w:tr>
      <w:tr w:rsidR="00ED12C2" w:rsidRPr="00F05470" w:rsidTr="00ED12C2">
        <w:tc>
          <w:tcPr>
            <w:tcW w:w="3227" w:type="dxa"/>
            <w:tcBorders>
              <w:top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F05470">
              <w:rPr>
                <w:rFonts w:ascii="Calibri" w:hAnsi="Calibri" w:cs="Calibri"/>
                <w:sz w:val="20"/>
              </w:rPr>
              <w:t>Strecha šikmá</w:t>
            </w:r>
          </w:p>
        </w:tc>
        <w:tc>
          <w:tcPr>
            <w:tcW w:w="2126" w:type="dxa"/>
            <w:tcBorders>
              <w:top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9,43</w:t>
            </w:r>
          </w:p>
        </w:tc>
        <w:tc>
          <w:tcPr>
            <w:tcW w:w="425" w:type="dxa"/>
            <w:tcBorders>
              <w:top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F05470">
              <w:rPr>
                <w:rFonts w:ascii="Calibri" w:hAnsi="Calibri" w:cs="Calibri"/>
                <w:bCs/>
                <w:sz w:val="20"/>
              </w:rPr>
              <w:t>&gt;</w:t>
            </w:r>
          </w:p>
        </w:tc>
        <w:tc>
          <w:tcPr>
            <w:tcW w:w="2088" w:type="dxa"/>
            <w:tcBorders>
              <w:top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6,50</w:t>
            </w:r>
          </w:p>
        </w:tc>
        <w:tc>
          <w:tcPr>
            <w:tcW w:w="1422" w:type="dxa"/>
            <w:tcBorders>
              <w:top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F05470">
              <w:rPr>
                <w:rFonts w:ascii="Calibri" w:hAnsi="Calibri" w:cs="Calibri"/>
                <w:bCs/>
                <w:i/>
                <w:sz w:val="20"/>
              </w:rPr>
              <w:t>VYHOVUJE</w:t>
            </w:r>
          </w:p>
        </w:tc>
      </w:tr>
      <w:tr w:rsidR="00ED12C2" w:rsidRPr="00F05470" w:rsidTr="00ED12C2">
        <w:tc>
          <w:tcPr>
            <w:tcW w:w="3227" w:type="dxa"/>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F05470">
              <w:rPr>
                <w:rFonts w:ascii="Calibri" w:hAnsi="Calibri" w:cs="Calibri"/>
                <w:sz w:val="20"/>
              </w:rPr>
              <w:t>Obvodová stena</w:t>
            </w:r>
          </w:p>
        </w:tc>
        <w:tc>
          <w:tcPr>
            <w:tcW w:w="2126" w:type="dxa"/>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8,15</w:t>
            </w:r>
          </w:p>
        </w:tc>
        <w:tc>
          <w:tcPr>
            <w:tcW w:w="425" w:type="dxa"/>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F05470">
              <w:rPr>
                <w:rFonts w:ascii="Calibri" w:hAnsi="Calibri" w:cs="Calibri"/>
                <w:bCs/>
                <w:sz w:val="20"/>
              </w:rPr>
              <w:t>&gt;</w:t>
            </w:r>
          </w:p>
        </w:tc>
        <w:tc>
          <w:tcPr>
            <w:tcW w:w="2088" w:type="dxa"/>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4,40</w:t>
            </w:r>
          </w:p>
        </w:tc>
        <w:tc>
          <w:tcPr>
            <w:tcW w:w="1422" w:type="dxa"/>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F05470">
              <w:rPr>
                <w:rFonts w:ascii="Calibri" w:hAnsi="Calibri" w:cs="Calibri"/>
                <w:bCs/>
                <w:i/>
                <w:sz w:val="20"/>
              </w:rPr>
              <w:t>VYHOVUJE</w:t>
            </w:r>
          </w:p>
        </w:tc>
      </w:tr>
      <w:tr w:rsidR="00ED12C2" w:rsidRPr="00F05470" w:rsidTr="00ED12C2">
        <w:tc>
          <w:tcPr>
            <w:tcW w:w="3227" w:type="dxa"/>
            <w:tcBorders>
              <w:bottom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sz w:val="20"/>
              </w:rPr>
            </w:pPr>
            <w:r w:rsidRPr="00F05470">
              <w:rPr>
                <w:rFonts w:ascii="Calibri" w:hAnsi="Calibri" w:cs="Calibri"/>
                <w:sz w:val="20"/>
              </w:rPr>
              <w:t>Podlaha na teréne</w:t>
            </w:r>
          </w:p>
        </w:tc>
        <w:tc>
          <w:tcPr>
            <w:tcW w:w="2126" w:type="dxa"/>
            <w:tcBorders>
              <w:bottom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4,05</w:t>
            </w:r>
          </w:p>
        </w:tc>
        <w:tc>
          <w:tcPr>
            <w:tcW w:w="425" w:type="dxa"/>
            <w:tcBorders>
              <w:bottom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F05470">
              <w:rPr>
                <w:rFonts w:ascii="Calibri" w:hAnsi="Calibri" w:cs="Calibri"/>
                <w:bCs/>
                <w:sz w:val="20"/>
              </w:rPr>
              <w:t>&gt;</w:t>
            </w:r>
          </w:p>
        </w:tc>
        <w:tc>
          <w:tcPr>
            <w:tcW w:w="2088" w:type="dxa"/>
            <w:tcBorders>
              <w:bottom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F05470">
              <w:rPr>
                <w:rFonts w:ascii="Calibri" w:hAnsi="Calibri" w:cs="Calibri"/>
                <w:b/>
                <w:bCs/>
                <w:sz w:val="20"/>
              </w:rPr>
              <w:t>2,50</w:t>
            </w:r>
          </w:p>
        </w:tc>
        <w:tc>
          <w:tcPr>
            <w:tcW w:w="1422" w:type="dxa"/>
            <w:tcBorders>
              <w:bottom w:val="single" w:sz="18" w:space="0" w:color="auto"/>
            </w:tcBorders>
            <w:vAlign w:val="center"/>
          </w:tcPr>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F05470">
              <w:rPr>
                <w:rFonts w:ascii="Calibri" w:hAnsi="Calibri" w:cs="Calibri"/>
                <w:bCs/>
                <w:i/>
                <w:sz w:val="20"/>
              </w:rPr>
              <w:t>VYHOVUJE</w:t>
            </w:r>
          </w:p>
        </w:tc>
      </w:tr>
    </w:tbl>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p w:rsidR="00ED12C2" w:rsidRPr="00F05470" w:rsidRDefault="00ED12C2" w:rsidP="00ED12C2">
      <w:pPr>
        <w:autoSpaceDE w:val="0"/>
        <w:autoSpaceDN w:val="0"/>
        <w:adjustRightInd w:val="0"/>
        <w:jc w:val="both"/>
        <w:rPr>
          <w:rFonts w:ascii="Calibri" w:hAnsi="Calibri" w:cs="Calibri"/>
          <w:b/>
          <w:sz w:val="20"/>
        </w:rPr>
      </w:pPr>
      <w:r w:rsidRPr="00F05470">
        <w:rPr>
          <w:rFonts w:ascii="Calibri" w:hAnsi="Calibri" w:cs="Calibri"/>
          <w:b/>
          <w:sz w:val="20"/>
        </w:rPr>
        <w:t>Záverom možno konštatovať, že pri dodržaní technologických predpisov a materiálov popísaných v projektovej dokumentácii sa na streche, na obvodovej stene a na podlahe na teréne SPLNIA podmienky podľa STN 73 0540.</w:t>
      </w:r>
    </w:p>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p w:rsidR="00ED12C2" w:rsidRPr="00F05470" w:rsidRDefault="00ED12C2" w:rsidP="00ED12C2">
      <w:pPr>
        <w:pStyle w:val="Nadpis2"/>
        <w:numPr>
          <w:ilvl w:val="0"/>
          <w:numId w:val="0"/>
        </w:numPr>
        <w:jc w:val="both"/>
        <w:rPr>
          <w:rFonts w:ascii="Calibri" w:hAnsi="Calibri" w:cs="Calibri"/>
          <w:szCs w:val="20"/>
        </w:rPr>
      </w:pPr>
      <w:bookmarkStart w:id="146" w:name="_Toc1907036"/>
      <w:r w:rsidRPr="00F05470">
        <w:rPr>
          <w:rFonts w:ascii="Calibri" w:hAnsi="Calibri" w:cs="Calibri"/>
          <w:szCs w:val="20"/>
        </w:rPr>
        <w:t>5.2 Vyhodnotenie kritéria výmeny vzduchu podľa STN EN 73 0540</w:t>
      </w:r>
      <w:bookmarkEnd w:id="146"/>
    </w:p>
    <w:tbl>
      <w:tblPr>
        <w:tblW w:w="9224" w:type="dxa"/>
        <w:tblInd w:w="60" w:type="dxa"/>
        <w:tblCellMar>
          <w:left w:w="70" w:type="dxa"/>
          <w:right w:w="70" w:type="dxa"/>
        </w:tblCellMar>
        <w:tblLook w:val="04A0" w:firstRow="1" w:lastRow="0" w:firstColumn="1" w:lastColumn="0" w:noHBand="0" w:noVBand="1"/>
      </w:tblPr>
      <w:tblGrid>
        <w:gridCol w:w="1629"/>
        <w:gridCol w:w="1358"/>
        <w:gridCol w:w="1418"/>
        <w:gridCol w:w="1417"/>
        <w:gridCol w:w="709"/>
        <w:gridCol w:w="1276"/>
        <w:gridCol w:w="1417"/>
      </w:tblGrid>
      <w:tr w:rsidR="00ED12C2" w:rsidRPr="00F05470" w:rsidTr="00ED12C2">
        <w:trPr>
          <w:trHeight w:val="300"/>
        </w:trPr>
        <w:tc>
          <w:tcPr>
            <w:tcW w:w="6531" w:type="dxa"/>
            <w:gridSpan w:val="5"/>
            <w:tcBorders>
              <w:top w:val="single" w:sz="18" w:space="0" w:color="auto"/>
              <w:left w:val="single" w:sz="18" w:space="0" w:color="auto"/>
              <w:bottom w:val="single" w:sz="4" w:space="0" w:color="auto"/>
              <w:right w:val="single" w:sz="4" w:space="0" w:color="000000"/>
            </w:tcBorders>
            <w:vAlign w:val="center"/>
            <w:hideMark/>
          </w:tcPr>
          <w:p w:rsidR="00ED12C2" w:rsidRPr="00F05470" w:rsidRDefault="00ED12C2" w:rsidP="00ED12C2">
            <w:pPr>
              <w:jc w:val="both"/>
              <w:rPr>
                <w:rFonts w:ascii="Calibri" w:hAnsi="Calibri" w:cs="Calibri"/>
                <w:b/>
                <w:bCs/>
                <w:sz w:val="20"/>
              </w:rPr>
            </w:pPr>
            <w:r w:rsidRPr="00F05470">
              <w:rPr>
                <w:rFonts w:ascii="Calibri" w:hAnsi="Calibri" w:cs="Calibri"/>
                <w:b/>
                <w:bCs/>
                <w:sz w:val="20"/>
              </w:rPr>
              <w:t xml:space="preserve">Priemerná intenzita výmeny vzduchu [1/h]:  </w:t>
            </w:r>
          </w:p>
        </w:tc>
        <w:tc>
          <w:tcPr>
            <w:tcW w:w="1276" w:type="dxa"/>
            <w:tcBorders>
              <w:top w:val="single" w:sz="18" w:space="0" w:color="auto"/>
              <w:left w:val="nil"/>
              <w:bottom w:val="single" w:sz="4" w:space="0" w:color="auto"/>
              <w:right w:val="single" w:sz="4" w:space="0" w:color="000000"/>
            </w:tcBorders>
            <w:noWrap/>
            <w:vAlign w:val="center"/>
            <w:hideMark/>
          </w:tcPr>
          <w:p w:rsidR="00ED12C2" w:rsidRPr="00F05470" w:rsidRDefault="00ED12C2" w:rsidP="00ED12C2">
            <w:pPr>
              <w:jc w:val="both"/>
              <w:rPr>
                <w:rFonts w:ascii="Calibri" w:hAnsi="Calibri" w:cs="Calibri"/>
                <w:i/>
                <w:iCs/>
                <w:sz w:val="20"/>
              </w:rPr>
            </w:pPr>
            <w:r w:rsidRPr="00F05470">
              <w:rPr>
                <w:rFonts w:ascii="Calibri" w:hAnsi="Calibri" w:cs="Calibri"/>
                <w:i/>
                <w:iCs/>
                <w:sz w:val="20"/>
              </w:rPr>
              <w:t>n</w:t>
            </w:r>
            <w:r w:rsidRPr="00F05470">
              <w:rPr>
                <w:rFonts w:ascii="Calibri" w:hAnsi="Calibri" w:cs="Calibri"/>
                <w:sz w:val="20"/>
              </w:rPr>
              <w:t xml:space="preserve"> = </w:t>
            </w:r>
          </w:p>
        </w:tc>
        <w:tc>
          <w:tcPr>
            <w:tcW w:w="1417" w:type="dxa"/>
            <w:tcBorders>
              <w:top w:val="single" w:sz="18" w:space="0" w:color="auto"/>
              <w:left w:val="nil"/>
              <w:bottom w:val="single" w:sz="4" w:space="0" w:color="auto"/>
              <w:right w:val="single" w:sz="18" w:space="0" w:color="auto"/>
            </w:tcBorders>
            <w:noWrap/>
            <w:vAlign w:val="bottom"/>
            <w:hideMark/>
          </w:tcPr>
          <w:p w:rsidR="00ED12C2" w:rsidRPr="00F05470" w:rsidRDefault="00ED12C2" w:rsidP="00ED12C2">
            <w:pPr>
              <w:jc w:val="both"/>
              <w:rPr>
                <w:rFonts w:ascii="Calibri" w:hAnsi="Calibri" w:cs="Calibri"/>
                <w:sz w:val="20"/>
              </w:rPr>
            </w:pPr>
            <w:r w:rsidRPr="00F05470">
              <w:rPr>
                <w:rFonts w:ascii="Calibri" w:hAnsi="Calibri" w:cs="Calibri"/>
                <w:sz w:val="20"/>
              </w:rPr>
              <w:t>0,16</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center"/>
            <w:hideMark/>
          </w:tcPr>
          <w:p w:rsidR="00ED12C2" w:rsidRPr="00F05470" w:rsidRDefault="00ED12C2" w:rsidP="00ED12C2">
            <w:pPr>
              <w:jc w:val="both"/>
              <w:rPr>
                <w:rFonts w:ascii="Calibri" w:hAnsi="Calibri" w:cs="Calibri"/>
                <w:b/>
                <w:bCs/>
                <w:sz w:val="20"/>
              </w:rPr>
            </w:pPr>
            <w:r w:rsidRPr="00F05470">
              <w:rPr>
                <w:rFonts w:ascii="Calibri" w:hAnsi="Calibri" w:cs="Calibri"/>
                <w:b/>
                <w:bCs/>
                <w:sz w:val="20"/>
              </w:rPr>
              <w:t xml:space="preserve">Požadovaná priemerná intenzita výmeny vzduchu [1/h]:  </w:t>
            </w:r>
          </w:p>
        </w:tc>
        <w:tc>
          <w:tcPr>
            <w:tcW w:w="1276" w:type="dxa"/>
            <w:tcBorders>
              <w:top w:val="single" w:sz="4" w:space="0" w:color="auto"/>
              <w:left w:val="nil"/>
              <w:bottom w:val="single" w:sz="4" w:space="0" w:color="auto"/>
              <w:right w:val="single" w:sz="4" w:space="0" w:color="000000"/>
            </w:tcBorders>
            <w:noWrap/>
            <w:vAlign w:val="bottom"/>
            <w:hideMark/>
          </w:tcPr>
          <w:p w:rsidR="00ED12C2" w:rsidRPr="00F05470" w:rsidRDefault="00ED12C2" w:rsidP="00ED12C2">
            <w:pPr>
              <w:jc w:val="both"/>
              <w:rPr>
                <w:rFonts w:ascii="Calibri" w:hAnsi="Calibri" w:cs="Calibri"/>
                <w:sz w:val="20"/>
              </w:rPr>
            </w:pPr>
            <w:r w:rsidRPr="00F05470">
              <w:rPr>
                <w:rFonts w:ascii="Calibri" w:hAnsi="Calibri" w:cs="Calibri"/>
                <w:sz w:val="20"/>
              </w:rPr>
              <w:t>n</w:t>
            </w:r>
            <w:r w:rsidRPr="00F05470">
              <w:rPr>
                <w:rFonts w:ascii="Calibri" w:hAnsi="Calibri" w:cs="Calibri"/>
                <w:sz w:val="20"/>
                <w:vertAlign w:val="subscript"/>
              </w:rPr>
              <w:t>N</w:t>
            </w:r>
            <w:r w:rsidRPr="00F05470">
              <w:rPr>
                <w:rFonts w:ascii="Calibri" w:hAnsi="Calibri" w:cs="Calibri"/>
                <w:sz w:val="20"/>
              </w:rPr>
              <w:t xml:space="preserve"> =   </w:t>
            </w:r>
          </w:p>
        </w:tc>
        <w:tc>
          <w:tcPr>
            <w:tcW w:w="1417" w:type="dxa"/>
            <w:tcBorders>
              <w:top w:val="single" w:sz="4" w:space="0" w:color="auto"/>
              <w:left w:val="nil"/>
              <w:bottom w:val="single" w:sz="4" w:space="0" w:color="auto"/>
              <w:right w:val="single" w:sz="18" w:space="0" w:color="auto"/>
            </w:tcBorders>
            <w:noWrap/>
            <w:vAlign w:val="bottom"/>
            <w:hideMark/>
          </w:tcPr>
          <w:p w:rsidR="00ED12C2" w:rsidRPr="00F05470" w:rsidRDefault="00ED12C2" w:rsidP="00ED12C2">
            <w:pPr>
              <w:jc w:val="both"/>
              <w:rPr>
                <w:rFonts w:ascii="Calibri" w:hAnsi="Calibri" w:cs="Calibri"/>
                <w:sz w:val="20"/>
              </w:rPr>
            </w:pPr>
            <w:r w:rsidRPr="00F05470">
              <w:rPr>
                <w:rFonts w:ascii="Calibri" w:hAnsi="Calibri" w:cs="Calibri"/>
                <w:sz w:val="20"/>
              </w:rPr>
              <w:t>0,50</w:t>
            </w:r>
          </w:p>
        </w:tc>
      </w:tr>
      <w:tr w:rsidR="00ED12C2" w:rsidRPr="00F05470" w:rsidTr="00ED12C2">
        <w:trPr>
          <w:trHeight w:val="300"/>
        </w:trPr>
        <w:tc>
          <w:tcPr>
            <w:tcW w:w="9224" w:type="dxa"/>
            <w:gridSpan w:val="7"/>
            <w:tcBorders>
              <w:top w:val="single" w:sz="18" w:space="0" w:color="auto"/>
              <w:left w:val="single" w:sz="18" w:space="0" w:color="auto"/>
              <w:bottom w:val="single" w:sz="4" w:space="0" w:color="auto"/>
              <w:right w:val="single" w:sz="18" w:space="0" w:color="auto"/>
            </w:tcBorders>
            <w:noWrap/>
            <w:vAlign w:val="center"/>
          </w:tcPr>
          <w:p w:rsidR="00ED12C2" w:rsidRPr="00F05470" w:rsidRDefault="00ED12C2" w:rsidP="00ED12C2">
            <w:pPr>
              <w:jc w:val="both"/>
              <w:rPr>
                <w:rFonts w:ascii="Calibri" w:hAnsi="Calibri" w:cs="Calibri"/>
                <w:sz w:val="20"/>
              </w:rPr>
            </w:pPr>
            <w:r w:rsidRPr="00F05470">
              <w:rPr>
                <w:rFonts w:ascii="Calibri" w:hAnsi="Calibri" w:cs="Calibri"/>
                <w:b/>
                <w:bCs/>
                <w:sz w:val="20"/>
              </w:rPr>
              <w:t>Hodnotenie potreby tepla na vykurovanie [kWh/(m2.rok)]</w:t>
            </w:r>
          </w:p>
        </w:tc>
      </w:tr>
      <w:tr w:rsidR="00ED12C2" w:rsidRPr="00F05470" w:rsidTr="00ED12C2">
        <w:trPr>
          <w:trHeight w:val="300"/>
        </w:trPr>
        <w:tc>
          <w:tcPr>
            <w:tcW w:w="1629" w:type="dxa"/>
            <w:tcBorders>
              <w:top w:val="single" w:sz="4" w:space="0" w:color="auto"/>
              <w:left w:val="single" w:sz="18" w:space="0" w:color="auto"/>
              <w:bottom w:val="single" w:sz="18" w:space="0" w:color="auto"/>
              <w:right w:val="single" w:sz="8" w:space="0" w:color="000000"/>
            </w:tcBorders>
            <w:noWrap/>
            <w:vAlign w:val="center"/>
          </w:tcPr>
          <w:p w:rsidR="00ED12C2" w:rsidRPr="00F05470" w:rsidRDefault="00ED12C2" w:rsidP="00ED12C2">
            <w:pPr>
              <w:jc w:val="both"/>
              <w:rPr>
                <w:rFonts w:ascii="Calibri" w:hAnsi="Calibri" w:cs="Calibri"/>
                <w:sz w:val="20"/>
              </w:rPr>
            </w:pPr>
            <w:r w:rsidRPr="00F05470">
              <w:rPr>
                <w:rFonts w:ascii="Calibri" w:hAnsi="Calibri" w:cs="Calibri"/>
                <w:i/>
                <w:iCs/>
                <w:sz w:val="20"/>
              </w:rPr>
              <w:t>n</w:t>
            </w:r>
            <w:r w:rsidRPr="00F05470">
              <w:rPr>
                <w:rFonts w:ascii="Calibri" w:hAnsi="Calibri" w:cs="Calibri"/>
                <w:sz w:val="20"/>
              </w:rPr>
              <w:t xml:space="preserve"> =</w:t>
            </w:r>
          </w:p>
        </w:tc>
        <w:tc>
          <w:tcPr>
            <w:tcW w:w="1358" w:type="dxa"/>
            <w:tcBorders>
              <w:top w:val="single" w:sz="4" w:space="0" w:color="auto"/>
              <w:left w:val="single" w:sz="8" w:space="0" w:color="auto"/>
              <w:bottom w:val="single" w:sz="18" w:space="0" w:color="auto"/>
              <w:right w:val="single" w:sz="8" w:space="0" w:color="000000"/>
            </w:tcBorders>
            <w:vAlign w:val="center"/>
          </w:tcPr>
          <w:p w:rsidR="00ED12C2" w:rsidRPr="00F05470" w:rsidRDefault="00ED12C2" w:rsidP="00ED12C2">
            <w:pPr>
              <w:jc w:val="both"/>
              <w:rPr>
                <w:rFonts w:ascii="Calibri" w:hAnsi="Calibri" w:cs="Calibri"/>
                <w:sz w:val="20"/>
              </w:rPr>
            </w:pPr>
            <w:r w:rsidRPr="00F05470">
              <w:rPr>
                <w:rFonts w:ascii="Calibri" w:hAnsi="Calibri" w:cs="Calibri"/>
                <w:sz w:val="20"/>
              </w:rPr>
              <w:t>0,16</w:t>
            </w:r>
          </w:p>
        </w:tc>
        <w:tc>
          <w:tcPr>
            <w:tcW w:w="1418" w:type="dxa"/>
            <w:tcBorders>
              <w:top w:val="single" w:sz="4" w:space="0" w:color="auto"/>
              <w:left w:val="single" w:sz="8" w:space="0" w:color="auto"/>
              <w:bottom w:val="single" w:sz="18" w:space="0" w:color="auto"/>
              <w:right w:val="single" w:sz="8" w:space="0" w:color="000000"/>
            </w:tcBorders>
            <w:vAlign w:val="center"/>
          </w:tcPr>
          <w:p w:rsidR="00ED12C2" w:rsidRPr="00F05470" w:rsidRDefault="00ED12C2" w:rsidP="00ED12C2">
            <w:pPr>
              <w:jc w:val="both"/>
              <w:rPr>
                <w:rFonts w:ascii="Calibri" w:hAnsi="Calibri" w:cs="Calibri"/>
                <w:sz w:val="20"/>
              </w:rPr>
            </w:pPr>
            <w:r w:rsidRPr="00F05470">
              <w:rPr>
                <w:rFonts w:ascii="Calibri" w:hAnsi="Calibri" w:cs="Calibri"/>
                <w:bCs/>
                <w:sz w:val="20"/>
              </w:rPr>
              <w:t>&lt;</w:t>
            </w:r>
          </w:p>
        </w:tc>
        <w:tc>
          <w:tcPr>
            <w:tcW w:w="1417" w:type="dxa"/>
            <w:tcBorders>
              <w:top w:val="single" w:sz="4" w:space="0" w:color="auto"/>
              <w:left w:val="single" w:sz="8" w:space="0" w:color="auto"/>
              <w:bottom w:val="single" w:sz="18" w:space="0" w:color="auto"/>
              <w:right w:val="single" w:sz="8" w:space="0" w:color="000000"/>
            </w:tcBorders>
            <w:vAlign w:val="center"/>
          </w:tcPr>
          <w:p w:rsidR="00ED12C2" w:rsidRPr="00F05470" w:rsidRDefault="00ED12C2" w:rsidP="00ED12C2">
            <w:pPr>
              <w:jc w:val="both"/>
              <w:rPr>
                <w:rFonts w:ascii="Calibri" w:hAnsi="Calibri" w:cs="Calibri"/>
                <w:sz w:val="20"/>
              </w:rPr>
            </w:pPr>
            <w:r w:rsidRPr="00F05470">
              <w:rPr>
                <w:rFonts w:ascii="Calibri" w:hAnsi="Calibri" w:cs="Calibri"/>
                <w:sz w:val="20"/>
              </w:rPr>
              <w:t>n</w:t>
            </w:r>
            <w:r w:rsidRPr="00F05470">
              <w:rPr>
                <w:rFonts w:ascii="Calibri" w:hAnsi="Calibri" w:cs="Calibri"/>
                <w:sz w:val="20"/>
                <w:vertAlign w:val="subscript"/>
              </w:rPr>
              <w:t>N</w:t>
            </w:r>
            <w:r w:rsidRPr="00F05470">
              <w:rPr>
                <w:rFonts w:ascii="Calibri" w:hAnsi="Calibri" w:cs="Calibri"/>
                <w:sz w:val="20"/>
              </w:rPr>
              <w:t xml:space="preserve"> =</w:t>
            </w:r>
          </w:p>
        </w:tc>
        <w:tc>
          <w:tcPr>
            <w:tcW w:w="1985" w:type="dxa"/>
            <w:gridSpan w:val="2"/>
            <w:tcBorders>
              <w:top w:val="single" w:sz="4" w:space="0" w:color="auto"/>
              <w:left w:val="single" w:sz="8" w:space="0" w:color="auto"/>
              <w:bottom w:val="single" w:sz="18" w:space="0" w:color="auto"/>
              <w:right w:val="single" w:sz="8" w:space="0" w:color="000000"/>
            </w:tcBorders>
            <w:vAlign w:val="center"/>
          </w:tcPr>
          <w:p w:rsidR="00ED12C2" w:rsidRPr="00F05470" w:rsidRDefault="00ED12C2" w:rsidP="00ED12C2">
            <w:pPr>
              <w:jc w:val="both"/>
              <w:rPr>
                <w:rFonts w:ascii="Calibri" w:hAnsi="Calibri" w:cs="Calibri"/>
                <w:sz w:val="20"/>
              </w:rPr>
            </w:pPr>
            <w:r w:rsidRPr="00F05470">
              <w:rPr>
                <w:rFonts w:ascii="Calibri" w:hAnsi="Calibri" w:cs="Calibri"/>
                <w:sz w:val="20"/>
              </w:rPr>
              <w:t>0,50</w:t>
            </w:r>
          </w:p>
        </w:tc>
        <w:tc>
          <w:tcPr>
            <w:tcW w:w="1417" w:type="dxa"/>
            <w:tcBorders>
              <w:top w:val="single" w:sz="4" w:space="0" w:color="auto"/>
              <w:left w:val="single" w:sz="8" w:space="0" w:color="auto"/>
              <w:bottom w:val="single" w:sz="18" w:space="0" w:color="auto"/>
              <w:right w:val="single" w:sz="18" w:space="0" w:color="auto"/>
            </w:tcBorders>
            <w:vAlign w:val="center"/>
          </w:tcPr>
          <w:p w:rsidR="00ED12C2" w:rsidRPr="00F05470" w:rsidRDefault="00ED12C2" w:rsidP="00ED12C2">
            <w:pPr>
              <w:jc w:val="both"/>
              <w:rPr>
                <w:rFonts w:ascii="Calibri" w:hAnsi="Calibri" w:cs="Calibri"/>
                <w:sz w:val="20"/>
              </w:rPr>
            </w:pPr>
            <w:r w:rsidRPr="00F05470">
              <w:rPr>
                <w:rFonts w:ascii="Calibri" w:hAnsi="Calibri" w:cs="Calibri"/>
                <w:bCs/>
                <w:i/>
                <w:sz w:val="20"/>
              </w:rPr>
              <w:t>NEVYHOVUJE</w:t>
            </w:r>
          </w:p>
        </w:tc>
      </w:tr>
    </w:tbl>
    <w:p w:rsidR="00ED12C2" w:rsidRPr="00F05470" w:rsidRDefault="00ED12C2" w:rsidP="00ED12C2">
      <w:pPr>
        <w:jc w:val="both"/>
        <w:rPr>
          <w:rFonts w:ascii="Calibri" w:hAnsi="Calibri" w:cs="Calibri"/>
          <w:sz w:val="20"/>
        </w:rPr>
      </w:pPr>
    </w:p>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sz w:val="20"/>
        </w:rPr>
      </w:pPr>
      <w:r w:rsidRPr="00F05470">
        <w:rPr>
          <w:rFonts w:ascii="Calibri" w:hAnsi="Calibri" w:cs="Calibri"/>
          <w:b/>
          <w:sz w:val="20"/>
        </w:rPr>
        <w:t xml:space="preserve">Požiadavka NIE JE SPLNENÁ. Kritérium výmeny vzduchu je potrebne zabezpečiť pomocou vetrania tak aby spĺňalo normy STN 73 0540. </w:t>
      </w:r>
    </w:p>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color w:val="FF0000"/>
          <w:sz w:val="20"/>
        </w:rPr>
      </w:pPr>
      <w:r w:rsidRPr="00F05470">
        <w:rPr>
          <w:rFonts w:ascii="Calibri" w:hAnsi="Calibri" w:cs="Calibri"/>
          <w:b/>
          <w:sz w:val="20"/>
        </w:rPr>
        <w:t xml:space="preserve">V projekte sa uvažuje s prirodzeným vetraním, ktoré ZABEZPEČÍ potrebnú výmenu vzduchu n </w:t>
      </w:r>
      <w:r w:rsidRPr="00F05470">
        <w:rPr>
          <w:rFonts w:ascii="Calibri" w:hAnsi="Calibri" w:cs="Calibri"/>
          <w:b/>
          <w:bCs/>
          <w:sz w:val="20"/>
        </w:rPr>
        <w:t xml:space="preserve">&gt; </w:t>
      </w:r>
      <w:r w:rsidRPr="00F05470">
        <w:rPr>
          <w:rFonts w:ascii="Calibri" w:hAnsi="Calibri" w:cs="Calibri"/>
          <w:b/>
          <w:sz w:val="20"/>
        </w:rPr>
        <w:t>n</w:t>
      </w:r>
      <w:r w:rsidRPr="00F05470">
        <w:rPr>
          <w:rFonts w:ascii="Calibri" w:hAnsi="Calibri" w:cs="Calibri"/>
          <w:b/>
          <w:sz w:val="20"/>
          <w:vertAlign w:val="subscript"/>
        </w:rPr>
        <w:t>N</w:t>
      </w:r>
      <w:r w:rsidRPr="00F05470">
        <w:rPr>
          <w:rFonts w:ascii="Calibri" w:hAnsi="Calibri" w:cs="Calibri"/>
          <w:b/>
          <w:sz w:val="20"/>
        </w:rPr>
        <w:t xml:space="preserve"> = 0,50 1/h.</w:t>
      </w:r>
    </w:p>
    <w:p w:rsidR="00ED12C2" w:rsidRPr="00F0547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color w:val="FF0000"/>
          <w:sz w:val="20"/>
        </w:rPr>
      </w:pPr>
      <w:r w:rsidRPr="00F05470">
        <w:rPr>
          <w:rFonts w:ascii="Calibri" w:hAnsi="Calibri" w:cs="Calibri"/>
          <w:b/>
          <w:color w:val="FF0000"/>
          <w:sz w:val="20"/>
        </w:rPr>
        <w:tab/>
        <w:t xml:space="preserve"> </w:t>
      </w:r>
    </w:p>
    <w:p w:rsidR="00ED12C2" w:rsidRPr="00F05470" w:rsidRDefault="00ED12C2" w:rsidP="00ED12C2">
      <w:pPr>
        <w:pStyle w:val="Nadpis2"/>
        <w:numPr>
          <w:ilvl w:val="0"/>
          <w:numId w:val="0"/>
        </w:numPr>
        <w:jc w:val="both"/>
        <w:rPr>
          <w:rFonts w:ascii="Calibri" w:hAnsi="Calibri" w:cs="Calibri"/>
          <w:szCs w:val="20"/>
        </w:rPr>
      </w:pPr>
      <w:bookmarkStart w:id="147" w:name="_Toc1907037"/>
      <w:r w:rsidRPr="00F05470">
        <w:rPr>
          <w:rFonts w:ascii="Calibri" w:hAnsi="Calibri" w:cs="Calibri"/>
          <w:szCs w:val="20"/>
        </w:rPr>
        <w:t>5.3 Vyhodnotenie energetického kritéria podľa STN EN 73 0540</w:t>
      </w:r>
      <w:bookmarkEnd w:id="147"/>
    </w:p>
    <w:tbl>
      <w:tblPr>
        <w:tblW w:w="9224" w:type="dxa"/>
        <w:tblInd w:w="60" w:type="dxa"/>
        <w:tblCellMar>
          <w:left w:w="70" w:type="dxa"/>
          <w:right w:w="70" w:type="dxa"/>
        </w:tblCellMar>
        <w:tblLook w:val="04A0" w:firstRow="1" w:lastRow="0" w:firstColumn="1" w:lastColumn="0" w:noHBand="0" w:noVBand="1"/>
      </w:tblPr>
      <w:tblGrid>
        <w:gridCol w:w="1629"/>
        <w:gridCol w:w="1358"/>
        <w:gridCol w:w="1418"/>
        <w:gridCol w:w="1417"/>
        <w:gridCol w:w="709"/>
        <w:gridCol w:w="1276"/>
        <w:gridCol w:w="1417"/>
      </w:tblGrid>
      <w:tr w:rsidR="00ED12C2" w:rsidRPr="00F05470" w:rsidTr="00ED12C2">
        <w:trPr>
          <w:trHeight w:val="620"/>
        </w:trPr>
        <w:tc>
          <w:tcPr>
            <w:tcW w:w="9224" w:type="dxa"/>
            <w:gridSpan w:val="7"/>
            <w:tcBorders>
              <w:top w:val="single" w:sz="18" w:space="0" w:color="auto"/>
              <w:left w:val="single" w:sz="18" w:space="0" w:color="auto"/>
              <w:bottom w:val="single" w:sz="18" w:space="0" w:color="auto"/>
              <w:right w:val="single" w:sz="18" w:space="0" w:color="auto"/>
            </w:tcBorders>
            <w:hideMark/>
          </w:tcPr>
          <w:p w:rsidR="00ED12C2" w:rsidRPr="00F05470" w:rsidRDefault="00ED12C2" w:rsidP="00ED12C2">
            <w:pPr>
              <w:jc w:val="both"/>
              <w:rPr>
                <w:rFonts w:ascii="Calibri" w:hAnsi="Calibri" w:cs="Calibri"/>
                <w:b/>
                <w:bCs/>
                <w:sz w:val="20"/>
              </w:rPr>
            </w:pPr>
            <w:r w:rsidRPr="00F05470">
              <w:rPr>
                <w:rFonts w:ascii="Calibri" w:hAnsi="Calibri" w:cs="Calibri"/>
                <w:b/>
                <w:bCs/>
                <w:sz w:val="20"/>
              </w:rPr>
              <w:t xml:space="preserve">Energetické hodnotenie budov </w:t>
            </w:r>
            <w:r w:rsidRPr="00F05470">
              <w:rPr>
                <w:rFonts w:ascii="Calibri" w:hAnsi="Calibri" w:cs="Calibri"/>
                <w:b/>
                <w:bCs/>
                <w:sz w:val="20"/>
              </w:rPr>
              <w:br/>
              <w:t xml:space="preserve">STN 73 0540-2: 2012, STN EN ISO 13 790:2009 </w:t>
            </w:r>
          </w:p>
        </w:tc>
      </w:tr>
      <w:tr w:rsidR="00ED12C2" w:rsidRPr="00F05470" w:rsidTr="00ED12C2">
        <w:trPr>
          <w:trHeight w:val="300"/>
        </w:trPr>
        <w:tc>
          <w:tcPr>
            <w:tcW w:w="6531" w:type="dxa"/>
            <w:gridSpan w:val="5"/>
            <w:tcBorders>
              <w:top w:val="single" w:sz="18" w:space="0" w:color="auto"/>
              <w:left w:val="single" w:sz="18" w:space="0" w:color="auto"/>
              <w:bottom w:val="single" w:sz="4" w:space="0" w:color="auto"/>
              <w:right w:val="single" w:sz="4" w:space="0" w:color="000000"/>
            </w:tcBorders>
            <w:vAlign w:val="center"/>
            <w:hideMark/>
          </w:tcPr>
          <w:p w:rsidR="00ED12C2" w:rsidRPr="00F05470" w:rsidRDefault="00ED12C2" w:rsidP="00ED12C2">
            <w:pPr>
              <w:jc w:val="both"/>
              <w:rPr>
                <w:rFonts w:ascii="Calibri" w:hAnsi="Calibri" w:cs="Calibri"/>
                <w:b/>
                <w:bCs/>
                <w:sz w:val="20"/>
              </w:rPr>
            </w:pPr>
            <w:r w:rsidRPr="00F05470">
              <w:rPr>
                <w:rFonts w:ascii="Calibri" w:hAnsi="Calibri" w:cs="Calibri"/>
                <w:b/>
                <w:bCs/>
                <w:sz w:val="20"/>
              </w:rPr>
              <w:t xml:space="preserve">Obostavaný objem [m³]:  </w:t>
            </w:r>
          </w:p>
        </w:tc>
        <w:tc>
          <w:tcPr>
            <w:tcW w:w="1276" w:type="dxa"/>
            <w:tcBorders>
              <w:top w:val="single" w:sz="18" w:space="0" w:color="auto"/>
              <w:left w:val="nil"/>
              <w:bottom w:val="single" w:sz="4" w:space="0" w:color="auto"/>
              <w:right w:val="single" w:sz="4" w:space="0" w:color="000000"/>
            </w:tcBorders>
            <w:noWrap/>
            <w:vAlign w:val="center"/>
            <w:hideMark/>
          </w:tcPr>
          <w:p w:rsidR="00ED12C2" w:rsidRPr="00F05470" w:rsidRDefault="00ED12C2" w:rsidP="00ED12C2">
            <w:pPr>
              <w:jc w:val="both"/>
              <w:rPr>
                <w:rFonts w:ascii="Calibri" w:hAnsi="Calibri" w:cs="Calibri"/>
                <w:i/>
                <w:iCs/>
                <w:sz w:val="20"/>
              </w:rPr>
            </w:pPr>
            <w:r w:rsidRPr="00F05470">
              <w:rPr>
                <w:rFonts w:ascii="Calibri" w:hAnsi="Calibri" w:cs="Calibri"/>
                <w:i/>
                <w:iCs/>
                <w:sz w:val="20"/>
              </w:rPr>
              <w:t>V</w:t>
            </w:r>
            <w:r w:rsidRPr="00F05470">
              <w:rPr>
                <w:rFonts w:ascii="Calibri" w:hAnsi="Calibri" w:cs="Calibri"/>
                <w:sz w:val="20"/>
                <w:vertAlign w:val="subscript"/>
              </w:rPr>
              <w:t>b</w:t>
            </w:r>
            <w:r w:rsidRPr="00F05470">
              <w:rPr>
                <w:rFonts w:ascii="Calibri" w:hAnsi="Calibri" w:cs="Calibri"/>
                <w:sz w:val="20"/>
              </w:rPr>
              <w:t xml:space="preserve"> = </w:t>
            </w:r>
          </w:p>
        </w:tc>
        <w:tc>
          <w:tcPr>
            <w:tcW w:w="1417" w:type="dxa"/>
            <w:tcBorders>
              <w:top w:val="single" w:sz="18" w:space="0" w:color="auto"/>
              <w:left w:val="nil"/>
              <w:bottom w:val="single" w:sz="4" w:space="0" w:color="auto"/>
              <w:right w:val="single" w:sz="18" w:space="0" w:color="auto"/>
            </w:tcBorders>
            <w:noWrap/>
            <w:vAlign w:val="bottom"/>
            <w:hideMark/>
          </w:tcPr>
          <w:p w:rsidR="00ED12C2" w:rsidRPr="00F05470" w:rsidRDefault="00ED12C2" w:rsidP="00ED12C2">
            <w:pPr>
              <w:jc w:val="both"/>
              <w:rPr>
                <w:rFonts w:ascii="Calibri" w:hAnsi="Calibri" w:cs="Calibri"/>
                <w:sz w:val="20"/>
              </w:rPr>
            </w:pPr>
            <w:r w:rsidRPr="00F05470">
              <w:rPr>
                <w:rFonts w:ascii="Calibri" w:hAnsi="Calibri" w:cs="Calibri"/>
                <w:sz w:val="20"/>
              </w:rPr>
              <w:t>530,26</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center"/>
            <w:hideMark/>
          </w:tcPr>
          <w:p w:rsidR="00ED12C2" w:rsidRPr="00F05470" w:rsidRDefault="00ED12C2" w:rsidP="00ED12C2">
            <w:pPr>
              <w:jc w:val="both"/>
              <w:rPr>
                <w:rFonts w:ascii="Calibri" w:hAnsi="Calibri" w:cs="Calibri"/>
                <w:b/>
                <w:bCs/>
                <w:sz w:val="20"/>
              </w:rPr>
            </w:pPr>
            <w:r w:rsidRPr="00F05470">
              <w:rPr>
                <w:rFonts w:ascii="Calibri" w:hAnsi="Calibri" w:cs="Calibri"/>
                <w:b/>
                <w:bCs/>
                <w:sz w:val="20"/>
              </w:rPr>
              <w:t>Podlahová plocha [m</w:t>
            </w:r>
            <w:r w:rsidRPr="00F05470">
              <w:rPr>
                <w:rFonts w:ascii="Calibri" w:hAnsi="Calibri" w:cs="Calibri"/>
                <w:b/>
                <w:bCs/>
                <w:sz w:val="20"/>
                <w:vertAlign w:val="superscript"/>
              </w:rPr>
              <w:t>2</w:t>
            </w:r>
            <w:r w:rsidRPr="00F05470">
              <w:rPr>
                <w:rFonts w:ascii="Calibri" w:hAnsi="Calibri" w:cs="Calibri"/>
                <w:b/>
                <w:bCs/>
                <w:sz w:val="20"/>
              </w:rPr>
              <w:t xml:space="preserve">]:  </w:t>
            </w:r>
          </w:p>
        </w:tc>
        <w:tc>
          <w:tcPr>
            <w:tcW w:w="1276" w:type="dxa"/>
            <w:tcBorders>
              <w:top w:val="single" w:sz="4" w:space="0" w:color="auto"/>
              <w:left w:val="nil"/>
              <w:bottom w:val="single" w:sz="4" w:space="0" w:color="auto"/>
              <w:right w:val="single" w:sz="4" w:space="0" w:color="000000"/>
            </w:tcBorders>
            <w:noWrap/>
            <w:vAlign w:val="bottom"/>
            <w:hideMark/>
          </w:tcPr>
          <w:p w:rsidR="00ED12C2" w:rsidRPr="00F05470" w:rsidRDefault="00ED12C2" w:rsidP="00ED12C2">
            <w:pPr>
              <w:jc w:val="both"/>
              <w:rPr>
                <w:rFonts w:ascii="Calibri" w:hAnsi="Calibri" w:cs="Calibri"/>
                <w:sz w:val="20"/>
              </w:rPr>
            </w:pPr>
            <w:r w:rsidRPr="00F05470">
              <w:rPr>
                <w:rFonts w:ascii="Calibri" w:hAnsi="Calibri" w:cs="Calibri"/>
                <w:sz w:val="20"/>
              </w:rPr>
              <w:t>A</w:t>
            </w:r>
            <w:r w:rsidRPr="00F05470">
              <w:rPr>
                <w:rFonts w:ascii="Calibri" w:hAnsi="Calibri" w:cs="Calibri"/>
                <w:sz w:val="20"/>
                <w:vertAlign w:val="subscript"/>
              </w:rPr>
              <w:t>b</w:t>
            </w:r>
            <w:r w:rsidRPr="00F05470">
              <w:rPr>
                <w:rFonts w:ascii="Calibri" w:hAnsi="Calibri" w:cs="Calibri"/>
                <w:sz w:val="20"/>
              </w:rPr>
              <w:t xml:space="preserve"> =   </w:t>
            </w:r>
          </w:p>
        </w:tc>
        <w:tc>
          <w:tcPr>
            <w:tcW w:w="1417" w:type="dxa"/>
            <w:tcBorders>
              <w:top w:val="single" w:sz="4" w:space="0" w:color="auto"/>
              <w:left w:val="nil"/>
              <w:bottom w:val="single" w:sz="4" w:space="0" w:color="auto"/>
              <w:right w:val="single" w:sz="18" w:space="0" w:color="auto"/>
            </w:tcBorders>
            <w:noWrap/>
            <w:vAlign w:val="bottom"/>
            <w:hideMark/>
          </w:tcPr>
          <w:p w:rsidR="00ED12C2" w:rsidRPr="00F05470" w:rsidRDefault="00ED12C2" w:rsidP="00ED12C2">
            <w:pPr>
              <w:jc w:val="both"/>
              <w:rPr>
                <w:rFonts w:ascii="Calibri" w:hAnsi="Calibri" w:cs="Calibri"/>
                <w:sz w:val="20"/>
              </w:rPr>
            </w:pPr>
            <w:r w:rsidRPr="00F05470">
              <w:rPr>
                <w:rFonts w:ascii="Calibri" w:hAnsi="Calibri" w:cs="Calibri"/>
                <w:sz w:val="20"/>
              </w:rPr>
              <w:t>156,20</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hideMark/>
          </w:tcPr>
          <w:p w:rsidR="00ED12C2" w:rsidRPr="00F05470" w:rsidRDefault="00ED12C2" w:rsidP="00ED12C2">
            <w:pPr>
              <w:jc w:val="both"/>
              <w:rPr>
                <w:rFonts w:ascii="Calibri" w:hAnsi="Calibri" w:cs="Calibri"/>
                <w:b/>
                <w:bCs/>
                <w:sz w:val="20"/>
              </w:rPr>
            </w:pPr>
            <w:r w:rsidRPr="00F05470">
              <w:rPr>
                <w:rFonts w:ascii="Calibri" w:hAnsi="Calibri" w:cs="Calibri"/>
                <w:b/>
                <w:bCs/>
                <w:sz w:val="20"/>
              </w:rPr>
              <w:lastRenderedPageBreak/>
              <w:t xml:space="preserve">Priemerná konštrukčná výška vykurovaných podľaží  [m]: </w:t>
            </w:r>
          </w:p>
        </w:tc>
        <w:tc>
          <w:tcPr>
            <w:tcW w:w="1276" w:type="dxa"/>
            <w:tcBorders>
              <w:top w:val="single" w:sz="4" w:space="0" w:color="auto"/>
              <w:left w:val="nil"/>
              <w:bottom w:val="single" w:sz="4" w:space="0" w:color="auto"/>
              <w:right w:val="single" w:sz="4" w:space="0" w:color="000000"/>
            </w:tcBorders>
            <w:noWrap/>
            <w:vAlign w:val="bottom"/>
            <w:hideMark/>
          </w:tcPr>
          <w:p w:rsidR="00ED12C2" w:rsidRPr="00F05470" w:rsidRDefault="00ED12C2" w:rsidP="00ED12C2">
            <w:pPr>
              <w:jc w:val="both"/>
              <w:rPr>
                <w:rFonts w:ascii="Calibri" w:hAnsi="Calibri" w:cs="Calibri"/>
                <w:sz w:val="20"/>
              </w:rPr>
            </w:pPr>
            <w:r w:rsidRPr="00F05470">
              <w:rPr>
                <w:rFonts w:ascii="Calibri" w:hAnsi="Calibri" w:cs="Calibri"/>
                <w:sz w:val="20"/>
              </w:rPr>
              <w:t>h</w:t>
            </w:r>
            <w:r w:rsidRPr="00F05470">
              <w:rPr>
                <w:rFonts w:ascii="Calibri" w:hAnsi="Calibri" w:cs="Calibri"/>
                <w:sz w:val="20"/>
                <w:vertAlign w:val="subscript"/>
              </w:rPr>
              <w:t>k,m</w:t>
            </w:r>
            <w:r w:rsidRPr="00F05470">
              <w:rPr>
                <w:rFonts w:ascii="Calibri" w:hAnsi="Calibri" w:cs="Calibri"/>
                <w:sz w:val="20"/>
              </w:rPr>
              <w:t xml:space="preserve"> =  </w:t>
            </w:r>
          </w:p>
        </w:tc>
        <w:tc>
          <w:tcPr>
            <w:tcW w:w="1417" w:type="dxa"/>
            <w:tcBorders>
              <w:top w:val="single" w:sz="4" w:space="0" w:color="auto"/>
              <w:left w:val="nil"/>
              <w:bottom w:val="single" w:sz="4" w:space="0" w:color="auto"/>
              <w:right w:val="single" w:sz="18" w:space="0" w:color="auto"/>
            </w:tcBorders>
            <w:noWrap/>
            <w:vAlign w:val="bottom"/>
            <w:hideMark/>
          </w:tcPr>
          <w:p w:rsidR="00ED12C2" w:rsidRPr="00F05470" w:rsidRDefault="00ED12C2" w:rsidP="00ED12C2">
            <w:pPr>
              <w:jc w:val="both"/>
              <w:rPr>
                <w:rFonts w:ascii="Calibri" w:hAnsi="Calibri" w:cs="Calibri"/>
                <w:sz w:val="20"/>
              </w:rPr>
            </w:pPr>
            <w:r w:rsidRPr="00F05470">
              <w:rPr>
                <w:rFonts w:ascii="Calibri" w:hAnsi="Calibri" w:cs="Calibri"/>
                <w:sz w:val="20"/>
              </w:rPr>
              <w:t>3,40</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Merná tepelná strata [W/K]:</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H</w:t>
            </w:r>
            <w:r w:rsidRPr="00F05470">
              <w:rPr>
                <w:rFonts w:ascii="Calibri" w:hAnsi="Calibri" w:cs="Calibri"/>
                <w:sz w:val="20"/>
                <w:vertAlign w:val="subscript"/>
              </w:rPr>
              <w:t>T</w:t>
            </w:r>
            <w:r w:rsidRPr="00F05470">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73,91</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Merná tepelná strata vetraním [W/K]:</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H</w:t>
            </w:r>
            <w:r w:rsidRPr="00F05470">
              <w:rPr>
                <w:rFonts w:ascii="Calibri" w:hAnsi="Calibri" w:cs="Calibri"/>
                <w:sz w:val="20"/>
                <w:vertAlign w:val="subscript"/>
              </w:rPr>
              <w:t>V</w:t>
            </w:r>
            <w:r w:rsidRPr="00F05470">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52,50</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 xml:space="preserve">Merná tepelná strata [W/K]:  </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H =</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126,41</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Solárne zisky [ kWh]:</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S</w:t>
            </w:r>
            <w:r w:rsidRPr="00F05470">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1872,98</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Vnútorné zisky [ kWh]:</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i</w:t>
            </w:r>
            <w:r w:rsidRPr="00F05470">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4768,47</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Celkové vnútorné zisky [kWh]:</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i</w:t>
            </w:r>
            <w:r w:rsidRPr="00F05470">
              <w:rPr>
                <w:rFonts w:ascii="Calibri" w:hAnsi="Calibri" w:cs="Calibri"/>
                <w:sz w:val="20"/>
              </w:rPr>
              <w:t xml:space="preserve"> + Q</w:t>
            </w:r>
            <w:r w:rsidRPr="00F05470">
              <w:rPr>
                <w:rFonts w:ascii="Calibri" w:hAnsi="Calibri" w:cs="Calibri"/>
                <w:sz w:val="20"/>
                <w:vertAlign w:val="subscript"/>
              </w:rPr>
              <w:t>s</w:t>
            </w:r>
            <w:r w:rsidRPr="00F05470">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6641,45</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Potreba tepla na vykurovanie [kWh/rok]:</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H</w:t>
            </w:r>
            <w:r w:rsidRPr="00F05470">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4403,92</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Merná potreba tepla na vykurovanie [kWh/(m2.rok)]:</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 xml:space="preserve">H,nd1 </w:t>
            </w:r>
            <w:r w:rsidRPr="00F05470">
              <w:rPr>
                <w:rFonts w:ascii="Calibri" w:hAnsi="Calibri" w:cs="Calibri"/>
                <w:sz w:val="20"/>
              </w:rPr>
              <w:t>=</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28,19</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Merná potreba tepla na vykurovanie [kWh/(m3.rok)]:</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 xml:space="preserve">H,nd2 </w:t>
            </w:r>
            <w:r w:rsidRPr="00F05470">
              <w:rPr>
                <w:rFonts w:ascii="Calibri" w:hAnsi="Calibri" w:cs="Calibri"/>
                <w:sz w:val="20"/>
              </w:rPr>
              <w:t>=</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8,31</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Faktor tvaru budovy:</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ΣA</w:t>
            </w:r>
            <w:r w:rsidRPr="00F05470">
              <w:rPr>
                <w:rFonts w:ascii="Calibri" w:hAnsi="Calibri" w:cs="Calibri"/>
                <w:sz w:val="20"/>
                <w:vertAlign w:val="subscript"/>
              </w:rPr>
              <w:t>i</w:t>
            </w:r>
            <w:r w:rsidRPr="00F05470">
              <w:rPr>
                <w:rFonts w:ascii="Calibri" w:hAnsi="Calibri" w:cs="Calibri"/>
                <w:sz w:val="20"/>
              </w:rPr>
              <w:t>/V</w:t>
            </w:r>
            <w:r w:rsidRPr="00F05470">
              <w:rPr>
                <w:rFonts w:ascii="Calibri" w:hAnsi="Calibri" w:cs="Calibri"/>
                <w:sz w:val="20"/>
                <w:vertAlign w:val="subscript"/>
              </w:rPr>
              <w:t>b</w:t>
            </w:r>
            <w:r w:rsidRPr="00F05470">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0,73</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Normalizovaná hodnota  [kWh/(m2. rok)]:</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 xml:space="preserve">H,nd, N1 </w:t>
            </w:r>
            <w:r w:rsidRPr="00F05470">
              <w:rPr>
                <w:rFonts w:ascii="Calibri" w:hAnsi="Calibri" w:cs="Calibri"/>
                <w:sz w:val="20"/>
              </w:rPr>
              <w:t>=</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40,37</w:t>
            </w:r>
          </w:p>
        </w:tc>
      </w:tr>
      <w:tr w:rsidR="00ED12C2" w:rsidRPr="00F05470" w:rsidTr="00ED12C2">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Normalizovaná hodnota  [kWh/(m3. rok)]:</w:t>
            </w:r>
          </w:p>
        </w:tc>
        <w:tc>
          <w:tcPr>
            <w:tcW w:w="1276" w:type="dxa"/>
            <w:tcBorders>
              <w:top w:val="single" w:sz="4" w:space="0" w:color="auto"/>
              <w:left w:val="nil"/>
              <w:bottom w:val="single" w:sz="4"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 xml:space="preserve">H,nd, N2 </w:t>
            </w:r>
            <w:r w:rsidRPr="00F05470">
              <w:rPr>
                <w:rFonts w:ascii="Calibri" w:hAnsi="Calibri" w:cs="Calibri"/>
                <w:sz w:val="20"/>
              </w:rPr>
              <w:t>=</w:t>
            </w:r>
          </w:p>
        </w:tc>
        <w:tc>
          <w:tcPr>
            <w:tcW w:w="1417" w:type="dxa"/>
            <w:tcBorders>
              <w:top w:val="single" w:sz="4" w:space="0" w:color="auto"/>
              <w:left w:val="nil"/>
              <w:bottom w:val="single" w:sz="4"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14,42</w:t>
            </w:r>
          </w:p>
        </w:tc>
      </w:tr>
      <w:tr w:rsidR="00ED12C2" w:rsidRPr="00F05470" w:rsidTr="00ED12C2">
        <w:trPr>
          <w:trHeight w:val="300"/>
        </w:trPr>
        <w:tc>
          <w:tcPr>
            <w:tcW w:w="6531" w:type="dxa"/>
            <w:gridSpan w:val="5"/>
            <w:tcBorders>
              <w:top w:val="single" w:sz="4" w:space="0" w:color="auto"/>
              <w:left w:val="single" w:sz="18" w:space="0" w:color="auto"/>
              <w:bottom w:val="single" w:sz="18" w:space="0" w:color="auto"/>
              <w:right w:val="single" w:sz="4" w:space="0" w:color="000000"/>
            </w:tcBorders>
            <w:noWrap/>
            <w:vAlign w:val="bottom"/>
          </w:tcPr>
          <w:p w:rsidR="00ED12C2" w:rsidRPr="00F05470" w:rsidRDefault="00ED12C2" w:rsidP="00ED12C2">
            <w:pPr>
              <w:jc w:val="both"/>
              <w:rPr>
                <w:rFonts w:ascii="Calibri" w:hAnsi="Calibri" w:cs="Calibri"/>
                <w:b/>
                <w:bCs/>
                <w:sz w:val="20"/>
              </w:rPr>
            </w:pPr>
            <w:r w:rsidRPr="00F05470">
              <w:rPr>
                <w:rFonts w:ascii="Calibri" w:hAnsi="Calibri" w:cs="Calibri"/>
                <w:b/>
                <w:bCs/>
                <w:sz w:val="20"/>
              </w:rPr>
              <w:t>Normalizovaná hodnota  [kWh/(m2. rok)]:</w:t>
            </w:r>
          </w:p>
        </w:tc>
        <w:tc>
          <w:tcPr>
            <w:tcW w:w="1276" w:type="dxa"/>
            <w:tcBorders>
              <w:top w:val="single" w:sz="4" w:space="0" w:color="auto"/>
              <w:left w:val="nil"/>
              <w:bottom w:val="single" w:sz="18" w:space="0" w:color="auto"/>
              <w:right w:val="single" w:sz="4" w:space="0" w:color="000000"/>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N,EP</w:t>
            </w:r>
            <w:r w:rsidRPr="00F05470">
              <w:rPr>
                <w:rFonts w:ascii="Calibri" w:hAnsi="Calibri" w:cs="Calibri"/>
                <w:sz w:val="20"/>
              </w:rPr>
              <w:t>=</w:t>
            </w:r>
          </w:p>
        </w:tc>
        <w:tc>
          <w:tcPr>
            <w:tcW w:w="1417" w:type="dxa"/>
            <w:tcBorders>
              <w:top w:val="single" w:sz="4" w:space="0" w:color="auto"/>
              <w:left w:val="nil"/>
              <w:bottom w:val="single" w:sz="18" w:space="0" w:color="auto"/>
              <w:right w:val="single" w:sz="18" w:space="0" w:color="auto"/>
            </w:tcBorders>
            <w:noWrap/>
            <w:vAlign w:val="bottom"/>
          </w:tcPr>
          <w:p w:rsidR="00ED12C2" w:rsidRPr="00F05470" w:rsidRDefault="00ED12C2" w:rsidP="00ED12C2">
            <w:pPr>
              <w:jc w:val="both"/>
              <w:rPr>
                <w:rFonts w:ascii="Calibri" w:hAnsi="Calibri" w:cs="Calibri"/>
                <w:sz w:val="20"/>
              </w:rPr>
            </w:pPr>
            <w:r w:rsidRPr="00F05470">
              <w:rPr>
                <w:rFonts w:ascii="Calibri" w:hAnsi="Calibri" w:cs="Calibri"/>
                <w:sz w:val="20"/>
              </w:rPr>
              <w:t>33,70</w:t>
            </w:r>
          </w:p>
        </w:tc>
      </w:tr>
      <w:tr w:rsidR="00ED12C2" w:rsidRPr="00F05470" w:rsidTr="00ED12C2">
        <w:trPr>
          <w:trHeight w:val="300"/>
        </w:trPr>
        <w:tc>
          <w:tcPr>
            <w:tcW w:w="9224" w:type="dxa"/>
            <w:gridSpan w:val="7"/>
            <w:tcBorders>
              <w:top w:val="single" w:sz="18" w:space="0" w:color="auto"/>
              <w:left w:val="single" w:sz="18" w:space="0" w:color="auto"/>
              <w:bottom w:val="single" w:sz="4" w:space="0" w:color="auto"/>
              <w:right w:val="single" w:sz="18" w:space="0" w:color="auto"/>
            </w:tcBorders>
            <w:noWrap/>
            <w:vAlign w:val="center"/>
          </w:tcPr>
          <w:p w:rsidR="00ED12C2" w:rsidRPr="00F05470" w:rsidRDefault="00ED12C2" w:rsidP="00ED12C2">
            <w:pPr>
              <w:jc w:val="both"/>
              <w:rPr>
                <w:rFonts w:ascii="Calibri" w:hAnsi="Calibri" w:cs="Calibri"/>
                <w:sz w:val="20"/>
              </w:rPr>
            </w:pPr>
            <w:r w:rsidRPr="00F05470">
              <w:rPr>
                <w:rFonts w:ascii="Calibri" w:hAnsi="Calibri" w:cs="Calibri"/>
                <w:b/>
                <w:bCs/>
                <w:sz w:val="20"/>
              </w:rPr>
              <w:t>Hodnotenie potreby tepla na vykurovanie [kWh/(m2.rok)]</w:t>
            </w:r>
          </w:p>
        </w:tc>
      </w:tr>
      <w:tr w:rsidR="00ED12C2" w:rsidRPr="00F05470" w:rsidTr="00ED12C2">
        <w:trPr>
          <w:trHeight w:val="300"/>
        </w:trPr>
        <w:tc>
          <w:tcPr>
            <w:tcW w:w="1629" w:type="dxa"/>
            <w:tcBorders>
              <w:top w:val="single" w:sz="4" w:space="0" w:color="auto"/>
              <w:left w:val="single" w:sz="18" w:space="0" w:color="auto"/>
              <w:bottom w:val="single" w:sz="4" w:space="0" w:color="auto"/>
              <w:right w:val="single" w:sz="8" w:space="0" w:color="000000"/>
            </w:tcBorders>
            <w:noWrap/>
            <w:vAlign w:val="center"/>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 xml:space="preserve">H,nd1 </w:t>
            </w:r>
            <w:r w:rsidRPr="00F05470">
              <w:rPr>
                <w:rFonts w:ascii="Calibri" w:hAnsi="Calibri" w:cs="Calibri"/>
                <w:sz w:val="20"/>
              </w:rPr>
              <w:t>=</w:t>
            </w:r>
          </w:p>
        </w:tc>
        <w:tc>
          <w:tcPr>
            <w:tcW w:w="1358" w:type="dxa"/>
            <w:tcBorders>
              <w:top w:val="single" w:sz="4" w:space="0" w:color="auto"/>
              <w:left w:val="single" w:sz="8" w:space="0" w:color="auto"/>
              <w:bottom w:val="single" w:sz="4" w:space="0" w:color="auto"/>
              <w:right w:val="single" w:sz="8" w:space="0" w:color="000000"/>
            </w:tcBorders>
            <w:vAlign w:val="bottom"/>
          </w:tcPr>
          <w:p w:rsidR="00ED12C2" w:rsidRPr="00F05470" w:rsidRDefault="00ED12C2" w:rsidP="00ED12C2">
            <w:pPr>
              <w:jc w:val="both"/>
              <w:rPr>
                <w:rFonts w:ascii="Calibri" w:hAnsi="Calibri" w:cs="Calibri"/>
                <w:sz w:val="20"/>
              </w:rPr>
            </w:pPr>
            <w:r w:rsidRPr="00F05470">
              <w:rPr>
                <w:rFonts w:ascii="Calibri" w:hAnsi="Calibri" w:cs="Calibri"/>
                <w:sz w:val="20"/>
              </w:rPr>
              <w:t>28,19</w:t>
            </w:r>
          </w:p>
        </w:tc>
        <w:tc>
          <w:tcPr>
            <w:tcW w:w="1418" w:type="dxa"/>
            <w:tcBorders>
              <w:top w:val="single" w:sz="4" w:space="0" w:color="auto"/>
              <w:left w:val="single" w:sz="8" w:space="0" w:color="auto"/>
              <w:bottom w:val="single" w:sz="4" w:space="0" w:color="auto"/>
              <w:right w:val="single" w:sz="8" w:space="0" w:color="000000"/>
            </w:tcBorders>
            <w:vAlign w:val="center"/>
          </w:tcPr>
          <w:p w:rsidR="00ED12C2" w:rsidRPr="00F05470" w:rsidRDefault="00ED12C2" w:rsidP="00ED12C2">
            <w:pPr>
              <w:jc w:val="both"/>
              <w:rPr>
                <w:rFonts w:ascii="Calibri" w:hAnsi="Calibri" w:cs="Calibri"/>
                <w:sz w:val="20"/>
              </w:rPr>
            </w:pPr>
            <w:r w:rsidRPr="00F05470">
              <w:rPr>
                <w:rFonts w:ascii="Calibri" w:hAnsi="Calibri" w:cs="Calibri"/>
                <w:bCs/>
                <w:sz w:val="20"/>
              </w:rPr>
              <w:t>&lt;</w:t>
            </w:r>
          </w:p>
        </w:tc>
        <w:tc>
          <w:tcPr>
            <w:tcW w:w="1417" w:type="dxa"/>
            <w:tcBorders>
              <w:top w:val="single" w:sz="4" w:space="0" w:color="auto"/>
              <w:left w:val="single" w:sz="8" w:space="0" w:color="auto"/>
              <w:bottom w:val="single" w:sz="4" w:space="0" w:color="auto"/>
              <w:right w:val="single" w:sz="8" w:space="0" w:color="000000"/>
            </w:tcBorders>
            <w:vAlign w:val="center"/>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 xml:space="preserve">H,nd, N1 </w:t>
            </w:r>
            <w:r w:rsidRPr="00F05470">
              <w:rPr>
                <w:rFonts w:ascii="Calibri" w:hAnsi="Calibri" w:cs="Calibri"/>
                <w:sz w:val="20"/>
              </w:rPr>
              <w:t>=</w:t>
            </w:r>
          </w:p>
        </w:tc>
        <w:tc>
          <w:tcPr>
            <w:tcW w:w="1985" w:type="dxa"/>
            <w:gridSpan w:val="2"/>
            <w:tcBorders>
              <w:top w:val="single" w:sz="4" w:space="0" w:color="auto"/>
              <w:left w:val="single" w:sz="8" w:space="0" w:color="auto"/>
              <w:bottom w:val="single" w:sz="4" w:space="0" w:color="auto"/>
              <w:right w:val="single" w:sz="8" w:space="0" w:color="000000"/>
            </w:tcBorders>
            <w:vAlign w:val="bottom"/>
          </w:tcPr>
          <w:p w:rsidR="00ED12C2" w:rsidRPr="00F05470" w:rsidRDefault="00ED12C2" w:rsidP="00ED12C2">
            <w:pPr>
              <w:jc w:val="both"/>
              <w:rPr>
                <w:rFonts w:ascii="Calibri" w:hAnsi="Calibri" w:cs="Calibri"/>
                <w:sz w:val="20"/>
              </w:rPr>
            </w:pPr>
            <w:r w:rsidRPr="00F05470">
              <w:rPr>
                <w:rFonts w:ascii="Calibri" w:hAnsi="Calibri" w:cs="Calibri"/>
                <w:sz w:val="20"/>
              </w:rPr>
              <w:t>40,37</w:t>
            </w:r>
          </w:p>
        </w:tc>
        <w:tc>
          <w:tcPr>
            <w:tcW w:w="1417" w:type="dxa"/>
            <w:tcBorders>
              <w:top w:val="single" w:sz="4" w:space="0" w:color="auto"/>
              <w:left w:val="single" w:sz="8" w:space="0" w:color="auto"/>
              <w:bottom w:val="single" w:sz="4" w:space="0" w:color="auto"/>
              <w:right w:val="single" w:sz="18" w:space="0" w:color="auto"/>
            </w:tcBorders>
            <w:vAlign w:val="center"/>
          </w:tcPr>
          <w:p w:rsidR="00ED12C2" w:rsidRPr="00F05470" w:rsidRDefault="00ED12C2" w:rsidP="00ED12C2">
            <w:pPr>
              <w:jc w:val="both"/>
              <w:rPr>
                <w:rFonts w:ascii="Calibri" w:hAnsi="Calibri" w:cs="Calibri"/>
                <w:sz w:val="20"/>
              </w:rPr>
            </w:pPr>
            <w:r w:rsidRPr="00F05470">
              <w:rPr>
                <w:rFonts w:ascii="Calibri" w:hAnsi="Calibri" w:cs="Calibri"/>
                <w:bCs/>
                <w:i/>
                <w:sz w:val="20"/>
              </w:rPr>
              <w:t>VYHOVUJE</w:t>
            </w:r>
          </w:p>
        </w:tc>
      </w:tr>
      <w:tr w:rsidR="00ED12C2" w:rsidRPr="000D00F5" w:rsidTr="00ED12C2">
        <w:trPr>
          <w:trHeight w:val="300"/>
        </w:trPr>
        <w:tc>
          <w:tcPr>
            <w:tcW w:w="1629" w:type="dxa"/>
            <w:tcBorders>
              <w:top w:val="single" w:sz="4" w:space="0" w:color="auto"/>
              <w:left w:val="single" w:sz="18" w:space="0" w:color="auto"/>
              <w:bottom w:val="single" w:sz="4" w:space="0" w:color="auto"/>
              <w:right w:val="single" w:sz="8" w:space="0" w:color="000000"/>
            </w:tcBorders>
            <w:noWrap/>
            <w:vAlign w:val="center"/>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 xml:space="preserve">H,nd2 </w:t>
            </w:r>
            <w:r w:rsidRPr="00F05470">
              <w:rPr>
                <w:rFonts w:ascii="Calibri" w:hAnsi="Calibri" w:cs="Calibri"/>
                <w:sz w:val="20"/>
              </w:rPr>
              <w:t>=</w:t>
            </w:r>
          </w:p>
        </w:tc>
        <w:tc>
          <w:tcPr>
            <w:tcW w:w="1358" w:type="dxa"/>
            <w:tcBorders>
              <w:top w:val="single" w:sz="4" w:space="0" w:color="auto"/>
              <w:left w:val="single" w:sz="8" w:space="0" w:color="auto"/>
              <w:bottom w:val="single" w:sz="4" w:space="0" w:color="auto"/>
              <w:right w:val="single" w:sz="8" w:space="0" w:color="000000"/>
            </w:tcBorders>
            <w:vAlign w:val="bottom"/>
          </w:tcPr>
          <w:p w:rsidR="00ED12C2" w:rsidRPr="00F05470" w:rsidRDefault="00ED12C2" w:rsidP="00ED12C2">
            <w:pPr>
              <w:jc w:val="both"/>
              <w:rPr>
                <w:rFonts w:ascii="Calibri" w:hAnsi="Calibri" w:cs="Calibri"/>
                <w:sz w:val="20"/>
              </w:rPr>
            </w:pPr>
            <w:r w:rsidRPr="00F05470">
              <w:rPr>
                <w:rFonts w:ascii="Calibri" w:hAnsi="Calibri" w:cs="Calibri"/>
                <w:sz w:val="20"/>
              </w:rPr>
              <w:t>8,31</w:t>
            </w:r>
          </w:p>
        </w:tc>
        <w:tc>
          <w:tcPr>
            <w:tcW w:w="1418" w:type="dxa"/>
            <w:tcBorders>
              <w:top w:val="single" w:sz="4" w:space="0" w:color="auto"/>
              <w:left w:val="single" w:sz="8" w:space="0" w:color="auto"/>
              <w:bottom w:val="single" w:sz="4" w:space="0" w:color="auto"/>
              <w:right w:val="single" w:sz="8" w:space="0" w:color="000000"/>
            </w:tcBorders>
            <w:vAlign w:val="center"/>
          </w:tcPr>
          <w:p w:rsidR="00ED12C2" w:rsidRPr="00F05470" w:rsidRDefault="00ED12C2" w:rsidP="00ED12C2">
            <w:pPr>
              <w:jc w:val="both"/>
              <w:rPr>
                <w:rFonts w:ascii="Calibri" w:hAnsi="Calibri" w:cs="Calibri"/>
                <w:sz w:val="20"/>
              </w:rPr>
            </w:pPr>
            <w:r w:rsidRPr="00F05470">
              <w:rPr>
                <w:rFonts w:ascii="Calibri" w:hAnsi="Calibri" w:cs="Calibri"/>
                <w:bCs/>
                <w:sz w:val="20"/>
              </w:rPr>
              <w:t>&lt;</w:t>
            </w:r>
          </w:p>
        </w:tc>
        <w:tc>
          <w:tcPr>
            <w:tcW w:w="1417" w:type="dxa"/>
            <w:tcBorders>
              <w:top w:val="single" w:sz="4" w:space="0" w:color="auto"/>
              <w:left w:val="single" w:sz="8" w:space="0" w:color="auto"/>
              <w:bottom w:val="single" w:sz="4" w:space="0" w:color="auto"/>
              <w:right w:val="single" w:sz="8" w:space="0" w:color="000000"/>
            </w:tcBorders>
            <w:vAlign w:val="center"/>
          </w:tcPr>
          <w:p w:rsidR="00ED12C2" w:rsidRPr="00F05470" w:rsidRDefault="00ED12C2" w:rsidP="00ED12C2">
            <w:pPr>
              <w:jc w:val="both"/>
              <w:rPr>
                <w:rFonts w:ascii="Calibri" w:hAnsi="Calibri" w:cs="Calibri"/>
                <w:sz w:val="20"/>
              </w:rPr>
            </w:pPr>
            <w:r w:rsidRPr="00F05470">
              <w:rPr>
                <w:rFonts w:ascii="Calibri" w:hAnsi="Calibri" w:cs="Calibri"/>
                <w:sz w:val="20"/>
              </w:rPr>
              <w:t>Q</w:t>
            </w:r>
            <w:r w:rsidRPr="00F05470">
              <w:rPr>
                <w:rFonts w:ascii="Calibri" w:hAnsi="Calibri" w:cs="Calibri"/>
                <w:sz w:val="20"/>
                <w:vertAlign w:val="subscript"/>
              </w:rPr>
              <w:t xml:space="preserve">H,nd, N2 </w:t>
            </w:r>
            <w:r w:rsidRPr="00F05470">
              <w:rPr>
                <w:rFonts w:ascii="Calibri" w:hAnsi="Calibri" w:cs="Calibri"/>
                <w:sz w:val="20"/>
              </w:rPr>
              <w:t>=</w:t>
            </w:r>
          </w:p>
        </w:tc>
        <w:tc>
          <w:tcPr>
            <w:tcW w:w="1985" w:type="dxa"/>
            <w:gridSpan w:val="2"/>
            <w:tcBorders>
              <w:top w:val="single" w:sz="4" w:space="0" w:color="auto"/>
              <w:left w:val="single" w:sz="8" w:space="0" w:color="auto"/>
              <w:bottom w:val="single" w:sz="4" w:space="0" w:color="auto"/>
              <w:right w:val="single" w:sz="8" w:space="0" w:color="000000"/>
            </w:tcBorders>
            <w:vAlign w:val="bottom"/>
          </w:tcPr>
          <w:p w:rsidR="00ED12C2" w:rsidRPr="00F05470" w:rsidRDefault="00ED12C2" w:rsidP="00ED12C2">
            <w:pPr>
              <w:jc w:val="both"/>
              <w:rPr>
                <w:rFonts w:ascii="Calibri" w:hAnsi="Calibri" w:cs="Calibri"/>
                <w:sz w:val="20"/>
              </w:rPr>
            </w:pPr>
            <w:r w:rsidRPr="00F05470">
              <w:rPr>
                <w:rFonts w:ascii="Calibri" w:hAnsi="Calibri" w:cs="Calibri"/>
                <w:sz w:val="20"/>
              </w:rPr>
              <w:t>14,42</w:t>
            </w:r>
          </w:p>
        </w:tc>
        <w:tc>
          <w:tcPr>
            <w:tcW w:w="1417" w:type="dxa"/>
            <w:tcBorders>
              <w:top w:val="single" w:sz="4" w:space="0" w:color="auto"/>
              <w:left w:val="single" w:sz="8" w:space="0" w:color="auto"/>
              <w:bottom w:val="single" w:sz="4" w:space="0" w:color="auto"/>
              <w:right w:val="single" w:sz="18" w:space="0" w:color="auto"/>
            </w:tcBorders>
            <w:vAlign w:val="center"/>
          </w:tcPr>
          <w:p w:rsidR="00ED12C2" w:rsidRPr="00F05470" w:rsidRDefault="00ED12C2" w:rsidP="00ED12C2">
            <w:pPr>
              <w:jc w:val="both"/>
              <w:rPr>
                <w:rFonts w:ascii="Calibri" w:hAnsi="Calibri" w:cs="Calibri"/>
                <w:sz w:val="20"/>
              </w:rPr>
            </w:pPr>
            <w:r w:rsidRPr="00F05470">
              <w:rPr>
                <w:rFonts w:ascii="Calibri" w:hAnsi="Calibri" w:cs="Calibri"/>
                <w:bCs/>
                <w:i/>
                <w:sz w:val="20"/>
              </w:rPr>
              <w:t>VYHOVUJE</w:t>
            </w:r>
          </w:p>
        </w:tc>
      </w:tr>
      <w:tr w:rsidR="00ED12C2" w:rsidRPr="005B33B0" w:rsidTr="00ED12C2">
        <w:trPr>
          <w:trHeight w:val="300"/>
        </w:trPr>
        <w:tc>
          <w:tcPr>
            <w:tcW w:w="1629" w:type="dxa"/>
            <w:tcBorders>
              <w:top w:val="single" w:sz="4" w:space="0" w:color="auto"/>
              <w:left w:val="single" w:sz="18" w:space="0" w:color="auto"/>
              <w:bottom w:val="single" w:sz="18" w:space="0" w:color="auto"/>
              <w:right w:val="single" w:sz="8" w:space="0" w:color="000000"/>
            </w:tcBorders>
            <w:noWrap/>
            <w:vAlign w:val="center"/>
          </w:tcPr>
          <w:p w:rsidR="00ED12C2" w:rsidRPr="005B33B0" w:rsidRDefault="00ED12C2" w:rsidP="00ED12C2">
            <w:pPr>
              <w:jc w:val="both"/>
              <w:rPr>
                <w:rFonts w:ascii="Calibri" w:hAnsi="Calibri" w:cs="Calibri"/>
                <w:sz w:val="20"/>
              </w:rPr>
            </w:pPr>
            <w:r w:rsidRPr="005B33B0">
              <w:rPr>
                <w:rFonts w:ascii="Calibri" w:hAnsi="Calibri" w:cs="Calibri"/>
                <w:sz w:val="20"/>
              </w:rPr>
              <w:t>Q</w:t>
            </w:r>
            <w:r w:rsidRPr="005B33B0">
              <w:rPr>
                <w:rFonts w:ascii="Calibri" w:hAnsi="Calibri" w:cs="Calibri"/>
                <w:sz w:val="20"/>
                <w:vertAlign w:val="subscript"/>
              </w:rPr>
              <w:t xml:space="preserve">EP </w:t>
            </w:r>
            <w:r w:rsidRPr="005B33B0">
              <w:rPr>
                <w:rFonts w:ascii="Calibri" w:hAnsi="Calibri" w:cs="Calibri"/>
                <w:sz w:val="20"/>
              </w:rPr>
              <w:t>=</w:t>
            </w:r>
          </w:p>
        </w:tc>
        <w:tc>
          <w:tcPr>
            <w:tcW w:w="1358" w:type="dxa"/>
            <w:tcBorders>
              <w:top w:val="single" w:sz="4" w:space="0" w:color="auto"/>
              <w:left w:val="single" w:sz="8" w:space="0" w:color="auto"/>
              <w:bottom w:val="single" w:sz="18" w:space="0" w:color="auto"/>
              <w:right w:val="single" w:sz="8" w:space="0" w:color="000000"/>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28,19</w:t>
            </w:r>
          </w:p>
        </w:tc>
        <w:tc>
          <w:tcPr>
            <w:tcW w:w="1418" w:type="dxa"/>
            <w:tcBorders>
              <w:top w:val="single" w:sz="4" w:space="0" w:color="auto"/>
              <w:left w:val="single" w:sz="8" w:space="0" w:color="auto"/>
              <w:bottom w:val="single" w:sz="18" w:space="0" w:color="auto"/>
              <w:right w:val="single" w:sz="8" w:space="0" w:color="000000"/>
            </w:tcBorders>
            <w:vAlign w:val="center"/>
          </w:tcPr>
          <w:p w:rsidR="00ED12C2" w:rsidRPr="005B33B0" w:rsidRDefault="00ED12C2" w:rsidP="00ED12C2">
            <w:pPr>
              <w:jc w:val="both"/>
              <w:rPr>
                <w:rFonts w:ascii="Calibri" w:hAnsi="Calibri" w:cs="Calibri"/>
                <w:b/>
                <w:sz w:val="20"/>
              </w:rPr>
            </w:pPr>
            <w:r w:rsidRPr="005B33B0">
              <w:rPr>
                <w:rFonts w:ascii="Calibri" w:hAnsi="Calibri" w:cs="Calibri"/>
                <w:bCs/>
                <w:sz w:val="20"/>
              </w:rPr>
              <w:t>&lt;</w:t>
            </w:r>
          </w:p>
        </w:tc>
        <w:tc>
          <w:tcPr>
            <w:tcW w:w="1417" w:type="dxa"/>
            <w:tcBorders>
              <w:top w:val="single" w:sz="4" w:space="0" w:color="auto"/>
              <w:left w:val="single" w:sz="8" w:space="0" w:color="auto"/>
              <w:bottom w:val="single" w:sz="18" w:space="0" w:color="auto"/>
              <w:right w:val="single" w:sz="8" w:space="0" w:color="000000"/>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Q</w:t>
            </w:r>
            <w:r w:rsidRPr="005B33B0">
              <w:rPr>
                <w:rFonts w:ascii="Calibri" w:hAnsi="Calibri" w:cs="Calibri"/>
                <w:sz w:val="20"/>
                <w:vertAlign w:val="subscript"/>
              </w:rPr>
              <w:t xml:space="preserve">N,EP </w:t>
            </w:r>
            <w:r w:rsidRPr="005B33B0">
              <w:rPr>
                <w:rFonts w:ascii="Calibri" w:hAnsi="Calibri" w:cs="Calibri"/>
                <w:sz w:val="20"/>
              </w:rPr>
              <w:t>=</w:t>
            </w:r>
          </w:p>
        </w:tc>
        <w:tc>
          <w:tcPr>
            <w:tcW w:w="1985" w:type="dxa"/>
            <w:gridSpan w:val="2"/>
            <w:tcBorders>
              <w:top w:val="single" w:sz="4" w:space="0" w:color="auto"/>
              <w:left w:val="single" w:sz="8" w:space="0" w:color="auto"/>
              <w:bottom w:val="single" w:sz="18" w:space="0" w:color="auto"/>
              <w:right w:val="single" w:sz="8" w:space="0" w:color="000000"/>
            </w:tcBorders>
            <w:vAlign w:val="bottom"/>
          </w:tcPr>
          <w:p w:rsidR="00ED12C2" w:rsidRPr="005B33B0" w:rsidRDefault="00ED12C2" w:rsidP="00ED12C2">
            <w:pPr>
              <w:jc w:val="both"/>
              <w:rPr>
                <w:rFonts w:ascii="Calibri" w:hAnsi="Calibri" w:cs="Calibri"/>
                <w:sz w:val="20"/>
              </w:rPr>
            </w:pPr>
            <w:r w:rsidRPr="005B33B0">
              <w:rPr>
                <w:rFonts w:ascii="Calibri" w:hAnsi="Calibri" w:cs="Calibri"/>
                <w:sz w:val="20"/>
              </w:rPr>
              <w:t>33,70</w:t>
            </w:r>
          </w:p>
        </w:tc>
        <w:tc>
          <w:tcPr>
            <w:tcW w:w="1417" w:type="dxa"/>
            <w:tcBorders>
              <w:top w:val="single" w:sz="4" w:space="0" w:color="auto"/>
              <w:left w:val="single" w:sz="8" w:space="0" w:color="auto"/>
              <w:bottom w:val="single" w:sz="18" w:space="0" w:color="auto"/>
              <w:right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bCs/>
                <w:i/>
                <w:sz w:val="20"/>
              </w:rPr>
              <w:t>VYHOVUJE</w:t>
            </w:r>
          </w:p>
        </w:tc>
      </w:tr>
    </w:tbl>
    <w:p w:rsidR="00ED12C2" w:rsidRPr="005B33B0" w:rsidRDefault="00ED12C2" w:rsidP="00ED12C2">
      <w:pPr>
        <w:jc w:val="both"/>
        <w:rPr>
          <w:rFonts w:ascii="Calibri" w:hAnsi="Calibri" w:cs="Calibri"/>
          <w:sz w:val="20"/>
        </w:rPr>
      </w:pPr>
    </w:p>
    <w:p w:rsidR="00ED12C2" w:rsidRPr="005B33B0" w:rsidRDefault="00ED12C2" w:rsidP="00ED12C2">
      <w:pPr>
        <w:jc w:val="both"/>
        <w:rPr>
          <w:rFonts w:ascii="Calibri" w:hAnsi="Calibri" w:cs="Calibri"/>
          <w:b/>
          <w:noProof/>
          <w:sz w:val="20"/>
        </w:rPr>
      </w:pPr>
      <w:r w:rsidRPr="005B33B0">
        <w:rPr>
          <w:rFonts w:ascii="Calibri" w:hAnsi="Calibri" w:cs="Calibri"/>
          <w:b/>
          <w:sz w:val="20"/>
        </w:rPr>
        <w:t xml:space="preserve">Na základe hore uvedených výpočtov možno konštatovať, že objekt SPĹŇA energetické kritérium podľa STN 73 0540. </w:t>
      </w:r>
    </w:p>
    <w:p w:rsidR="00ED12C2" w:rsidRPr="005B33B0" w:rsidRDefault="00ED12C2" w:rsidP="00ED12C2">
      <w:pPr>
        <w:autoSpaceDE w:val="0"/>
        <w:autoSpaceDN w:val="0"/>
        <w:adjustRightInd w:val="0"/>
        <w:jc w:val="both"/>
        <w:rPr>
          <w:rFonts w:ascii="Calibri" w:hAnsi="Calibri" w:cs="Calibri"/>
          <w:sz w:val="20"/>
        </w:rPr>
      </w:pPr>
      <w:r w:rsidRPr="005B33B0">
        <w:rPr>
          <w:rFonts w:ascii="Calibri" w:hAnsi="Calibri" w:cs="Calibri"/>
          <w:sz w:val="20"/>
        </w:rPr>
        <w:t>Pri stanovení potreby tepla treba upozorniť na rozdiely medzi výpočtovými</w:t>
      </w:r>
    </w:p>
    <w:p w:rsidR="00ED12C2" w:rsidRPr="005B33B0" w:rsidRDefault="00ED12C2" w:rsidP="00ED12C2">
      <w:pPr>
        <w:autoSpaceDE w:val="0"/>
        <w:autoSpaceDN w:val="0"/>
        <w:adjustRightInd w:val="0"/>
        <w:jc w:val="both"/>
        <w:rPr>
          <w:rFonts w:ascii="Calibri" w:hAnsi="Calibri" w:cs="Calibri"/>
          <w:sz w:val="20"/>
        </w:rPr>
      </w:pPr>
      <w:r w:rsidRPr="005B33B0">
        <w:rPr>
          <w:rFonts w:ascii="Calibri" w:hAnsi="Calibri" w:cs="Calibri"/>
          <w:sz w:val="20"/>
        </w:rPr>
        <w:t>predpokladmi a skutočnými podmienkami budovy, ktoré môžu vzniknúť vplyvom odlišností medzi</w:t>
      </w:r>
    </w:p>
    <w:p w:rsidR="00ED12C2" w:rsidRPr="005B33B0" w:rsidRDefault="00ED12C2" w:rsidP="00ED12C2">
      <w:pPr>
        <w:autoSpaceDE w:val="0"/>
        <w:autoSpaceDN w:val="0"/>
        <w:adjustRightInd w:val="0"/>
        <w:jc w:val="both"/>
        <w:rPr>
          <w:rFonts w:ascii="Calibri" w:hAnsi="Calibri" w:cs="Calibri"/>
          <w:sz w:val="20"/>
        </w:rPr>
      </w:pPr>
      <w:r w:rsidRPr="005B33B0">
        <w:rPr>
          <w:rFonts w:ascii="Calibri" w:hAnsi="Calibri" w:cs="Calibri"/>
          <w:sz w:val="20"/>
        </w:rPr>
        <w:t>projektovou dokumentáciou a realizovanou stavbou, rôznym užívaním objektu užívateľmi a rovnako</w:t>
      </w:r>
    </w:p>
    <w:p w:rsidR="00ED12C2" w:rsidRPr="005B33B0" w:rsidRDefault="00ED12C2" w:rsidP="00ED12C2">
      <w:pPr>
        <w:autoSpaceDE w:val="0"/>
        <w:autoSpaceDN w:val="0"/>
        <w:adjustRightInd w:val="0"/>
        <w:jc w:val="both"/>
        <w:rPr>
          <w:rFonts w:ascii="Calibri" w:hAnsi="Calibri" w:cs="Calibri"/>
          <w:sz w:val="20"/>
        </w:rPr>
      </w:pPr>
      <w:r w:rsidRPr="005B33B0">
        <w:rPr>
          <w:rFonts w:ascii="Calibri" w:hAnsi="Calibri" w:cs="Calibri"/>
          <w:sz w:val="20"/>
        </w:rPr>
        <w:t>zjednodušeniami, ktoré sú podmienené výpočtovými postupmi.</w:t>
      </w:r>
    </w:p>
    <w:p w:rsidR="00ED12C2" w:rsidRPr="005B33B0" w:rsidRDefault="00ED12C2" w:rsidP="00ED12C2">
      <w:pPr>
        <w:jc w:val="both"/>
        <w:rPr>
          <w:rFonts w:ascii="Calibri" w:hAnsi="Calibri" w:cs="Calibri"/>
          <w:sz w:val="20"/>
        </w:rPr>
      </w:pPr>
    </w:p>
    <w:p w:rsidR="00ED12C2" w:rsidRPr="005B33B0" w:rsidRDefault="00ED12C2" w:rsidP="00ED12C2">
      <w:pPr>
        <w:pStyle w:val="Nadpis2"/>
        <w:numPr>
          <w:ilvl w:val="0"/>
          <w:numId w:val="0"/>
        </w:numPr>
        <w:jc w:val="both"/>
        <w:rPr>
          <w:rFonts w:ascii="Calibri" w:hAnsi="Calibri" w:cs="Calibri"/>
          <w:szCs w:val="20"/>
        </w:rPr>
      </w:pPr>
      <w:bookmarkStart w:id="148" w:name="_Toc1907038"/>
      <w:r w:rsidRPr="005B33B0">
        <w:rPr>
          <w:rFonts w:ascii="Calibri" w:hAnsi="Calibri" w:cs="Calibri"/>
          <w:szCs w:val="20"/>
        </w:rPr>
        <w:t>5.4 Vyhodnotenie škály energetických tried podľa vyhl.MDVRR SR.č324/2016 Z.z.</w:t>
      </w:r>
      <w:bookmarkEnd w:id="148"/>
    </w:p>
    <w:tbl>
      <w:tblPr>
        <w:tblW w:w="9778" w:type="dxa"/>
        <w:tblInd w:w="60" w:type="dxa"/>
        <w:tblCellMar>
          <w:left w:w="70" w:type="dxa"/>
          <w:right w:w="70" w:type="dxa"/>
        </w:tblCellMar>
        <w:tblLook w:val="04A0" w:firstRow="1" w:lastRow="0" w:firstColumn="1" w:lastColumn="0" w:noHBand="0" w:noVBand="1"/>
      </w:tblPr>
      <w:tblGrid>
        <w:gridCol w:w="2444"/>
        <w:gridCol w:w="2953"/>
        <w:gridCol w:w="1134"/>
        <w:gridCol w:w="1276"/>
        <w:gridCol w:w="141"/>
        <w:gridCol w:w="1830"/>
      </w:tblGrid>
      <w:tr w:rsidR="00ED12C2" w:rsidRPr="005B33B0" w:rsidTr="00ED12C2">
        <w:trPr>
          <w:trHeight w:val="620"/>
        </w:trPr>
        <w:tc>
          <w:tcPr>
            <w:tcW w:w="9778" w:type="dxa"/>
            <w:gridSpan w:val="6"/>
            <w:tcBorders>
              <w:top w:val="single" w:sz="18" w:space="0" w:color="auto"/>
              <w:left w:val="single" w:sz="18" w:space="0" w:color="auto"/>
              <w:bottom w:val="single" w:sz="18" w:space="0" w:color="auto"/>
              <w:right w:val="single" w:sz="18" w:space="0" w:color="auto"/>
            </w:tcBorders>
            <w:hideMark/>
          </w:tcPr>
          <w:p w:rsidR="00ED12C2" w:rsidRPr="005B33B0" w:rsidRDefault="00ED12C2" w:rsidP="00ED12C2">
            <w:pPr>
              <w:jc w:val="both"/>
              <w:rPr>
                <w:rFonts w:ascii="Calibri" w:hAnsi="Calibri" w:cs="Calibri"/>
                <w:b/>
                <w:bCs/>
                <w:sz w:val="20"/>
              </w:rPr>
            </w:pPr>
            <w:r w:rsidRPr="005B33B0">
              <w:rPr>
                <w:rFonts w:ascii="Calibri" w:hAnsi="Calibri" w:cs="Calibri"/>
                <w:b/>
                <w:bCs/>
                <w:sz w:val="20"/>
              </w:rPr>
              <w:t xml:space="preserve">Energetické hospodárnosť </w:t>
            </w:r>
            <w:r w:rsidRPr="005B33B0">
              <w:rPr>
                <w:rFonts w:ascii="Calibri" w:hAnsi="Calibri" w:cs="Calibri"/>
                <w:b/>
                <w:bCs/>
                <w:sz w:val="20"/>
              </w:rPr>
              <w:br/>
              <w:t xml:space="preserve">Vyhláška </w:t>
            </w:r>
            <w:r w:rsidRPr="005B33B0">
              <w:rPr>
                <w:rFonts w:ascii="Calibri" w:hAnsi="Calibri" w:cs="Calibri"/>
                <w:b/>
                <w:sz w:val="20"/>
              </w:rPr>
              <w:t>MDVRR SR.č364/2012 Z.z.</w:t>
            </w:r>
          </w:p>
        </w:tc>
      </w:tr>
      <w:tr w:rsidR="00ED12C2" w:rsidRPr="005B33B0" w:rsidTr="00ED12C2">
        <w:trPr>
          <w:trHeight w:val="300"/>
        </w:trPr>
        <w:tc>
          <w:tcPr>
            <w:tcW w:w="6531" w:type="dxa"/>
            <w:gridSpan w:val="3"/>
            <w:tcBorders>
              <w:top w:val="single" w:sz="18" w:space="0" w:color="auto"/>
              <w:left w:val="single" w:sz="18" w:space="0" w:color="auto"/>
              <w:bottom w:val="single" w:sz="4" w:space="0" w:color="auto"/>
              <w:right w:val="single" w:sz="4" w:space="0" w:color="000000"/>
            </w:tcBorders>
            <w:vAlign w:val="center"/>
            <w:hideMark/>
          </w:tcPr>
          <w:p w:rsidR="00ED12C2" w:rsidRPr="005B33B0" w:rsidRDefault="00ED12C2" w:rsidP="00ED12C2">
            <w:pPr>
              <w:jc w:val="both"/>
              <w:rPr>
                <w:rFonts w:ascii="Calibri" w:hAnsi="Calibri" w:cs="Calibri"/>
                <w:b/>
                <w:bCs/>
                <w:sz w:val="20"/>
              </w:rPr>
            </w:pPr>
            <w:r w:rsidRPr="005B33B0">
              <w:rPr>
                <w:rFonts w:ascii="Calibri" w:hAnsi="Calibri" w:cs="Calibri"/>
                <w:b/>
                <w:bCs/>
                <w:sz w:val="20"/>
              </w:rPr>
              <w:t>Potreba tepla na vykurovanie [kWh/rok]:</w:t>
            </w:r>
          </w:p>
        </w:tc>
        <w:tc>
          <w:tcPr>
            <w:tcW w:w="1276" w:type="dxa"/>
            <w:tcBorders>
              <w:top w:val="single" w:sz="18" w:space="0" w:color="auto"/>
              <w:left w:val="nil"/>
              <w:bottom w:val="single" w:sz="4" w:space="0" w:color="auto"/>
              <w:right w:val="single" w:sz="4" w:space="0" w:color="000000"/>
            </w:tcBorders>
            <w:noWrap/>
            <w:vAlign w:val="center"/>
            <w:hideMark/>
          </w:tcPr>
          <w:p w:rsidR="00ED12C2" w:rsidRPr="005B33B0" w:rsidRDefault="00ED12C2" w:rsidP="00ED12C2">
            <w:pPr>
              <w:jc w:val="both"/>
              <w:rPr>
                <w:rFonts w:ascii="Calibri" w:hAnsi="Calibri" w:cs="Calibri"/>
                <w:i/>
                <w:iCs/>
                <w:sz w:val="20"/>
              </w:rPr>
            </w:pPr>
            <w:r w:rsidRPr="005B33B0">
              <w:rPr>
                <w:rFonts w:ascii="Calibri" w:hAnsi="Calibri" w:cs="Calibri"/>
                <w:i/>
                <w:iCs/>
                <w:sz w:val="20"/>
              </w:rPr>
              <w:t>Q</w:t>
            </w:r>
            <w:r w:rsidRPr="005B33B0">
              <w:rPr>
                <w:rFonts w:ascii="Calibri" w:hAnsi="Calibri" w:cs="Calibri"/>
                <w:i/>
                <w:iCs/>
                <w:sz w:val="20"/>
                <w:vertAlign w:val="subscript"/>
              </w:rPr>
              <w:t>H</w:t>
            </w:r>
            <w:r w:rsidRPr="005B33B0">
              <w:rPr>
                <w:rFonts w:ascii="Calibri" w:hAnsi="Calibri" w:cs="Calibri"/>
                <w:i/>
                <w:iCs/>
                <w:sz w:val="20"/>
              </w:rPr>
              <w:t xml:space="preserve"> =</w:t>
            </w:r>
          </w:p>
        </w:tc>
        <w:tc>
          <w:tcPr>
            <w:tcW w:w="1971" w:type="dxa"/>
            <w:gridSpan w:val="2"/>
            <w:tcBorders>
              <w:top w:val="single" w:sz="18" w:space="0" w:color="auto"/>
              <w:left w:val="nil"/>
              <w:bottom w:val="single" w:sz="4" w:space="0" w:color="auto"/>
              <w:right w:val="single" w:sz="18" w:space="0" w:color="auto"/>
            </w:tcBorders>
            <w:noWrap/>
            <w:vAlign w:val="bottom"/>
            <w:hideMark/>
          </w:tcPr>
          <w:p w:rsidR="00ED12C2" w:rsidRPr="005B33B0" w:rsidRDefault="00ED12C2" w:rsidP="00ED12C2">
            <w:pPr>
              <w:jc w:val="both"/>
              <w:rPr>
                <w:rFonts w:ascii="Calibri" w:hAnsi="Calibri" w:cs="Calibri"/>
                <w:sz w:val="20"/>
              </w:rPr>
            </w:pPr>
            <w:r w:rsidRPr="005B33B0">
              <w:rPr>
                <w:rFonts w:ascii="Calibri" w:hAnsi="Calibri" w:cs="Calibri"/>
                <w:sz w:val="20"/>
              </w:rPr>
              <w:t>4403,92</w:t>
            </w: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center"/>
            <w:hideMark/>
          </w:tcPr>
          <w:p w:rsidR="00ED12C2" w:rsidRPr="005B33B0" w:rsidRDefault="00ED12C2" w:rsidP="00ED12C2">
            <w:pPr>
              <w:jc w:val="both"/>
              <w:rPr>
                <w:rFonts w:ascii="Calibri" w:hAnsi="Calibri" w:cs="Calibri"/>
                <w:b/>
                <w:bCs/>
                <w:sz w:val="20"/>
              </w:rPr>
            </w:pPr>
            <w:r w:rsidRPr="005B33B0">
              <w:rPr>
                <w:rFonts w:ascii="Calibri" w:hAnsi="Calibri" w:cs="Calibri"/>
                <w:b/>
                <w:bCs/>
                <w:sz w:val="20"/>
              </w:rPr>
              <w:t>Potreba energie na vykurovanie [kWh/rok]:</w:t>
            </w:r>
          </w:p>
        </w:tc>
        <w:tc>
          <w:tcPr>
            <w:tcW w:w="1276" w:type="dxa"/>
            <w:tcBorders>
              <w:top w:val="single" w:sz="4" w:space="0" w:color="auto"/>
              <w:left w:val="nil"/>
              <w:bottom w:val="single" w:sz="4" w:space="0" w:color="auto"/>
              <w:right w:val="single" w:sz="4" w:space="0" w:color="000000"/>
            </w:tcBorders>
            <w:noWrap/>
            <w:vAlign w:val="bottom"/>
            <w:hideMark/>
          </w:tcPr>
          <w:p w:rsidR="00ED12C2" w:rsidRPr="005B33B0" w:rsidRDefault="00ED12C2" w:rsidP="00ED12C2">
            <w:pPr>
              <w:jc w:val="both"/>
              <w:rPr>
                <w:rFonts w:ascii="Calibri" w:hAnsi="Calibri" w:cs="Calibri"/>
                <w:sz w:val="20"/>
              </w:rPr>
            </w:pPr>
            <w:r w:rsidRPr="005B33B0">
              <w:rPr>
                <w:rFonts w:ascii="Calibri" w:hAnsi="Calibri" w:cs="Calibri"/>
                <w:sz w:val="20"/>
              </w:rPr>
              <w:t>Q</w:t>
            </w:r>
            <w:r w:rsidRPr="005B33B0">
              <w:rPr>
                <w:rFonts w:ascii="Calibri" w:hAnsi="Calibri" w:cs="Calibri"/>
                <w:sz w:val="20"/>
                <w:vertAlign w:val="subscript"/>
              </w:rPr>
              <w:t xml:space="preserve">dod,vyk </w:t>
            </w:r>
            <w:r w:rsidRPr="005B33B0">
              <w:rPr>
                <w:rFonts w:ascii="Calibri" w:hAnsi="Calibri" w:cs="Calibri"/>
                <w:sz w:val="20"/>
              </w:rPr>
              <w:t xml:space="preserve">=   </w:t>
            </w:r>
          </w:p>
        </w:tc>
        <w:tc>
          <w:tcPr>
            <w:tcW w:w="1971" w:type="dxa"/>
            <w:gridSpan w:val="2"/>
            <w:tcBorders>
              <w:top w:val="single" w:sz="4" w:space="0" w:color="auto"/>
              <w:left w:val="nil"/>
              <w:bottom w:val="single" w:sz="4" w:space="0" w:color="auto"/>
              <w:right w:val="single" w:sz="18" w:space="0" w:color="auto"/>
            </w:tcBorders>
            <w:noWrap/>
            <w:vAlign w:val="bottom"/>
            <w:hideMark/>
          </w:tcPr>
          <w:p w:rsidR="00ED12C2" w:rsidRPr="005B33B0" w:rsidRDefault="00ED12C2" w:rsidP="00ED12C2">
            <w:pPr>
              <w:jc w:val="both"/>
              <w:rPr>
                <w:rFonts w:ascii="Calibri" w:hAnsi="Calibri" w:cs="Calibri"/>
                <w:sz w:val="20"/>
              </w:rPr>
            </w:pPr>
            <w:r w:rsidRPr="005B33B0">
              <w:rPr>
                <w:rFonts w:ascii="Calibri" w:hAnsi="Calibri" w:cs="Calibri"/>
                <w:sz w:val="20"/>
              </w:rPr>
              <w:t>4789,12</w:t>
            </w: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hideMark/>
          </w:tcPr>
          <w:p w:rsidR="00ED12C2" w:rsidRPr="005B33B0" w:rsidRDefault="00ED12C2" w:rsidP="00ED12C2">
            <w:pPr>
              <w:jc w:val="both"/>
              <w:rPr>
                <w:rFonts w:ascii="Calibri" w:hAnsi="Calibri" w:cs="Calibri"/>
                <w:b/>
                <w:bCs/>
                <w:sz w:val="20"/>
              </w:rPr>
            </w:pPr>
            <w:r w:rsidRPr="005B33B0">
              <w:rPr>
                <w:rFonts w:ascii="Calibri" w:hAnsi="Calibri" w:cs="Calibri"/>
                <w:b/>
                <w:bCs/>
                <w:sz w:val="20"/>
              </w:rPr>
              <w:t>Merná potreba energie na vykurovanie [kWh/m</w:t>
            </w:r>
            <w:r w:rsidRPr="005B33B0">
              <w:rPr>
                <w:rFonts w:ascii="Calibri" w:hAnsi="Calibri" w:cs="Calibri"/>
                <w:b/>
                <w:bCs/>
                <w:sz w:val="20"/>
                <w:vertAlign w:val="superscript"/>
              </w:rPr>
              <w:t>2</w:t>
            </w:r>
            <w:r w:rsidRPr="005B33B0">
              <w:rPr>
                <w:rFonts w:ascii="Calibri" w:hAnsi="Calibri" w:cs="Calibri"/>
                <w:b/>
                <w:bCs/>
                <w:sz w:val="20"/>
              </w:rPr>
              <w:t>.rok]:</w:t>
            </w:r>
          </w:p>
        </w:tc>
        <w:tc>
          <w:tcPr>
            <w:tcW w:w="1276" w:type="dxa"/>
            <w:tcBorders>
              <w:top w:val="single" w:sz="4" w:space="0" w:color="auto"/>
              <w:left w:val="nil"/>
              <w:bottom w:val="single" w:sz="4" w:space="0" w:color="auto"/>
              <w:right w:val="single" w:sz="4" w:space="0" w:color="000000"/>
            </w:tcBorders>
            <w:noWrap/>
            <w:vAlign w:val="bottom"/>
            <w:hideMark/>
          </w:tcPr>
          <w:p w:rsidR="00ED12C2" w:rsidRPr="005B33B0" w:rsidRDefault="00ED12C2" w:rsidP="00ED12C2">
            <w:pPr>
              <w:jc w:val="both"/>
              <w:rPr>
                <w:rFonts w:ascii="Calibri" w:hAnsi="Calibri" w:cs="Calibri"/>
                <w:sz w:val="20"/>
              </w:rPr>
            </w:pPr>
            <w:r w:rsidRPr="005B33B0">
              <w:rPr>
                <w:rFonts w:ascii="Calibri" w:hAnsi="Calibri" w:cs="Calibri"/>
                <w:sz w:val="20"/>
              </w:rPr>
              <w:t>Q</w:t>
            </w:r>
            <w:r w:rsidRPr="005B33B0">
              <w:rPr>
                <w:rFonts w:ascii="Calibri" w:hAnsi="Calibri" w:cs="Calibri"/>
                <w:sz w:val="20"/>
                <w:vertAlign w:val="subscript"/>
              </w:rPr>
              <w:t>vyk</w:t>
            </w:r>
            <w:r w:rsidRPr="005B33B0">
              <w:rPr>
                <w:rFonts w:ascii="Calibri" w:hAnsi="Calibri" w:cs="Calibri"/>
                <w:sz w:val="20"/>
              </w:rPr>
              <w:t xml:space="preserve">=  </w:t>
            </w:r>
          </w:p>
        </w:tc>
        <w:tc>
          <w:tcPr>
            <w:tcW w:w="1971" w:type="dxa"/>
            <w:gridSpan w:val="2"/>
            <w:tcBorders>
              <w:top w:val="single" w:sz="4" w:space="0" w:color="auto"/>
              <w:left w:val="nil"/>
              <w:bottom w:val="single" w:sz="4" w:space="0" w:color="auto"/>
              <w:right w:val="single" w:sz="18" w:space="0" w:color="auto"/>
            </w:tcBorders>
            <w:noWrap/>
            <w:vAlign w:val="bottom"/>
            <w:hideMark/>
          </w:tcPr>
          <w:p w:rsidR="00ED12C2" w:rsidRPr="005B33B0" w:rsidRDefault="00ED12C2" w:rsidP="00ED12C2">
            <w:pPr>
              <w:jc w:val="both"/>
              <w:rPr>
                <w:rFonts w:ascii="Calibri" w:hAnsi="Calibri" w:cs="Calibri"/>
                <w:sz w:val="20"/>
              </w:rPr>
            </w:pPr>
            <w:r w:rsidRPr="005B33B0">
              <w:rPr>
                <w:rFonts w:ascii="Calibri" w:hAnsi="Calibri" w:cs="Calibri"/>
                <w:sz w:val="20"/>
              </w:rPr>
              <w:t>30,66</w:t>
            </w: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r w:rsidRPr="005B33B0">
              <w:rPr>
                <w:rFonts w:ascii="Calibri" w:hAnsi="Calibri" w:cs="Calibri"/>
                <w:b/>
                <w:bCs/>
                <w:sz w:val="20"/>
              </w:rPr>
              <w:t>Špecifická potreba tepla na jednotku plochy [kWh/m</w:t>
            </w:r>
            <w:r w:rsidRPr="005B33B0">
              <w:rPr>
                <w:rFonts w:ascii="Calibri" w:hAnsi="Calibri" w:cs="Calibri"/>
                <w:b/>
                <w:bCs/>
                <w:sz w:val="20"/>
                <w:vertAlign w:val="superscript"/>
              </w:rPr>
              <w:t>2</w:t>
            </w:r>
            <w:r w:rsidRPr="005B33B0">
              <w:rPr>
                <w:rFonts w:ascii="Calibri" w:hAnsi="Calibri" w:cs="Calibri"/>
                <w:b/>
                <w:bCs/>
                <w:sz w:val="20"/>
              </w:rPr>
              <w:t>.rok]:</w:t>
            </w: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Q</w:t>
            </w:r>
            <w:r w:rsidRPr="005B33B0">
              <w:rPr>
                <w:rFonts w:ascii="Calibri" w:hAnsi="Calibri" w:cs="Calibri"/>
                <w:sz w:val="20"/>
                <w:vertAlign w:val="subscript"/>
              </w:rPr>
              <w:t>W,A</w:t>
            </w:r>
            <w:r w:rsidRPr="005B33B0">
              <w:rPr>
                <w:rFonts w:ascii="Calibri" w:hAnsi="Calibri" w:cs="Calibri"/>
                <w:sz w:val="20"/>
              </w:rPr>
              <w:t>=</w:t>
            </w: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20,00</w:t>
            </w: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r w:rsidRPr="005B33B0">
              <w:rPr>
                <w:rFonts w:ascii="Calibri" w:hAnsi="Calibri" w:cs="Calibri"/>
                <w:b/>
                <w:bCs/>
                <w:sz w:val="20"/>
              </w:rPr>
              <w:t>Potreba energie na prípravu TV [kWh/rok]:</w:t>
            </w: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Q</w:t>
            </w:r>
            <w:r w:rsidRPr="005B33B0">
              <w:rPr>
                <w:rFonts w:ascii="Calibri" w:hAnsi="Calibri" w:cs="Calibri"/>
                <w:sz w:val="20"/>
                <w:vertAlign w:val="subscript"/>
              </w:rPr>
              <w:t>TV</w:t>
            </w:r>
            <w:r w:rsidRPr="005B33B0">
              <w:rPr>
                <w:rFonts w:ascii="Calibri" w:hAnsi="Calibri" w:cs="Calibri"/>
                <w:sz w:val="20"/>
              </w:rPr>
              <w:t>=</w:t>
            </w: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1939,06</w:t>
            </w: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r w:rsidRPr="005B33B0">
              <w:rPr>
                <w:rFonts w:ascii="Calibri" w:hAnsi="Calibri" w:cs="Calibri"/>
                <w:b/>
                <w:bCs/>
                <w:sz w:val="20"/>
              </w:rPr>
              <w:t>Merná potreba energie na prípravu TV [kWh/m</w:t>
            </w:r>
            <w:r w:rsidRPr="005B33B0">
              <w:rPr>
                <w:rFonts w:ascii="Calibri" w:hAnsi="Calibri" w:cs="Calibri"/>
                <w:b/>
                <w:bCs/>
                <w:sz w:val="20"/>
                <w:vertAlign w:val="superscript"/>
              </w:rPr>
              <w:t>2</w:t>
            </w:r>
            <w:r w:rsidRPr="005B33B0">
              <w:rPr>
                <w:rFonts w:ascii="Calibri" w:hAnsi="Calibri" w:cs="Calibri"/>
                <w:b/>
                <w:bCs/>
                <w:sz w:val="20"/>
              </w:rPr>
              <w:t>.rok]:</w:t>
            </w: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Q</w:t>
            </w:r>
            <w:r w:rsidRPr="005B33B0">
              <w:rPr>
                <w:rFonts w:ascii="Calibri" w:hAnsi="Calibri" w:cs="Calibri"/>
                <w:sz w:val="20"/>
                <w:vertAlign w:val="subscript"/>
              </w:rPr>
              <w:t>TV,m</w:t>
            </w:r>
            <w:r w:rsidRPr="005B33B0">
              <w:rPr>
                <w:rFonts w:ascii="Calibri" w:hAnsi="Calibri" w:cs="Calibri"/>
                <w:sz w:val="20"/>
              </w:rPr>
              <w:t>=</w:t>
            </w: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22,51</w:t>
            </w: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r w:rsidRPr="005B33B0">
              <w:rPr>
                <w:rFonts w:ascii="Calibri" w:hAnsi="Calibri" w:cs="Calibri"/>
                <w:b/>
                <w:bCs/>
                <w:sz w:val="20"/>
              </w:rPr>
              <w:t>Objemový tok privádzaného/odvádzaného vzduchu [m</w:t>
            </w:r>
            <w:r w:rsidRPr="005B33B0">
              <w:rPr>
                <w:rFonts w:ascii="Calibri" w:hAnsi="Calibri" w:cs="Calibri"/>
                <w:b/>
                <w:bCs/>
                <w:sz w:val="20"/>
                <w:vertAlign w:val="superscript"/>
              </w:rPr>
              <w:t>3</w:t>
            </w:r>
            <w:r w:rsidRPr="005B33B0">
              <w:rPr>
                <w:rFonts w:ascii="Calibri" w:hAnsi="Calibri" w:cs="Calibri"/>
                <w:b/>
                <w:bCs/>
                <w:sz w:val="20"/>
              </w:rPr>
              <w:t>]:</w:t>
            </w: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q</w:t>
            </w:r>
            <w:r w:rsidRPr="005B33B0">
              <w:rPr>
                <w:rFonts w:ascii="Calibri" w:hAnsi="Calibri" w:cs="Calibri"/>
                <w:sz w:val="20"/>
                <w:vertAlign w:val="subscript"/>
              </w:rPr>
              <w:t>v-exh</w:t>
            </w:r>
            <w:r w:rsidRPr="005B33B0">
              <w:rPr>
                <w:rFonts w:ascii="Calibri" w:hAnsi="Calibri" w:cs="Calibri"/>
                <w:sz w:val="20"/>
              </w:rPr>
              <w:t>/q</w:t>
            </w:r>
            <w:r w:rsidRPr="005B33B0">
              <w:rPr>
                <w:rFonts w:ascii="Calibri" w:hAnsi="Calibri" w:cs="Calibri"/>
                <w:sz w:val="20"/>
                <w:vertAlign w:val="subscript"/>
              </w:rPr>
              <w:t>v-sup</w:t>
            </w:r>
            <w:r w:rsidRPr="005B33B0">
              <w:rPr>
                <w:rFonts w:ascii="Calibri" w:hAnsi="Calibri" w:cs="Calibri"/>
                <w:sz w:val="20"/>
              </w:rPr>
              <w:t>=</w:t>
            </w: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0/440</w:t>
            </w: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r w:rsidRPr="005B33B0">
              <w:rPr>
                <w:rFonts w:ascii="Calibri" w:hAnsi="Calibri" w:cs="Calibri"/>
                <w:b/>
                <w:bCs/>
                <w:sz w:val="20"/>
              </w:rPr>
              <w:t>Potreba energie na vetranie a chladenie [kWh/rok]:</w:t>
            </w: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Q</w:t>
            </w:r>
            <w:r w:rsidRPr="005B33B0">
              <w:rPr>
                <w:rFonts w:ascii="Calibri" w:hAnsi="Calibri" w:cs="Calibri"/>
                <w:sz w:val="20"/>
                <w:vertAlign w:val="subscript"/>
              </w:rPr>
              <w:t>V</w:t>
            </w:r>
            <w:r w:rsidRPr="005B33B0">
              <w:rPr>
                <w:rFonts w:ascii="Calibri" w:hAnsi="Calibri" w:cs="Calibri"/>
                <w:sz w:val="20"/>
              </w:rPr>
              <w:t>=</w:t>
            </w: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451,66</w:t>
            </w: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r w:rsidRPr="005B33B0">
              <w:rPr>
                <w:rFonts w:ascii="Calibri" w:hAnsi="Calibri" w:cs="Calibri"/>
                <w:b/>
                <w:bCs/>
                <w:sz w:val="20"/>
              </w:rPr>
              <w:t>Merná potreba energie na vetranie a chladenie [kWh/m</w:t>
            </w:r>
            <w:r w:rsidRPr="005B33B0">
              <w:rPr>
                <w:rFonts w:ascii="Calibri" w:hAnsi="Calibri" w:cs="Calibri"/>
                <w:b/>
                <w:bCs/>
                <w:sz w:val="20"/>
                <w:vertAlign w:val="superscript"/>
              </w:rPr>
              <w:t>2</w:t>
            </w:r>
            <w:r w:rsidRPr="005B33B0">
              <w:rPr>
                <w:rFonts w:ascii="Calibri" w:hAnsi="Calibri" w:cs="Calibri"/>
                <w:b/>
                <w:bCs/>
                <w:sz w:val="20"/>
              </w:rPr>
              <w:t>.rok]:</w:t>
            </w: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Q</w:t>
            </w:r>
            <w:r w:rsidRPr="005B33B0">
              <w:rPr>
                <w:rFonts w:ascii="Calibri" w:hAnsi="Calibri" w:cs="Calibri"/>
                <w:sz w:val="20"/>
                <w:vertAlign w:val="subscript"/>
              </w:rPr>
              <w:t>V,m</w:t>
            </w:r>
            <w:r w:rsidRPr="005B33B0">
              <w:rPr>
                <w:rFonts w:ascii="Calibri" w:hAnsi="Calibri" w:cs="Calibri"/>
                <w:sz w:val="20"/>
              </w:rPr>
              <w:t>=</w:t>
            </w: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2,89</w:t>
            </w: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r w:rsidRPr="005B33B0">
              <w:rPr>
                <w:rFonts w:ascii="Calibri" w:hAnsi="Calibri" w:cs="Calibri"/>
                <w:b/>
                <w:bCs/>
                <w:sz w:val="20"/>
              </w:rPr>
              <w:t>Celkový inštalovaný príkon osvetlenia [W]:</w:t>
            </w: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P</w:t>
            </w:r>
            <w:r w:rsidRPr="005B33B0">
              <w:rPr>
                <w:rFonts w:ascii="Calibri" w:hAnsi="Calibri" w:cs="Calibri"/>
                <w:sz w:val="20"/>
                <w:vertAlign w:val="subscript"/>
              </w:rPr>
              <w:t>N</w:t>
            </w:r>
            <w:r w:rsidRPr="005B33B0">
              <w:rPr>
                <w:rFonts w:ascii="Calibri" w:hAnsi="Calibri" w:cs="Calibri"/>
                <w:sz w:val="20"/>
              </w:rPr>
              <w:t>=</w:t>
            </w: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412</w:t>
            </w: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r w:rsidRPr="005B33B0">
              <w:rPr>
                <w:rFonts w:ascii="Calibri" w:hAnsi="Calibri" w:cs="Calibri"/>
                <w:b/>
                <w:bCs/>
                <w:sz w:val="20"/>
              </w:rPr>
              <w:t>Potreba energie na osvetlenie [kWh/rok]:</w:t>
            </w: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W</w:t>
            </w:r>
            <w:r w:rsidRPr="005B33B0">
              <w:rPr>
                <w:rFonts w:ascii="Calibri" w:hAnsi="Calibri" w:cs="Calibri"/>
                <w:sz w:val="20"/>
                <w:vertAlign w:val="subscript"/>
              </w:rPr>
              <w:t>L</w:t>
            </w:r>
            <w:r w:rsidRPr="005B33B0">
              <w:rPr>
                <w:rFonts w:ascii="Calibri" w:hAnsi="Calibri" w:cs="Calibri"/>
                <w:sz w:val="20"/>
              </w:rPr>
              <w:t>=</w:t>
            </w: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2479,73</w:t>
            </w:r>
          </w:p>
        </w:tc>
      </w:tr>
      <w:tr w:rsidR="00ED12C2" w:rsidRPr="005B33B0" w:rsidTr="00ED12C2">
        <w:trPr>
          <w:trHeight w:val="300"/>
        </w:trPr>
        <w:tc>
          <w:tcPr>
            <w:tcW w:w="6531" w:type="dxa"/>
            <w:gridSpan w:val="3"/>
            <w:tcBorders>
              <w:top w:val="single" w:sz="4" w:space="0" w:color="auto"/>
              <w:left w:val="single" w:sz="18" w:space="0" w:color="auto"/>
              <w:bottom w:val="single" w:sz="4" w:space="0" w:color="auto"/>
              <w:right w:val="single" w:sz="4" w:space="0" w:color="000000"/>
            </w:tcBorders>
            <w:noWrap/>
            <w:vAlign w:val="bottom"/>
          </w:tcPr>
          <w:p w:rsidR="00ED12C2" w:rsidRPr="005B33B0" w:rsidRDefault="00ED12C2" w:rsidP="00ED12C2">
            <w:pPr>
              <w:jc w:val="both"/>
              <w:rPr>
                <w:rFonts w:ascii="Calibri" w:hAnsi="Calibri" w:cs="Calibri"/>
                <w:b/>
                <w:bCs/>
                <w:sz w:val="20"/>
              </w:rPr>
            </w:pPr>
            <w:r w:rsidRPr="005B33B0">
              <w:rPr>
                <w:rFonts w:ascii="Calibri" w:hAnsi="Calibri" w:cs="Calibri"/>
                <w:b/>
                <w:bCs/>
                <w:sz w:val="20"/>
              </w:rPr>
              <w:t>Merná potreba energie na osvetlenie [kWh/m</w:t>
            </w:r>
            <w:r w:rsidRPr="005B33B0">
              <w:rPr>
                <w:rFonts w:ascii="Calibri" w:hAnsi="Calibri" w:cs="Calibri"/>
                <w:b/>
                <w:bCs/>
                <w:sz w:val="20"/>
                <w:vertAlign w:val="superscript"/>
              </w:rPr>
              <w:t>2</w:t>
            </w:r>
            <w:r w:rsidRPr="005B33B0">
              <w:rPr>
                <w:rFonts w:ascii="Calibri" w:hAnsi="Calibri" w:cs="Calibri"/>
                <w:b/>
                <w:bCs/>
                <w:sz w:val="20"/>
              </w:rPr>
              <w:t>.rok]:</w:t>
            </w:r>
          </w:p>
        </w:tc>
        <w:tc>
          <w:tcPr>
            <w:tcW w:w="1276" w:type="dxa"/>
            <w:tcBorders>
              <w:top w:val="single" w:sz="4" w:space="0" w:color="auto"/>
              <w:left w:val="nil"/>
              <w:bottom w:val="single" w:sz="4" w:space="0" w:color="auto"/>
              <w:right w:val="single" w:sz="4" w:space="0" w:color="000000"/>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LENI=</w:t>
            </w:r>
          </w:p>
        </w:tc>
        <w:tc>
          <w:tcPr>
            <w:tcW w:w="1971" w:type="dxa"/>
            <w:gridSpan w:val="2"/>
            <w:tcBorders>
              <w:top w:val="single" w:sz="4" w:space="0" w:color="auto"/>
              <w:left w:val="nil"/>
              <w:bottom w:val="single" w:sz="4" w:space="0" w:color="auto"/>
              <w:right w:val="single" w:sz="18" w:space="0" w:color="auto"/>
            </w:tcBorders>
            <w:noWrap/>
            <w:vAlign w:val="bottom"/>
          </w:tcPr>
          <w:p w:rsidR="00ED12C2" w:rsidRPr="005B33B0" w:rsidRDefault="00ED12C2" w:rsidP="00ED12C2">
            <w:pPr>
              <w:jc w:val="both"/>
              <w:rPr>
                <w:rFonts w:ascii="Calibri" w:hAnsi="Calibri" w:cs="Calibri"/>
                <w:sz w:val="20"/>
              </w:rPr>
            </w:pPr>
            <w:r w:rsidRPr="005B33B0">
              <w:rPr>
                <w:rFonts w:ascii="Calibri" w:hAnsi="Calibri" w:cs="Calibri"/>
                <w:sz w:val="20"/>
              </w:rPr>
              <w:t>15,88</w:t>
            </w:r>
          </w:p>
        </w:tc>
      </w:tr>
      <w:tr w:rsidR="00ED12C2" w:rsidRPr="005B33B0" w:rsidTr="00ED12C2">
        <w:trPr>
          <w:trHeight w:val="300"/>
        </w:trPr>
        <w:tc>
          <w:tcPr>
            <w:tcW w:w="9778" w:type="dxa"/>
            <w:gridSpan w:val="6"/>
            <w:tcBorders>
              <w:top w:val="single" w:sz="4" w:space="0" w:color="auto"/>
              <w:left w:val="single" w:sz="18" w:space="0" w:color="auto"/>
              <w:bottom w:val="single" w:sz="18" w:space="0" w:color="auto"/>
              <w:right w:val="single" w:sz="18" w:space="0" w:color="auto"/>
            </w:tcBorders>
            <w:noWrap/>
            <w:vAlign w:val="bottom"/>
          </w:tcPr>
          <w:p w:rsidR="00ED12C2" w:rsidRPr="005B33B0" w:rsidRDefault="00ED12C2" w:rsidP="00ED12C2">
            <w:pPr>
              <w:jc w:val="both"/>
              <w:rPr>
                <w:rFonts w:ascii="Calibri" w:hAnsi="Calibri" w:cs="Calibri"/>
                <w:sz w:val="20"/>
              </w:rPr>
            </w:pPr>
          </w:p>
        </w:tc>
      </w:tr>
      <w:tr w:rsidR="00ED12C2" w:rsidRPr="005B33B0" w:rsidTr="00ED12C2">
        <w:trPr>
          <w:trHeight w:val="300"/>
        </w:trPr>
        <w:tc>
          <w:tcPr>
            <w:tcW w:w="9778" w:type="dxa"/>
            <w:gridSpan w:val="6"/>
            <w:tcBorders>
              <w:top w:val="single" w:sz="18" w:space="0" w:color="auto"/>
              <w:left w:val="single" w:sz="18" w:space="0" w:color="auto"/>
              <w:bottom w:val="single" w:sz="2" w:space="0" w:color="auto"/>
              <w:right w:val="single" w:sz="18" w:space="0" w:color="auto"/>
            </w:tcBorders>
            <w:noWrap/>
            <w:vAlign w:val="center"/>
          </w:tcPr>
          <w:p w:rsidR="00ED12C2" w:rsidRPr="005B33B0" w:rsidRDefault="00ED12C2" w:rsidP="00ED12C2">
            <w:pPr>
              <w:jc w:val="both"/>
              <w:rPr>
                <w:rFonts w:ascii="Calibri" w:hAnsi="Calibri" w:cs="Calibri"/>
                <w:sz w:val="20"/>
              </w:rPr>
            </w:pPr>
            <w:r w:rsidRPr="005B33B0">
              <w:rPr>
                <w:rFonts w:ascii="Calibri" w:hAnsi="Calibri" w:cs="Calibri"/>
                <w:b/>
                <w:bCs/>
                <w:sz w:val="20"/>
              </w:rPr>
              <w:lastRenderedPageBreak/>
              <w:t>Energetická hospodárnosť podľa potreby energie na vykurovanie</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tcPr>
          <w:p w:rsidR="00ED12C2" w:rsidRPr="005B33B0" w:rsidRDefault="00ED12C2" w:rsidP="00ED12C2">
            <w:pPr>
              <w:jc w:val="both"/>
              <w:rPr>
                <w:rFonts w:ascii="Calibri" w:hAnsi="Calibri" w:cs="Calibri"/>
                <w:bCs/>
                <w:sz w:val="20"/>
              </w:rPr>
            </w:pPr>
            <w:r w:rsidRPr="005B33B0">
              <w:rPr>
                <w:rFonts w:ascii="Calibri" w:hAnsi="Calibri" w:cs="Calibri"/>
                <w:bCs/>
                <w:sz w:val="20"/>
              </w:rPr>
              <w:t>Kategória budovy</w:t>
            </w:r>
          </w:p>
        </w:tc>
        <w:tc>
          <w:tcPr>
            <w:tcW w:w="2953" w:type="dxa"/>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Celková dodaná energia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2551" w:type="dxa"/>
            <w:gridSpan w:val="3"/>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Minimálna požiadavka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1830" w:type="dxa"/>
            <w:tcBorders>
              <w:top w:val="single" w:sz="2" w:space="0" w:color="auto"/>
              <w:left w:val="single" w:sz="2" w:space="0" w:color="auto"/>
              <w:bottom w:val="single" w:sz="2" w:space="0" w:color="auto"/>
              <w:right w:val="single" w:sz="18"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Trieda</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bCs/>
                <w:sz w:val="20"/>
              </w:rPr>
            </w:pPr>
            <w:r w:rsidRPr="005B33B0">
              <w:rPr>
                <w:rFonts w:ascii="Calibri" w:hAnsi="Calibri" w:cs="Calibri"/>
                <w:bCs/>
                <w:sz w:val="20"/>
              </w:rPr>
              <w:t>reštaurácií</w:t>
            </w:r>
          </w:p>
        </w:tc>
        <w:tc>
          <w:tcPr>
            <w:tcW w:w="2953"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30,66</w:t>
            </w:r>
          </w:p>
        </w:tc>
        <w:tc>
          <w:tcPr>
            <w:tcW w:w="2551" w:type="dxa"/>
            <w:gridSpan w:val="3"/>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
                <w:bCs/>
                <w:sz w:val="20"/>
              </w:rPr>
            </w:pPr>
            <w:r w:rsidRPr="005B33B0">
              <w:rPr>
                <w:rFonts w:ascii="Calibri" w:hAnsi="Calibri" w:cs="Calibri"/>
                <w:bCs/>
                <w:sz w:val="20"/>
              </w:rPr>
              <w:t>71,00 (B)</w:t>
            </w:r>
          </w:p>
        </w:tc>
        <w:tc>
          <w:tcPr>
            <w:tcW w:w="1830" w:type="dxa"/>
            <w:tcBorders>
              <w:top w:val="single" w:sz="2" w:space="0" w:color="auto"/>
              <w:left w:val="single" w:sz="2" w:space="0" w:color="auto"/>
              <w:bottom w:val="single" w:sz="2" w:space="0" w:color="auto"/>
              <w:right w:val="single" w:sz="18" w:space="0" w:color="auto"/>
            </w:tcBorders>
            <w:vAlign w:val="center"/>
          </w:tcPr>
          <w:p w:rsidR="00ED12C2" w:rsidRPr="005B33B0" w:rsidRDefault="00ED12C2" w:rsidP="00ED12C2">
            <w:pPr>
              <w:jc w:val="both"/>
              <w:rPr>
                <w:rFonts w:ascii="Calibri" w:hAnsi="Calibri" w:cs="Calibri"/>
                <w:b/>
                <w:bCs/>
                <w:sz w:val="20"/>
              </w:rPr>
            </w:pPr>
            <w:r w:rsidRPr="005B33B0">
              <w:rPr>
                <w:rFonts w:ascii="Calibri" w:hAnsi="Calibri" w:cs="Calibri"/>
                <w:b/>
                <w:bCs/>
                <w:sz w:val="20"/>
              </w:rPr>
              <w:t>A</w:t>
            </w:r>
          </w:p>
        </w:tc>
      </w:tr>
      <w:tr w:rsidR="00ED12C2" w:rsidRPr="005B33B0" w:rsidTr="00ED12C2">
        <w:trPr>
          <w:trHeight w:val="300"/>
        </w:trPr>
        <w:tc>
          <w:tcPr>
            <w:tcW w:w="9778" w:type="dxa"/>
            <w:gridSpan w:val="6"/>
            <w:tcBorders>
              <w:top w:val="single" w:sz="2" w:space="0" w:color="auto"/>
              <w:left w:val="single" w:sz="18" w:space="0" w:color="auto"/>
              <w:bottom w:val="single" w:sz="2" w:space="0" w:color="auto"/>
              <w:right w:val="single" w:sz="18" w:space="0" w:color="auto"/>
            </w:tcBorders>
            <w:noWrap/>
            <w:vAlign w:val="center"/>
          </w:tcPr>
          <w:p w:rsidR="00ED12C2" w:rsidRPr="005B33B0" w:rsidRDefault="00ED12C2" w:rsidP="00ED12C2">
            <w:pPr>
              <w:jc w:val="both"/>
              <w:rPr>
                <w:rFonts w:ascii="Calibri" w:hAnsi="Calibri" w:cs="Calibri"/>
                <w:b/>
                <w:bCs/>
                <w:sz w:val="20"/>
              </w:rPr>
            </w:pPr>
          </w:p>
        </w:tc>
      </w:tr>
      <w:tr w:rsidR="00ED12C2" w:rsidRPr="005B33B0" w:rsidTr="00ED12C2">
        <w:trPr>
          <w:trHeight w:val="300"/>
        </w:trPr>
        <w:tc>
          <w:tcPr>
            <w:tcW w:w="9778" w:type="dxa"/>
            <w:gridSpan w:val="6"/>
            <w:tcBorders>
              <w:top w:val="single" w:sz="2" w:space="0" w:color="auto"/>
              <w:left w:val="single" w:sz="18" w:space="0" w:color="auto"/>
              <w:bottom w:val="single" w:sz="2" w:space="0" w:color="auto"/>
              <w:right w:val="single" w:sz="18" w:space="0" w:color="auto"/>
            </w:tcBorders>
            <w:noWrap/>
            <w:vAlign w:val="center"/>
          </w:tcPr>
          <w:p w:rsidR="00ED12C2" w:rsidRPr="005B33B0" w:rsidRDefault="00ED12C2" w:rsidP="00ED12C2">
            <w:pPr>
              <w:jc w:val="both"/>
              <w:rPr>
                <w:rFonts w:ascii="Calibri" w:hAnsi="Calibri" w:cs="Calibri"/>
                <w:b/>
                <w:bCs/>
                <w:sz w:val="20"/>
              </w:rPr>
            </w:pPr>
            <w:r w:rsidRPr="005B33B0">
              <w:rPr>
                <w:rFonts w:ascii="Calibri" w:hAnsi="Calibri" w:cs="Calibri"/>
                <w:b/>
                <w:bCs/>
                <w:sz w:val="20"/>
              </w:rPr>
              <w:t>Energetická hospodárnosť podľa potreby energie na prípravu TV</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tcPr>
          <w:p w:rsidR="00ED12C2" w:rsidRPr="005B33B0" w:rsidRDefault="00ED12C2" w:rsidP="00ED12C2">
            <w:pPr>
              <w:jc w:val="both"/>
              <w:rPr>
                <w:rFonts w:ascii="Calibri" w:hAnsi="Calibri" w:cs="Calibri"/>
                <w:bCs/>
                <w:sz w:val="20"/>
              </w:rPr>
            </w:pPr>
            <w:r w:rsidRPr="005B33B0">
              <w:rPr>
                <w:rFonts w:ascii="Calibri" w:hAnsi="Calibri" w:cs="Calibri"/>
                <w:bCs/>
                <w:sz w:val="20"/>
              </w:rPr>
              <w:t>Kategória budovy</w:t>
            </w:r>
          </w:p>
        </w:tc>
        <w:tc>
          <w:tcPr>
            <w:tcW w:w="2953" w:type="dxa"/>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Celková dodaná energia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2551" w:type="dxa"/>
            <w:gridSpan w:val="3"/>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Minimálna požiadavka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1830" w:type="dxa"/>
            <w:tcBorders>
              <w:top w:val="single" w:sz="2" w:space="0" w:color="auto"/>
              <w:left w:val="single" w:sz="2" w:space="0" w:color="auto"/>
              <w:bottom w:val="single" w:sz="2" w:space="0" w:color="auto"/>
              <w:right w:val="single" w:sz="18"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Trieda</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bCs/>
                <w:sz w:val="20"/>
              </w:rPr>
            </w:pPr>
            <w:r w:rsidRPr="005B33B0">
              <w:rPr>
                <w:rFonts w:ascii="Calibri" w:hAnsi="Calibri" w:cs="Calibri"/>
                <w:bCs/>
                <w:sz w:val="20"/>
              </w:rPr>
              <w:t>reštaurácií</w:t>
            </w:r>
          </w:p>
        </w:tc>
        <w:tc>
          <w:tcPr>
            <w:tcW w:w="2953"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22,51</w:t>
            </w:r>
          </w:p>
        </w:tc>
        <w:tc>
          <w:tcPr>
            <w:tcW w:w="2551" w:type="dxa"/>
            <w:gridSpan w:val="3"/>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
                <w:bCs/>
                <w:sz w:val="20"/>
              </w:rPr>
            </w:pPr>
            <w:r w:rsidRPr="005B33B0">
              <w:rPr>
                <w:rFonts w:ascii="Calibri" w:hAnsi="Calibri" w:cs="Calibri"/>
                <w:bCs/>
                <w:sz w:val="20"/>
              </w:rPr>
              <w:t>64,00 (B)</w:t>
            </w:r>
          </w:p>
        </w:tc>
        <w:tc>
          <w:tcPr>
            <w:tcW w:w="1830" w:type="dxa"/>
            <w:tcBorders>
              <w:top w:val="single" w:sz="2" w:space="0" w:color="auto"/>
              <w:left w:val="single" w:sz="2" w:space="0" w:color="auto"/>
              <w:bottom w:val="single" w:sz="2" w:space="0" w:color="auto"/>
              <w:right w:val="single" w:sz="18" w:space="0" w:color="auto"/>
            </w:tcBorders>
            <w:vAlign w:val="center"/>
          </w:tcPr>
          <w:p w:rsidR="00ED12C2" w:rsidRPr="005B33B0" w:rsidRDefault="00ED12C2" w:rsidP="00ED12C2">
            <w:pPr>
              <w:jc w:val="both"/>
              <w:rPr>
                <w:rFonts w:ascii="Calibri" w:hAnsi="Calibri" w:cs="Calibri"/>
                <w:b/>
                <w:bCs/>
                <w:sz w:val="20"/>
              </w:rPr>
            </w:pPr>
            <w:r w:rsidRPr="005B33B0">
              <w:rPr>
                <w:rFonts w:ascii="Calibri" w:hAnsi="Calibri" w:cs="Calibri"/>
                <w:b/>
                <w:bCs/>
                <w:sz w:val="20"/>
              </w:rPr>
              <w:t>A</w:t>
            </w:r>
          </w:p>
        </w:tc>
      </w:tr>
      <w:tr w:rsidR="00ED12C2" w:rsidRPr="005B33B0" w:rsidTr="00ED12C2">
        <w:trPr>
          <w:trHeight w:val="300"/>
        </w:trPr>
        <w:tc>
          <w:tcPr>
            <w:tcW w:w="9778" w:type="dxa"/>
            <w:gridSpan w:val="6"/>
            <w:tcBorders>
              <w:top w:val="single" w:sz="2" w:space="0" w:color="auto"/>
              <w:left w:val="single" w:sz="18" w:space="0" w:color="auto"/>
              <w:bottom w:val="single" w:sz="2" w:space="0" w:color="auto"/>
              <w:right w:val="single" w:sz="18" w:space="0" w:color="auto"/>
            </w:tcBorders>
            <w:noWrap/>
            <w:vAlign w:val="center"/>
          </w:tcPr>
          <w:p w:rsidR="00ED12C2" w:rsidRPr="005B33B0" w:rsidRDefault="00ED12C2" w:rsidP="00ED12C2">
            <w:pPr>
              <w:jc w:val="both"/>
              <w:rPr>
                <w:rFonts w:ascii="Calibri" w:hAnsi="Calibri" w:cs="Calibri"/>
                <w:b/>
                <w:bCs/>
                <w:sz w:val="20"/>
              </w:rPr>
            </w:pPr>
          </w:p>
        </w:tc>
      </w:tr>
      <w:tr w:rsidR="00ED12C2" w:rsidRPr="005B33B0" w:rsidTr="00ED12C2">
        <w:trPr>
          <w:trHeight w:val="300"/>
        </w:trPr>
        <w:tc>
          <w:tcPr>
            <w:tcW w:w="9778" w:type="dxa"/>
            <w:gridSpan w:val="6"/>
            <w:tcBorders>
              <w:top w:val="single" w:sz="2" w:space="0" w:color="auto"/>
              <w:left w:val="single" w:sz="18" w:space="0" w:color="auto"/>
              <w:bottom w:val="single" w:sz="2" w:space="0" w:color="auto"/>
              <w:right w:val="single" w:sz="18" w:space="0" w:color="auto"/>
            </w:tcBorders>
            <w:noWrap/>
            <w:vAlign w:val="center"/>
          </w:tcPr>
          <w:p w:rsidR="00ED12C2" w:rsidRPr="005B33B0" w:rsidRDefault="00ED12C2" w:rsidP="00ED12C2">
            <w:pPr>
              <w:jc w:val="both"/>
              <w:rPr>
                <w:rFonts w:ascii="Calibri" w:hAnsi="Calibri" w:cs="Calibri"/>
                <w:b/>
                <w:bCs/>
                <w:sz w:val="20"/>
              </w:rPr>
            </w:pPr>
            <w:r w:rsidRPr="005B33B0">
              <w:rPr>
                <w:rFonts w:ascii="Calibri" w:hAnsi="Calibri" w:cs="Calibri"/>
                <w:b/>
                <w:bCs/>
                <w:sz w:val="20"/>
              </w:rPr>
              <w:t>Energetická hospodárnosť podľa potreby energie na vetranie a chladenie</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tcPr>
          <w:p w:rsidR="00ED12C2" w:rsidRPr="005B33B0" w:rsidRDefault="00ED12C2" w:rsidP="00ED12C2">
            <w:pPr>
              <w:jc w:val="both"/>
              <w:rPr>
                <w:rFonts w:ascii="Calibri" w:hAnsi="Calibri" w:cs="Calibri"/>
                <w:bCs/>
                <w:sz w:val="20"/>
              </w:rPr>
            </w:pPr>
            <w:r w:rsidRPr="005B33B0">
              <w:rPr>
                <w:rFonts w:ascii="Calibri" w:hAnsi="Calibri" w:cs="Calibri"/>
                <w:bCs/>
                <w:sz w:val="20"/>
              </w:rPr>
              <w:t>Kategória budovy</w:t>
            </w:r>
          </w:p>
        </w:tc>
        <w:tc>
          <w:tcPr>
            <w:tcW w:w="2953" w:type="dxa"/>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Celková dodaná energia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2551" w:type="dxa"/>
            <w:gridSpan w:val="3"/>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Minimálna požiadavka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1830" w:type="dxa"/>
            <w:tcBorders>
              <w:top w:val="single" w:sz="2" w:space="0" w:color="auto"/>
              <w:left w:val="single" w:sz="2" w:space="0" w:color="auto"/>
              <w:bottom w:val="single" w:sz="2" w:space="0" w:color="auto"/>
              <w:right w:val="single" w:sz="18"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Trieda</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bCs/>
                <w:sz w:val="20"/>
              </w:rPr>
            </w:pPr>
            <w:r w:rsidRPr="005B33B0">
              <w:rPr>
                <w:rFonts w:ascii="Calibri" w:hAnsi="Calibri" w:cs="Calibri"/>
                <w:bCs/>
                <w:sz w:val="20"/>
              </w:rPr>
              <w:t>reštaurácií</w:t>
            </w:r>
          </w:p>
        </w:tc>
        <w:tc>
          <w:tcPr>
            <w:tcW w:w="2953"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2,89</w:t>
            </w:r>
          </w:p>
        </w:tc>
        <w:tc>
          <w:tcPr>
            <w:tcW w:w="2551" w:type="dxa"/>
            <w:gridSpan w:val="3"/>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
                <w:bCs/>
                <w:sz w:val="20"/>
              </w:rPr>
            </w:pPr>
            <w:r w:rsidRPr="005B33B0">
              <w:rPr>
                <w:rFonts w:ascii="Calibri" w:hAnsi="Calibri" w:cs="Calibri"/>
                <w:bCs/>
                <w:sz w:val="20"/>
              </w:rPr>
              <w:t>28,00 (B)</w:t>
            </w:r>
          </w:p>
        </w:tc>
        <w:tc>
          <w:tcPr>
            <w:tcW w:w="1830" w:type="dxa"/>
            <w:tcBorders>
              <w:top w:val="single" w:sz="2" w:space="0" w:color="auto"/>
              <w:left w:val="single" w:sz="2" w:space="0" w:color="auto"/>
              <w:bottom w:val="single" w:sz="2" w:space="0" w:color="auto"/>
              <w:right w:val="single" w:sz="18" w:space="0" w:color="auto"/>
            </w:tcBorders>
            <w:vAlign w:val="center"/>
          </w:tcPr>
          <w:p w:rsidR="00ED12C2" w:rsidRPr="005B33B0" w:rsidRDefault="00ED12C2" w:rsidP="00ED12C2">
            <w:pPr>
              <w:jc w:val="both"/>
              <w:rPr>
                <w:rFonts w:ascii="Calibri" w:hAnsi="Calibri" w:cs="Calibri"/>
                <w:b/>
                <w:bCs/>
                <w:sz w:val="20"/>
              </w:rPr>
            </w:pPr>
            <w:r w:rsidRPr="005B33B0">
              <w:rPr>
                <w:rFonts w:ascii="Calibri" w:hAnsi="Calibri" w:cs="Calibri"/>
                <w:b/>
                <w:bCs/>
                <w:sz w:val="20"/>
              </w:rPr>
              <w:t>A</w:t>
            </w:r>
          </w:p>
        </w:tc>
      </w:tr>
      <w:tr w:rsidR="00ED12C2" w:rsidRPr="005B33B0" w:rsidTr="00ED12C2">
        <w:trPr>
          <w:trHeight w:val="300"/>
        </w:trPr>
        <w:tc>
          <w:tcPr>
            <w:tcW w:w="9778" w:type="dxa"/>
            <w:gridSpan w:val="6"/>
            <w:tcBorders>
              <w:top w:val="single" w:sz="2" w:space="0" w:color="auto"/>
              <w:left w:val="single" w:sz="18" w:space="0" w:color="auto"/>
              <w:bottom w:val="single" w:sz="2" w:space="0" w:color="auto"/>
              <w:right w:val="single" w:sz="18" w:space="0" w:color="auto"/>
            </w:tcBorders>
            <w:noWrap/>
            <w:vAlign w:val="center"/>
          </w:tcPr>
          <w:p w:rsidR="00ED12C2" w:rsidRPr="005B33B0" w:rsidRDefault="00ED12C2" w:rsidP="00ED12C2">
            <w:pPr>
              <w:jc w:val="both"/>
              <w:rPr>
                <w:rFonts w:ascii="Calibri" w:hAnsi="Calibri" w:cs="Calibri"/>
                <w:b/>
                <w:bCs/>
                <w:sz w:val="20"/>
              </w:rPr>
            </w:pPr>
          </w:p>
          <w:p w:rsidR="00ED12C2" w:rsidRPr="005B33B0" w:rsidRDefault="00ED12C2" w:rsidP="00ED12C2">
            <w:pPr>
              <w:jc w:val="both"/>
              <w:rPr>
                <w:rFonts w:ascii="Calibri" w:hAnsi="Calibri" w:cs="Calibri"/>
                <w:b/>
                <w:bCs/>
                <w:sz w:val="20"/>
              </w:rPr>
            </w:pPr>
          </w:p>
          <w:p w:rsidR="00ED12C2" w:rsidRPr="005B33B0" w:rsidRDefault="00ED12C2" w:rsidP="00ED12C2">
            <w:pPr>
              <w:jc w:val="both"/>
              <w:rPr>
                <w:rFonts w:ascii="Calibri" w:hAnsi="Calibri" w:cs="Calibri"/>
                <w:b/>
                <w:bCs/>
                <w:sz w:val="20"/>
              </w:rPr>
            </w:pPr>
          </w:p>
        </w:tc>
      </w:tr>
      <w:tr w:rsidR="00ED12C2" w:rsidRPr="005B33B0" w:rsidTr="00ED12C2">
        <w:trPr>
          <w:trHeight w:val="300"/>
        </w:trPr>
        <w:tc>
          <w:tcPr>
            <w:tcW w:w="9778" w:type="dxa"/>
            <w:gridSpan w:val="6"/>
            <w:tcBorders>
              <w:top w:val="single" w:sz="2" w:space="0" w:color="auto"/>
              <w:left w:val="single" w:sz="18" w:space="0" w:color="auto"/>
              <w:bottom w:val="single" w:sz="2" w:space="0" w:color="auto"/>
              <w:right w:val="single" w:sz="18" w:space="0" w:color="auto"/>
            </w:tcBorders>
            <w:noWrap/>
            <w:vAlign w:val="center"/>
          </w:tcPr>
          <w:p w:rsidR="00ED12C2" w:rsidRPr="005B33B0" w:rsidRDefault="00ED12C2" w:rsidP="00ED12C2">
            <w:pPr>
              <w:jc w:val="both"/>
              <w:rPr>
                <w:rFonts w:ascii="Calibri" w:hAnsi="Calibri" w:cs="Calibri"/>
                <w:b/>
                <w:bCs/>
                <w:sz w:val="20"/>
              </w:rPr>
            </w:pPr>
            <w:r w:rsidRPr="005B33B0">
              <w:rPr>
                <w:rFonts w:ascii="Calibri" w:hAnsi="Calibri" w:cs="Calibri"/>
                <w:b/>
                <w:bCs/>
                <w:sz w:val="20"/>
              </w:rPr>
              <w:t>Energetická hospodárnosť podľa potreby energie na osvetlenie</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tcPr>
          <w:p w:rsidR="00ED12C2" w:rsidRPr="005B33B0" w:rsidRDefault="00ED12C2" w:rsidP="00ED12C2">
            <w:pPr>
              <w:jc w:val="both"/>
              <w:rPr>
                <w:rFonts w:ascii="Calibri" w:hAnsi="Calibri" w:cs="Calibri"/>
                <w:bCs/>
                <w:sz w:val="20"/>
              </w:rPr>
            </w:pPr>
            <w:r w:rsidRPr="005B33B0">
              <w:rPr>
                <w:rFonts w:ascii="Calibri" w:hAnsi="Calibri" w:cs="Calibri"/>
                <w:bCs/>
                <w:sz w:val="20"/>
              </w:rPr>
              <w:t>Kategória budovy</w:t>
            </w:r>
          </w:p>
        </w:tc>
        <w:tc>
          <w:tcPr>
            <w:tcW w:w="2953" w:type="dxa"/>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Celková dodaná energia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2551" w:type="dxa"/>
            <w:gridSpan w:val="3"/>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Minimálna požiadavka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1830" w:type="dxa"/>
            <w:tcBorders>
              <w:top w:val="single" w:sz="2" w:space="0" w:color="auto"/>
              <w:left w:val="single" w:sz="2" w:space="0" w:color="auto"/>
              <w:bottom w:val="single" w:sz="2" w:space="0" w:color="auto"/>
              <w:right w:val="single" w:sz="18"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Trieda</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bCs/>
                <w:sz w:val="20"/>
              </w:rPr>
            </w:pPr>
            <w:r w:rsidRPr="005B33B0">
              <w:rPr>
                <w:rFonts w:ascii="Calibri" w:hAnsi="Calibri" w:cs="Calibri"/>
                <w:bCs/>
                <w:sz w:val="20"/>
              </w:rPr>
              <w:t>reštaurácií</w:t>
            </w:r>
          </w:p>
        </w:tc>
        <w:tc>
          <w:tcPr>
            <w:tcW w:w="2953"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15,88</w:t>
            </w:r>
          </w:p>
        </w:tc>
        <w:tc>
          <w:tcPr>
            <w:tcW w:w="2551" w:type="dxa"/>
            <w:gridSpan w:val="3"/>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24,00 (B)</w:t>
            </w:r>
          </w:p>
        </w:tc>
        <w:tc>
          <w:tcPr>
            <w:tcW w:w="1830" w:type="dxa"/>
            <w:tcBorders>
              <w:top w:val="single" w:sz="2" w:space="0" w:color="auto"/>
              <w:left w:val="single" w:sz="2" w:space="0" w:color="auto"/>
              <w:bottom w:val="single" w:sz="2" w:space="0" w:color="auto"/>
              <w:right w:val="single" w:sz="18" w:space="0" w:color="auto"/>
            </w:tcBorders>
            <w:vAlign w:val="center"/>
          </w:tcPr>
          <w:p w:rsidR="00ED12C2" w:rsidRPr="005B33B0" w:rsidRDefault="00ED12C2" w:rsidP="00ED12C2">
            <w:pPr>
              <w:jc w:val="both"/>
              <w:rPr>
                <w:rFonts w:ascii="Calibri" w:hAnsi="Calibri" w:cs="Calibri"/>
                <w:b/>
                <w:bCs/>
                <w:sz w:val="20"/>
              </w:rPr>
            </w:pPr>
            <w:r w:rsidRPr="005B33B0">
              <w:rPr>
                <w:rFonts w:ascii="Calibri" w:hAnsi="Calibri" w:cs="Calibri"/>
                <w:b/>
                <w:bCs/>
                <w:sz w:val="20"/>
              </w:rPr>
              <w:t>B</w:t>
            </w:r>
          </w:p>
        </w:tc>
      </w:tr>
      <w:tr w:rsidR="00ED12C2" w:rsidRPr="005B33B0" w:rsidTr="00ED12C2">
        <w:trPr>
          <w:trHeight w:val="300"/>
        </w:trPr>
        <w:tc>
          <w:tcPr>
            <w:tcW w:w="9778" w:type="dxa"/>
            <w:gridSpan w:val="6"/>
            <w:tcBorders>
              <w:top w:val="single" w:sz="2" w:space="0" w:color="auto"/>
              <w:left w:val="single" w:sz="18" w:space="0" w:color="auto"/>
              <w:bottom w:val="single" w:sz="2" w:space="0" w:color="auto"/>
              <w:right w:val="single" w:sz="18" w:space="0" w:color="auto"/>
            </w:tcBorders>
            <w:noWrap/>
            <w:vAlign w:val="center"/>
          </w:tcPr>
          <w:p w:rsidR="00ED12C2" w:rsidRPr="005B33B0" w:rsidRDefault="00ED12C2" w:rsidP="00ED12C2">
            <w:pPr>
              <w:jc w:val="both"/>
              <w:rPr>
                <w:rFonts w:ascii="Calibri" w:hAnsi="Calibri" w:cs="Calibri"/>
                <w:b/>
                <w:bCs/>
                <w:sz w:val="20"/>
              </w:rPr>
            </w:pPr>
          </w:p>
        </w:tc>
      </w:tr>
      <w:tr w:rsidR="00ED12C2" w:rsidRPr="005B33B0" w:rsidTr="00ED12C2">
        <w:trPr>
          <w:trHeight w:val="300"/>
        </w:trPr>
        <w:tc>
          <w:tcPr>
            <w:tcW w:w="9778" w:type="dxa"/>
            <w:gridSpan w:val="6"/>
            <w:tcBorders>
              <w:top w:val="single" w:sz="2" w:space="0" w:color="auto"/>
              <w:left w:val="single" w:sz="18" w:space="0" w:color="auto"/>
              <w:bottom w:val="single" w:sz="2" w:space="0" w:color="auto"/>
              <w:right w:val="single" w:sz="18" w:space="0" w:color="auto"/>
            </w:tcBorders>
            <w:noWrap/>
            <w:vAlign w:val="center"/>
          </w:tcPr>
          <w:p w:rsidR="00ED12C2" w:rsidRPr="005B33B0" w:rsidRDefault="00ED12C2" w:rsidP="00ED12C2">
            <w:pPr>
              <w:jc w:val="both"/>
              <w:rPr>
                <w:rFonts w:ascii="Calibri" w:hAnsi="Calibri" w:cs="Calibri"/>
                <w:b/>
                <w:bCs/>
                <w:sz w:val="20"/>
              </w:rPr>
            </w:pPr>
            <w:r w:rsidRPr="005B33B0">
              <w:rPr>
                <w:rFonts w:ascii="Calibri" w:hAnsi="Calibri" w:cs="Calibri"/>
                <w:b/>
                <w:bCs/>
                <w:sz w:val="20"/>
              </w:rPr>
              <w:t>Energetická hospodárnosť podľa celkovej potreby energie budovy</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tcPr>
          <w:p w:rsidR="00ED12C2" w:rsidRPr="005B33B0" w:rsidRDefault="00ED12C2" w:rsidP="00ED12C2">
            <w:pPr>
              <w:jc w:val="both"/>
              <w:rPr>
                <w:rFonts w:ascii="Calibri" w:hAnsi="Calibri" w:cs="Calibri"/>
                <w:bCs/>
                <w:sz w:val="20"/>
              </w:rPr>
            </w:pPr>
            <w:r w:rsidRPr="005B33B0">
              <w:rPr>
                <w:rFonts w:ascii="Calibri" w:hAnsi="Calibri" w:cs="Calibri"/>
                <w:bCs/>
                <w:sz w:val="20"/>
              </w:rPr>
              <w:t>Kategória budovy</w:t>
            </w:r>
          </w:p>
        </w:tc>
        <w:tc>
          <w:tcPr>
            <w:tcW w:w="2953" w:type="dxa"/>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Celková dodaná energia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2551" w:type="dxa"/>
            <w:gridSpan w:val="3"/>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Minimálna požiadavka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1830" w:type="dxa"/>
            <w:tcBorders>
              <w:top w:val="single" w:sz="2" w:space="0" w:color="auto"/>
              <w:left w:val="single" w:sz="2" w:space="0" w:color="auto"/>
              <w:bottom w:val="single" w:sz="2" w:space="0" w:color="auto"/>
              <w:right w:val="single" w:sz="18"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Trieda</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bCs/>
                <w:sz w:val="20"/>
              </w:rPr>
            </w:pPr>
            <w:r w:rsidRPr="005B33B0">
              <w:rPr>
                <w:rFonts w:ascii="Calibri" w:hAnsi="Calibri" w:cs="Calibri"/>
                <w:bCs/>
                <w:sz w:val="20"/>
              </w:rPr>
              <w:t>reštaurácií</w:t>
            </w:r>
          </w:p>
        </w:tc>
        <w:tc>
          <w:tcPr>
            <w:tcW w:w="2953"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71,94</w:t>
            </w:r>
          </w:p>
        </w:tc>
        <w:tc>
          <w:tcPr>
            <w:tcW w:w="2551" w:type="dxa"/>
            <w:gridSpan w:val="3"/>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
                <w:bCs/>
                <w:sz w:val="20"/>
              </w:rPr>
            </w:pPr>
            <w:r w:rsidRPr="005B33B0">
              <w:rPr>
                <w:rFonts w:ascii="Calibri" w:hAnsi="Calibri" w:cs="Calibri"/>
                <w:bCs/>
                <w:sz w:val="20"/>
              </w:rPr>
              <w:t>187,00 (B)</w:t>
            </w:r>
          </w:p>
        </w:tc>
        <w:tc>
          <w:tcPr>
            <w:tcW w:w="1830" w:type="dxa"/>
            <w:tcBorders>
              <w:top w:val="single" w:sz="2" w:space="0" w:color="auto"/>
              <w:left w:val="single" w:sz="2" w:space="0" w:color="auto"/>
              <w:bottom w:val="single" w:sz="2" w:space="0" w:color="auto"/>
              <w:right w:val="single" w:sz="18" w:space="0" w:color="auto"/>
            </w:tcBorders>
            <w:vAlign w:val="center"/>
          </w:tcPr>
          <w:p w:rsidR="00ED12C2" w:rsidRPr="005B33B0" w:rsidRDefault="00ED12C2" w:rsidP="00ED12C2">
            <w:pPr>
              <w:jc w:val="both"/>
              <w:rPr>
                <w:rFonts w:ascii="Calibri" w:hAnsi="Calibri" w:cs="Calibri"/>
                <w:b/>
                <w:bCs/>
                <w:sz w:val="20"/>
              </w:rPr>
            </w:pPr>
            <w:r w:rsidRPr="005B33B0">
              <w:rPr>
                <w:rFonts w:ascii="Calibri" w:hAnsi="Calibri" w:cs="Calibri"/>
                <w:b/>
                <w:bCs/>
                <w:sz w:val="20"/>
              </w:rPr>
              <w:t>A</w:t>
            </w:r>
          </w:p>
        </w:tc>
      </w:tr>
      <w:tr w:rsidR="00ED12C2" w:rsidRPr="005B33B0" w:rsidTr="00ED12C2">
        <w:trPr>
          <w:trHeight w:val="300"/>
        </w:trPr>
        <w:tc>
          <w:tcPr>
            <w:tcW w:w="9778" w:type="dxa"/>
            <w:gridSpan w:val="6"/>
            <w:tcBorders>
              <w:top w:val="single" w:sz="2" w:space="0" w:color="auto"/>
              <w:left w:val="single" w:sz="18" w:space="0" w:color="auto"/>
              <w:bottom w:val="single" w:sz="2" w:space="0" w:color="auto"/>
              <w:right w:val="single" w:sz="18" w:space="0" w:color="auto"/>
            </w:tcBorders>
            <w:noWrap/>
            <w:vAlign w:val="center"/>
          </w:tcPr>
          <w:p w:rsidR="00ED12C2" w:rsidRPr="005B33B0" w:rsidRDefault="00ED12C2" w:rsidP="00ED12C2">
            <w:pPr>
              <w:jc w:val="both"/>
              <w:rPr>
                <w:rFonts w:ascii="Calibri" w:hAnsi="Calibri" w:cs="Calibri"/>
                <w:b/>
                <w:bCs/>
                <w:sz w:val="20"/>
              </w:rPr>
            </w:pPr>
          </w:p>
        </w:tc>
      </w:tr>
      <w:tr w:rsidR="00ED12C2" w:rsidRPr="005B33B0" w:rsidTr="00ED12C2">
        <w:trPr>
          <w:trHeight w:val="300"/>
        </w:trPr>
        <w:tc>
          <w:tcPr>
            <w:tcW w:w="9778" w:type="dxa"/>
            <w:gridSpan w:val="6"/>
            <w:tcBorders>
              <w:top w:val="single" w:sz="2" w:space="0" w:color="auto"/>
              <w:left w:val="single" w:sz="18" w:space="0" w:color="auto"/>
              <w:bottom w:val="single" w:sz="2" w:space="0" w:color="auto"/>
              <w:right w:val="single" w:sz="18" w:space="0" w:color="auto"/>
            </w:tcBorders>
            <w:noWrap/>
            <w:vAlign w:val="center"/>
          </w:tcPr>
          <w:p w:rsidR="00ED12C2" w:rsidRPr="005B33B0" w:rsidRDefault="00ED12C2" w:rsidP="00ED12C2">
            <w:pPr>
              <w:jc w:val="both"/>
              <w:rPr>
                <w:rFonts w:ascii="Calibri" w:hAnsi="Calibri" w:cs="Calibri"/>
                <w:b/>
                <w:bCs/>
                <w:sz w:val="20"/>
              </w:rPr>
            </w:pPr>
            <w:r w:rsidRPr="005B33B0">
              <w:rPr>
                <w:rFonts w:ascii="Calibri" w:hAnsi="Calibri" w:cs="Calibri"/>
                <w:b/>
                <w:bCs/>
                <w:sz w:val="20"/>
              </w:rPr>
              <w:t>Energetická hospodárnosť podľa globalneho ukazovateľa – primárnej energie</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tcPr>
          <w:p w:rsidR="00ED12C2" w:rsidRPr="005B33B0" w:rsidRDefault="00ED12C2" w:rsidP="00ED12C2">
            <w:pPr>
              <w:jc w:val="both"/>
              <w:rPr>
                <w:rFonts w:ascii="Calibri" w:hAnsi="Calibri" w:cs="Calibri"/>
                <w:bCs/>
                <w:sz w:val="20"/>
              </w:rPr>
            </w:pPr>
            <w:r w:rsidRPr="005B33B0">
              <w:rPr>
                <w:rFonts w:ascii="Calibri" w:hAnsi="Calibri" w:cs="Calibri"/>
                <w:bCs/>
                <w:sz w:val="20"/>
              </w:rPr>
              <w:t>Kategória budovy</w:t>
            </w:r>
          </w:p>
        </w:tc>
        <w:tc>
          <w:tcPr>
            <w:tcW w:w="2953" w:type="dxa"/>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Celková dodaná energia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2551" w:type="dxa"/>
            <w:gridSpan w:val="3"/>
            <w:tcBorders>
              <w:top w:val="single" w:sz="2" w:space="0" w:color="auto"/>
              <w:left w:val="single" w:sz="2" w:space="0" w:color="auto"/>
              <w:bottom w:val="single" w:sz="2" w:space="0" w:color="auto"/>
              <w:right w:val="single" w:sz="2"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Minimálna požiadavka</w:t>
            </w:r>
          </w:p>
          <w:p w:rsidR="00ED12C2" w:rsidRPr="005B33B0" w:rsidRDefault="00ED12C2" w:rsidP="00ED12C2">
            <w:pPr>
              <w:jc w:val="both"/>
              <w:rPr>
                <w:rFonts w:ascii="Calibri" w:hAnsi="Calibri" w:cs="Calibri"/>
                <w:bCs/>
                <w:sz w:val="20"/>
              </w:rPr>
            </w:pPr>
            <w:r w:rsidRPr="005B33B0">
              <w:rPr>
                <w:rFonts w:ascii="Calibri" w:hAnsi="Calibri" w:cs="Calibri"/>
                <w:bCs/>
                <w:sz w:val="20"/>
              </w:rPr>
              <w:t>(kWh/m2.rok)</w:t>
            </w:r>
          </w:p>
        </w:tc>
        <w:tc>
          <w:tcPr>
            <w:tcW w:w="1830" w:type="dxa"/>
            <w:tcBorders>
              <w:top w:val="single" w:sz="2" w:space="0" w:color="auto"/>
              <w:left w:val="single" w:sz="2" w:space="0" w:color="auto"/>
              <w:bottom w:val="single" w:sz="2" w:space="0" w:color="auto"/>
              <w:right w:val="single" w:sz="18" w:space="0" w:color="auto"/>
            </w:tcBorders>
          </w:tcPr>
          <w:p w:rsidR="00ED12C2" w:rsidRPr="005B33B0" w:rsidRDefault="00ED12C2" w:rsidP="00ED12C2">
            <w:pPr>
              <w:jc w:val="both"/>
              <w:rPr>
                <w:rFonts w:ascii="Calibri" w:hAnsi="Calibri" w:cs="Calibri"/>
                <w:bCs/>
                <w:sz w:val="20"/>
              </w:rPr>
            </w:pPr>
            <w:r w:rsidRPr="005B33B0">
              <w:rPr>
                <w:rFonts w:ascii="Calibri" w:hAnsi="Calibri" w:cs="Calibri"/>
                <w:bCs/>
                <w:sz w:val="20"/>
              </w:rPr>
              <w:t>Trieda</w:t>
            </w:r>
          </w:p>
        </w:tc>
      </w:tr>
      <w:tr w:rsidR="00ED12C2" w:rsidRPr="005B33B0" w:rsidTr="00ED12C2">
        <w:trPr>
          <w:trHeight w:val="300"/>
        </w:trPr>
        <w:tc>
          <w:tcPr>
            <w:tcW w:w="2444" w:type="dxa"/>
            <w:tcBorders>
              <w:top w:val="single" w:sz="2" w:space="0" w:color="auto"/>
              <w:left w:val="single" w:sz="18" w:space="0" w:color="auto"/>
              <w:bottom w:val="single" w:sz="2" w:space="0" w:color="auto"/>
              <w:right w:val="single" w:sz="2" w:space="0" w:color="auto"/>
            </w:tcBorders>
            <w:noWrap/>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bCs/>
                <w:sz w:val="20"/>
              </w:rPr>
            </w:pPr>
            <w:r w:rsidRPr="005B33B0">
              <w:rPr>
                <w:rFonts w:ascii="Calibri" w:hAnsi="Calibri" w:cs="Calibri"/>
                <w:bCs/>
                <w:sz w:val="20"/>
              </w:rPr>
              <w:t>reštaurácií</w:t>
            </w:r>
          </w:p>
        </w:tc>
        <w:tc>
          <w:tcPr>
            <w:tcW w:w="2953"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158,27</w:t>
            </w:r>
          </w:p>
        </w:tc>
        <w:tc>
          <w:tcPr>
            <w:tcW w:w="2551" w:type="dxa"/>
            <w:gridSpan w:val="3"/>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Fonts w:ascii="Calibri" w:hAnsi="Calibri" w:cs="Calibri"/>
                <w:b/>
                <w:bCs/>
                <w:sz w:val="20"/>
              </w:rPr>
            </w:pPr>
            <w:r w:rsidRPr="005B33B0">
              <w:rPr>
                <w:rFonts w:ascii="Calibri" w:hAnsi="Calibri" w:cs="Calibri"/>
                <w:bCs/>
                <w:sz w:val="20"/>
              </w:rPr>
              <w:t>164,00 (A1)</w:t>
            </w:r>
          </w:p>
        </w:tc>
        <w:tc>
          <w:tcPr>
            <w:tcW w:w="1830" w:type="dxa"/>
            <w:tcBorders>
              <w:top w:val="single" w:sz="2" w:space="0" w:color="auto"/>
              <w:left w:val="single" w:sz="2" w:space="0" w:color="auto"/>
              <w:bottom w:val="single" w:sz="2" w:space="0" w:color="auto"/>
              <w:right w:val="single" w:sz="18" w:space="0" w:color="auto"/>
            </w:tcBorders>
            <w:vAlign w:val="center"/>
          </w:tcPr>
          <w:p w:rsidR="00ED12C2" w:rsidRPr="005B33B0" w:rsidRDefault="00ED12C2" w:rsidP="00ED12C2">
            <w:pPr>
              <w:jc w:val="both"/>
              <w:rPr>
                <w:rFonts w:ascii="Calibri" w:hAnsi="Calibri" w:cs="Calibri"/>
                <w:b/>
                <w:bCs/>
                <w:sz w:val="20"/>
              </w:rPr>
            </w:pPr>
            <w:r w:rsidRPr="005B33B0">
              <w:rPr>
                <w:rFonts w:ascii="Calibri" w:hAnsi="Calibri" w:cs="Calibri"/>
                <w:b/>
                <w:bCs/>
                <w:sz w:val="20"/>
              </w:rPr>
              <w:t>A1</w:t>
            </w:r>
          </w:p>
        </w:tc>
      </w:tr>
      <w:tr w:rsidR="00ED12C2" w:rsidRPr="005B33B0" w:rsidTr="00ED12C2">
        <w:trPr>
          <w:trHeight w:val="300"/>
        </w:trPr>
        <w:tc>
          <w:tcPr>
            <w:tcW w:w="9778" w:type="dxa"/>
            <w:gridSpan w:val="6"/>
            <w:tcBorders>
              <w:top w:val="single" w:sz="2" w:space="0" w:color="auto"/>
              <w:left w:val="single" w:sz="18" w:space="0" w:color="auto"/>
              <w:bottom w:val="single" w:sz="18" w:space="0" w:color="auto"/>
              <w:right w:val="single" w:sz="18" w:space="0" w:color="auto"/>
            </w:tcBorders>
            <w:noWrap/>
            <w:vAlign w:val="center"/>
          </w:tcPr>
          <w:p w:rsidR="00ED12C2" w:rsidRPr="005B33B0" w:rsidRDefault="00ED12C2" w:rsidP="00ED12C2">
            <w:pPr>
              <w:jc w:val="both"/>
              <w:rPr>
                <w:rFonts w:ascii="Calibri" w:hAnsi="Calibri" w:cs="Calibri"/>
                <w:sz w:val="20"/>
              </w:rPr>
            </w:pPr>
          </w:p>
        </w:tc>
      </w:tr>
    </w:tbl>
    <w:p w:rsidR="00ED12C2" w:rsidRPr="005B33B0" w:rsidRDefault="00ED12C2" w:rsidP="00ED12C2">
      <w:pPr>
        <w:autoSpaceDE w:val="0"/>
        <w:autoSpaceDN w:val="0"/>
        <w:adjustRightInd w:val="0"/>
        <w:jc w:val="both"/>
        <w:rPr>
          <w:rFonts w:ascii="Calibri" w:hAnsi="Calibri" w:cs="Calibri"/>
          <w:sz w:val="20"/>
        </w:rPr>
      </w:pPr>
    </w:p>
    <w:p w:rsidR="00ED12C2" w:rsidRPr="005B33B0" w:rsidRDefault="00ED12C2" w:rsidP="00ED12C2">
      <w:pPr>
        <w:autoSpaceDE w:val="0"/>
        <w:autoSpaceDN w:val="0"/>
        <w:adjustRightInd w:val="0"/>
        <w:jc w:val="both"/>
        <w:rPr>
          <w:rFonts w:ascii="Calibri" w:hAnsi="Calibri" w:cs="Calibri"/>
          <w:sz w:val="20"/>
        </w:rPr>
      </w:pPr>
    </w:p>
    <w:p w:rsidR="00ED12C2" w:rsidRPr="005B33B0" w:rsidRDefault="00ED12C2" w:rsidP="00ED12C2">
      <w:pPr>
        <w:jc w:val="both"/>
        <w:rPr>
          <w:rFonts w:ascii="Calibri" w:hAnsi="Calibri" w:cs="Calibri"/>
          <w:b/>
          <w:sz w:val="20"/>
        </w:rPr>
      </w:pPr>
      <w:r w:rsidRPr="005B33B0">
        <w:rPr>
          <w:rFonts w:ascii="Calibri" w:hAnsi="Calibri" w:cs="Calibri"/>
          <w:sz w:val="20"/>
        </w:rPr>
        <w:t xml:space="preserve">Minimálnou požiadavkou na energetickú hospodárnosť nových budov postavených po 31.decembri 2015 je horná hranica energetickej triedy A1 pre globálny ukazovateľ, významne obnovovaná budova musí túto požiadavku spĺňať, ak je to technicky, funkčne a ekonomicky uskutočniteľné. </w:t>
      </w:r>
      <w:r w:rsidRPr="005B33B0">
        <w:rPr>
          <w:rFonts w:ascii="Calibri" w:hAnsi="Calibri" w:cs="Calibri"/>
          <w:b/>
          <w:sz w:val="20"/>
        </w:rPr>
        <w:t>Požiadavka JE SPLNENÁ.</w:t>
      </w:r>
    </w:p>
    <w:p w:rsidR="00ED12C2" w:rsidRPr="005B33B0" w:rsidRDefault="00ED12C2" w:rsidP="00ED12C2">
      <w:pPr>
        <w:ind w:firstLine="708"/>
        <w:jc w:val="both"/>
        <w:rPr>
          <w:rFonts w:ascii="Calibri" w:hAnsi="Calibri" w:cs="Calibri"/>
          <w:b/>
          <w:color w:val="FF0000"/>
          <w:sz w:val="20"/>
        </w:rPr>
      </w:pPr>
    </w:p>
    <w:p w:rsidR="00ED12C2" w:rsidRPr="005B33B0" w:rsidRDefault="00ED12C2" w:rsidP="00ED12C2">
      <w:pPr>
        <w:pStyle w:val="Nadpis2"/>
        <w:numPr>
          <w:ilvl w:val="0"/>
          <w:numId w:val="0"/>
        </w:numPr>
        <w:jc w:val="both"/>
        <w:rPr>
          <w:rFonts w:ascii="Calibri" w:hAnsi="Calibri" w:cs="Calibri"/>
          <w:szCs w:val="20"/>
        </w:rPr>
      </w:pPr>
      <w:bookmarkStart w:id="149" w:name="_Toc1907039"/>
      <w:r w:rsidRPr="005B33B0">
        <w:rPr>
          <w:rFonts w:ascii="Calibri" w:hAnsi="Calibri" w:cs="Calibri"/>
          <w:szCs w:val="20"/>
        </w:rPr>
        <w:t>5.5 Škály energetických tried pre Skutkový stav</w:t>
      </w:r>
      <w:bookmarkEnd w:id="149"/>
    </w:p>
    <w:p w:rsidR="00ED12C2" w:rsidRPr="005B33B0" w:rsidRDefault="00ED12C2" w:rsidP="00ED12C2">
      <w:pPr>
        <w:jc w:val="both"/>
        <w:rPr>
          <w:rFonts w:ascii="Calibri" w:hAnsi="Calibri" w:cs="Calibri"/>
          <w:b/>
          <w:sz w:val="20"/>
        </w:rPr>
      </w:pPr>
      <w:r w:rsidRPr="005B33B0">
        <w:rPr>
          <w:rFonts w:ascii="Calibri" w:hAnsi="Calibri" w:cs="Calibri"/>
          <w:b/>
          <w:sz w:val="20"/>
        </w:rPr>
        <w:t>Škála energetickej triedy pre potrebu energie na vykurovanie v kWh/(m2.a)</w:t>
      </w:r>
    </w:p>
    <w:tbl>
      <w:tblPr>
        <w:tblW w:w="847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2062"/>
        <w:gridCol w:w="907"/>
        <w:gridCol w:w="907"/>
        <w:gridCol w:w="907"/>
        <w:gridCol w:w="907"/>
        <w:gridCol w:w="907"/>
        <w:gridCol w:w="907"/>
        <w:gridCol w:w="968"/>
      </w:tblGrid>
      <w:tr w:rsidR="00ED12C2" w:rsidRPr="005B33B0" w:rsidTr="00ED12C2">
        <w:tc>
          <w:tcPr>
            <w:tcW w:w="2062" w:type="dxa"/>
            <w:vMerge w:val="restart"/>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Kategória budov</w:t>
            </w:r>
          </w:p>
        </w:tc>
        <w:tc>
          <w:tcPr>
            <w:tcW w:w="6410" w:type="dxa"/>
            <w:gridSpan w:val="7"/>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Triedy energetickej hospodárnosti budovy</w:t>
            </w:r>
          </w:p>
        </w:tc>
      </w:tr>
      <w:tr w:rsidR="00ED12C2" w:rsidRPr="005B33B0" w:rsidTr="00ED12C2">
        <w:tc>
          <w:tcPr>
            <w:tcW w:w="2062" w:type="dxa"/>
            <w:vMerge/>
            <w:vAlign w:val="center"/>
          </w:tcPr>
          <w:p w:rsidR="00ED12C2" w:rsidRPr="005B33B0" w:rsidRDefault="00ED12C2" w:rsidP="00ED12C2">
            <w:pPr>
              <w:jc w:val="both"/>
              <w:rPr>
                <w:rFonts w:ascii="Calibri" w:hAnsi="Calibri" w:cs="Calibri"/>
                <w:sz w:val="20"/>
              </w:rPr>
            </w:pP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A</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B</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C</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D</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E</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F</w:t>
            </w:r>
          </w:p>
        </w:tc>
        <w:tc>
          <w:tcPr>
            <w:tcW w:w="968"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G</w:t>
            </w:r>
          </w:p>
        </w:tc>
      </w:tr>
      <w:tr w:rsidR="00ED12C2" w:rsidRPr="005B33B0" w:rsidTr="00ED12C2">
        <w:tc>
          <w:tcPr>
            <w:tcW w:w="2062" w:type="dxa"/>
            <w:tcBorders>
              <w:bottom w:val="single" w:sz="18"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sz w:val="20"/>
              </w:rPr>
            </w:pPr>
            <w:r w:rsidRPr="005B33B0">
              <w:rPr>
                <w:rFonts w:ascii="Calibri" w:hAnsi="Calibri" w:cs="Calibri"/>
                <w:bCs/>
                <w:sz w:val="20"/>
              </w:rPr>
              <w:t>reštaurácií</w:t>
            </w:r>
          </w:p>
        </w:tc>
        <w:tc>
          <w:tcPr>
            <w:tcW w:w="907" w:type="dxa"/>
            <w:tcBorders>
              <w:bottom w:val="single" w:sz="18" w:space="0" w:color="auto"/>
            </w:tcBorders>
            <w:shd w:val="clear" w:color="auto" w:fill="00B050"/>
            <w:vAlign w:val="center"/>
          </w:tcPr>
          <w:p w:rsidR="00ED12C2" w:rsidRPr="005B33B0" w:rsidRDefault="00ED12C2" w:rsidP="00ED12C2">
            <w:pPr>
              <w:jc w:val="both"/>
              <w:rPr>
                <w:rFonts w:ascii="Calibri" w:hAnsi="Calibri" w:cs="Calibri"/>
                <w:sz w:val="20"/>
              </w:rPr>
            </w:pPr>
            <w:r w:rsidRPr="005B33B0">
              <w:rPr>
                <w:rFonts w:ascii="Calibri" w:hAnsi="Calibri" w:cs="Calibri"/>
                <w:sz w:val="20"/>
              </w:rPr>
              <w:t>≤ 36</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37-71</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72-107</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108-142</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143-178</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179-213</w:t>
            </w:r>
          </w:p>
        </w:tc>
        <w:tc>
          <w:tcPr>
            <w:tcW w:w="968"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bCs/>
                <w:sz w:val="20"/>
              </w:rPr>
              <w:t>&gt; 213</w:t>
            </w:r>
          </w:p>
        </w:tc>
      </w:tr>
    </w:tbl>
    <w:p w:rsidR="00ED12C2" w:rsidRPr="005B33B0" w:rsidRDefault="00ED12C2" w:rsidP="00ED12C2">
      <w:pPr>
        <w:ind w:firstLine="708"/>
        <w:jc w:val="both"/>
        <w:rPr>
          <w:rFonts w:ascii="Calibri" w:hAnsi="Calibri" w:cs="Calibri"/>
          <w:color w:val="FF0000"/>
          <w:sz w:val="20"/>
        </w:rPr>
      </w:pPr>
    </w:p>
    <w:p w:rsidR="00ED12C2" w:rsidRPr="005B33B0" w:rsidRDefault="00ED12C2" w:rsidP="00ED12C2">
      <w:pPr>
        <w:jc w:val="both"/>
        <w:rPr>
          <w:rFonts w:ascii="Calibri" w:hAnsi="Calibri" w:cs="Calibri"/>
          <w:b/>
          <w:sz w:val="20"/>
        </w:rPr>
      </w:pPr>
      <w:r w:rsidRPr="005B33B0">
        <w:rPr>
          <w:rFonts w:ascii="Calibri" w:hAnsi="Calibri" w:cs="Calibri"/>
          <w:b/>
          <w:sz w:val="20"/>
        </w:rPr>
        <w:t>Škála energetickej triedy pre potrebu energie na prípravu teplej vody v kWh/(m2.a)</w:t>
      </w:r>
    </w:p>
    <w:tbl>
      <w:tblPr>
        <w:tblW w:w="847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2062"/>
        <w:gridCol w:w="907"/>
        <w:gridCol w:w="907"/>
        <w:gridCol w:w="907"/>
        <w:gridCol w:w="907"/>
        <w:gridCol w:w="907"/>
        <w:gridCol w:w="907"/>
        <w:gridCol w:w="968"/>
      </w:tblGrid>
      <w:tr w:rsidR="00ED12C2" w:rsidRPr="005B33B0" w:rsidTr="00ED12C2">
        <w:tc>
          <w:tcPr>
            <w:tcW w:w="2062" w:type="dxa"/>
            <w:vMerge w:val="restart"/>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lastRenderedPageBreak/>
              <w:t>Kategória budov</w:t>
            </w:r>
          </w:p>
        </w:tc>
        <w:tc>
          <w:tcPr>
            <w:tcW w:w="6410" w:type="dxa"/>
            <w:gridSpan w:val="7"/>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Triedy energetickej hospodárnosti budovy</w:t>
            </w:r>
          </w:p>
        </w:tc>
      </w:tr>
      <w:tr w:rsidR="00ED12C2" w:rsidRPr="005B33B0" w:rsidTr="00ED12C2">
        <w:tc>
          <w:tcPr>
            <w:tcW w:w="2062" w:type="dxa"/>
            <w:vMerge/>
            <w:vAlign w:val="center"/>
          </w:tcPr>
          <w:p w:rsidR="00ED12C2" w:rsidRPr="005B33B0" w:rsidRDefault="00ED12C2" w:rsidP="00ED12C2">
            <w:pPr>
              <w:jc w:val="both"/>
              <w:rPr>
                <w:rFonts w:ascii="Calibri" w:hAnsi="Calibri" w:cs="Calibri"/>
                <w:sz w:val="20"/>
              </w:rPr>
            </w:pP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A</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B</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C</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D</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E</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F</w:t>
            </w:r>
          </w:p>
        </w:tc>
        <w:tc>
          <w:tcPr>
            <w:tcW w:w="968"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G</w:t>
            </w:r>
          </w:p>
        </w:tc>
      </w:tr>
      <w:tr w:rsidR="00ED12C2" w:rsidRPr="005B33B0" w:rsidTr="00ED12C2">
        <w:tc>
          <w:tcPr>
            <w:tcW w:w="2062" w:type="dxa"/>
            <w:tcBorders>
              <w:bottom w:val="single" w:sz="18"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sz w:val="20"/>
              </w:rPr>
            </w:pPr>
            <w:r w:rsidRPr="005B33B0">
              <w:rPr>
                <w:rFonts w:ascii="Calibri" w:hAnsi="Calibri" w:cs="Calibri"/>
                <w:bCs/>
                <w:sz w:val="20"/>
              </w:rPr>
              <w:t>reštaurácií</w:t>
            </w:r>
          </w:p>
        </w:tc>
        <w:tc>
          <w:tcPr>
            <w:tcW w:w="907" w:type="dxa"/>
            <w:tcBorders>
              <w:bottom w:val="single" w:sz="18" w:space="0" w:color="auto"/>
            </w:tcBorders>
            <w:shd w:val="clear" w:color="auto" w:fill="00B050"/>
            <w:vAlign w:val="center"/>
          </w:tcPr>
          <w:p w:rsidR="00ED12C2" w:rsidRPr="005B33B0" w:rsidRDefault="00ED12C2" w:rsidP="00ED12C2">
            <w:pPr>
              <w:jc w:val="both"/>
              <w:rPr>
                <w:rFonts w:ascii="Calibri" w:hAnsi="Calibri" w:cs="Calibri"/>
                <w:sz w:val="20"/>
              </w:rPr>
            </w:pPr>
            <w:r w:rsidRPr="005B33B0">
              <w:rPr>
                <w:rFonts w:ascii="Calibri" w:hAnsi="Calibri" w:cs="Calibri"/>
                <w:sz w:val="20"/>
              </w:rPr>
              <w:t>≤ 32</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33-64</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65-96</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97-128</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129-160</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161-192</w:t>
            </w:r>
          </w:p>
        </w:tc>
        <w:tc>
          <w:tcPr>
            <w:tcW w:w="968"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bCs/>
                <w:sz w:val="20"/>
              </w:rPr>
              <w:t>&gt; 192</w:t>
            </w:r>
          </w:p>
        </w:tc>
      </w:tr>
    </w:tbl>
    <w:p w:rsidR="00ED12C2" w:rsidRPr="005B33B0" w:rsidRDefault="00ED12C2" w:rsidP="00ED12C2">
      <w:pPr>
        <w:ind w:firstLine="708"/>
        <w:jc w:val="both"/>
        <w:rPr>
          <w:rFonts w:ascii="Calibri" w:hAnsi="Calibri" w:cs="Calibri"/>
          <w:color w:val="FF0000"/>
          <w:sz w:val="20"/>
        </w:rPr>
      </w:pPr>
    </w:p>
    <w:p w:rsidR="00ED12C2" w:rsidRPr="005B33B0" w:rsidRDefault="00ED12C2" w:rsidP="00ED12C2">
      <w:pPr>
        <w:jc w:val="both"/>
        <w:rPr>
          <w:rFonts w:ascii="Calibri" w:hAnsi="Calibri" w:cs="Calibri"/>
          <w:b/>
          <w:sz w:val="20"/>
        </w:rPr>
      </w:pPr>
      <w:r w:rsidRPr="005B33B0">
        <w:rPr>
          <w:rFonts w:ascii="Calibri" w:hAnsi="Calibri" w:cs="Calibri"/>
          <w:b/>
          <w:sz w:val="20"/>
        </w:rPr>
        <w:t>Škála energetickej triedy pre potrebu energie na vetranie a chladenie v kWh/(m2.a)</w:t>
      </w:r>
    </w:p>
    <w:tbl>
      <w:tblPr>
        <w:tblW w:w="847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2062"/>
        <w:gridCol w:w="907"/>
        <w:gridCol w:w="907"/>
        <w:gridCol w:w="907"/>
        <w:gridCol w:w="907"/>
        <w:gridCol w:w="907"/>
        <w:gridCol w:w="907"/>
        <w:gridCol w:w="968"/>
      </w:tblGrid>
      <w:tr w:rsidR="00ED12C2" w:rsidRPr="005B33B0" w:rsidTr="00ED12C2">
        <w:tc>
          <w:tcPr>
            <w:tcW w:w="2062" w:type="dxa"/>
            <w:vMerge w:val="restart"/>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Kategória budov</w:t>
            </w:r>
          </w:p>
        </w:tc>
        <w:tc>
          <w:tcPr>
            <w:tcW w:w="6410" w:type="dxa"/>
            <w:gridSpan w:val="7"/>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Triedy energetickej hospodárnosti budovy</w:t>
            </w:r>
          </w:p>
        </w:tc>
      </w:tr>
      <w:tr w:rsidR="00ED12C2" w:rsidRPr="000D00F5" w:rsidTr="00ED12C2">
        <w:tc>
          <w:tcPr>
            <w:tcW w:w="2062" w:type="dxa"/>
            <w:vMerge/>
            <w:vAlign w:val="center"/>
          </w:tcPr>
          <w:p w:rsidR="00ED12C2" w:rsidRPr="005B33B0" w:rsidRDefault="00ED12C2" w:rsidP="00ED12C2">
            <w:pPr>
              <w:jc w:val="both"/>
              <w:rPr>
                <w:rFonts w:ascii="Calibri" w:hAnsi="Calibri" w:cs="Calibri"/>
                <w:sz w:val="20"/>
              </w:rPr>
            </w:pP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A</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B</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C</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D</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E</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F</w:t>
            </w:r>
          </w:p>
        </w:tc>
        <w:tc>
          <w:tcPr>
            <w:tcW w:w="968"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G</w:t>
            </w:r>
          </w:p>
        </w:tc>
      </w:tr>
      <w:tr w:rsidR="00ED12C2" w:rsidRPr="005B33B0" w:rsidTr="00ED12C2">
        <w:tc>
          <w:tcPr>
            <w:tcW w:w="2062" w:type="dxa"/>
            <w:tcBorders>
              <w:bottom w:val="single" w:sz="18"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sz w:val="20"/>
              </w:rPr>
            </w:pPr>
            <w:r w:rsidRPr="005B33B0">
              <w:rPr>
                <w:rFonts w:ascii="Calibri" w:hAnsi="Calibri" w:cs="Calibri"/>
                <w:bCs/>
                <w:sz w:val="20"/>
              </w:rPr>
              <w:t>reštaurácií</w:t>
            </w:r>
          </w:p>
        </w:tc>
        <w:tc>
          <w:tcPr>
            <w:tcW w:w="907" w:type="dxa"/>
            <w:tcBorders>
              <w:bottom w:val="single" w:sz="18" w:space="0" w:color="auto"/>
            </w:tcBorders>
            <w:shd w:val="clear" w:color="auto" w:fill="00B050"/>
            <w:vAlign w:val="center"/>
          </w:tcPr>
          <w:p w:rsidR="00ED12C2" w:rsidRPr="005B33B0" w:rsidRDefault="00ED12C2" w:rsidP="00ED12C2">
            <w:pPr>
              <w:jc w:val="both"/>
              <w:rPr>
                <w:rFonts w:ascii="Calibri" w:hAnsi="Calibri" w:cs="Calibri"/>
                <w:sz w:val="20"/>
              </w:rPr>
            </w:pPr>
            <w:r w:rsidRPr="005B33B0">
              <w:rPr>
                <w:rFonts w:ascii="Calibri" w:hAnsi="Calibri" w:cs="Calibri"/>
                <w:sz w:val="20"/>
              </w:rPr>
              <w:t>≤ 14</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15-28</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29-42</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43-56</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57-70</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71-84</w:t>
            </w:r>
          </w:p>
        </w:tc>
        <w:tc>
          <w:tcPr>
            <w:tcW w:w="968"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bCs/>
                <w:sz w:val="20"/>
              </w:rPr>
              <w:t>&gt; 84</w:t>
            </w:r>
          </w:p>
        </w:tc>
      </w:tr>
    </w:tbl>
    <w:p w:rsidR="00ED12C2" w:rsidRPr="005B33B0" w:rsidRDefault="00ED12C2" w:rsidP="00ED12C2">
      <w:pPr>
        <w:jc w:val="both"/>
        <w:rPr>
          <w:rFonts w:ascii="Calibri" w:hAnsi="Calibri" w:cs="Calibri"/>
          <w:b/>
          <w:color w:val="FF0000"/>
          <w:sz w:val="20"/>
        </w:rPr>
      </w:pPr>
    </w:p>
    <w:p w:rsidR="00ED12C2" w:rsidRPr="005B33B0" w:rsidRDefault="00ED12C2" w:rsidP="00ED12C2">
      <w:pPr>
        <w:jc w:val="both"/>
        <w:rPr>
          <w:rFonts w:ascii="Calibri" w:hAnsi="Calibri" w:cs="Calibri"/>
          <w:b/>
          <w:sz w:val="20"/>
        </w:rPr>
      </w:pPr>
      <w:r w:rsidRPr="005B33B0">
        <w:rPr>
          <w:rFonts w:ascii="Calibri" w:hAnsi="Calibri" w:cs="Calibri"/>
          <w:b/>
          <w:sz w:val="20"/>
        </w:rPr>
        <w:t>Škála energetickej triedy pre potrebu energie na osvetlenie v kWh/(m2.a)</w:t>
      </w:r>
    </w:p>
    <w:tbl>
      <w:tblPr>
        <w:tblW w:w="847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2062"/>
        <w:gridCol w:w="907"/>
        <w:gridCol w:w="907"/>
        <w:gridCol w:w="907"/>
        <w:gridCol w:w="907"/>
        <w:gridCol w:w="907"/>
        <w:gridCol w:w="907"/>
        <w:gridCol w:w="968"/>
      </w:tblGrid>
      <w:tr w:rsidR="00ED12C2" w:rsidRPr="005B33B0" w:rsidTr="00ED12C2">
        <w:tc>
          <w:tcPr>
            <w:tcW w:w="2062" w:type="dxa"/>
            <w:vMerge w:val="restart"/>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Kategória budov</w:t>
            </w:r>
          </w:p>
        </w:tc>
        <w:tc>
          <w:tcPr>
            <w:tcW w:w="6410" w:type="dxa"/>
            <w:gridSpan w:val="7"/>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Triedy energetickej hospodárnosti budovy</w:t>
            </w:r>
          </w:p>
        </w:tc>
      </w:tr>
      <w:tr w:rsidR="00ED12C2" w:rsidRPr="005B33B0" w:rsidTr="00ED12C2">
        <w:tc>
          <w:tcPr>
            <w:tcW w:w="2062" w:type="dxa"/>
            <w:vMerge/>
            <w:vAlign w:val="center"/>
          </w:tcPr>
          <w:p w:rsidR="00ED12C2" w:rsidRPr="005B33B0" w:rsidRDefault="00ED12C2" w:rsidP="00ED12C2">
            <w:pPr>
              <w:jc w:val="both"/>
              <w:rPr>
                <w:rFonts w:ascii="Calibri" w:hAnsi="Calibri" w:cs="Calibri"/>
                <w:sz w:val="20"/>
              </w:rPr>
            </w:pP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A</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B</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C</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D</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E</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F</w:t>
            </w:r>
          </w:p>
        </w:tc>
        <w:tc>
          <w:tcPr>
            <w:tcW w:w="968"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G</w:t>
            </w:r>
          </w:p>
        </w:tc>
      </w:tr>
      <w:tr w:rsidR="00ED12C2" w:rsidRPr="005B33B0" w:rsidTr="00ED12C2">
        <w:tc>
          <w:tcPr>
            <w:tcW w:w="2062" w:type="dxa"/>
            <w:tcBorders>
              <w:bottom w:val="single" w:sz="18"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sz w:val="20"/>
              </w:rPr>
            </w:pPr>
            <w:r w:rsidRPr="005B33B0">
              <w:rPr>
                <w:rFonts w:ascii="Calibri" w:hAnsi="Calibri" w:cs="Calibri"/>
                <w:bCs/>
                <w:sz w:val="20"/>
              </w:rPr>
              <w:t>reštaurácií</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 12</w:t>
            </w:r>
          </w:p>
        </w:tc>
        <w:tc>
          <w:tcPr>
            <w:tcW w:w="907" w:type="dxa"/>
            <w:tcBorders>
              <w:bottom w:val="single" w:sz="18" w:space="0" w:color="auto"/>
            </w:tcBorders>
            <w:shd w:val="clear" w:color="auto" w:fill="00B050"/>
            <w:vAlign w:val="center"/>
          </w:tcPr>
          <w:p w:rsidR="00ED12C2" w:rsidRPr="005B33B0" w:rsidRDefault="00ED12C2" w:rsidP="00ED12C2">
            <w:pPr>
              <w:jc w:val="both"/>
              <w:rPr>
                <w:rFonts w:ascii="Calibri" w:hAnsi="Calibri" w:cs="Calibri"/>
                <w:sz w:val="20"/>
              </w:rPr>
            </w:pPr>
            <w:r w:rsidRPr="005B33B0">
              <w:rPr>
                <w:rFonts w:ascii="Calibri" w:hAnsi="Calibri" w:cs="Calibri"/>
                <w:sz w:val="20"/>
              </w:rPr>
              <w:t>13-24</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25-31</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32-37</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38-46</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47-56</w:t>
            </w:r>
          </w:p>
        </w:tc>
        <w:tc>
          <w:tcPr>
            <w:tcW w:w="968"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bCs/>
                <w:sz w:val="20"/>
              </w:rPr>
              <w:t>&gt; 56</w:t>
            </w:r>
          </w:p>
        </w:tc>
      </w:tr>
    </w:tbl>
    <w:p w:rsidR="00ED12C2" w:rsidRPr="005B33B0" w:rsidRDefault="00ED12C2" w:rsidP="00ED12C2">
      <w:pPr>
        <w:ind w:firstLine="708"/>
        <w:jc w:val="both"/>
        <w:rPr>
          <w:rFonts w:ascii="Calibri" w:hAnsi="Calibri" w:cs="Calibri"/>
          <w:sz w:val="20"/>
        </w:rPr>
      </w:pPr>
    </w:p>
    <w:p w:rsidR="00ED12C2" w:rsidRPr="005B33B0" w:rsidRDefault="00ED12C2" w:rsidP="00ED12C2">
      <w:pPr>
        <w:jc w:val="both"/>
        <w:rPr>
          <w:rFonts w:ascii="Calibri" w:hAnsi="Calibri" w:cs="Calibri"/>
          <w:b/>
          <w:sz w:val="20"/>
        </w:rPr>
      </w:pPr>
      <w:r w:rsidRPr="005B33B0">
        <w:rPr>
          <w:rFonts w:ascii="Calibri" w:hAnsi="Calibri" w:cs="Calibri"/>
          <w:b/>
          <w:sz w:val="20"/>
        </w:rPr>
        <w:t>Škála energetických tried celkovej potreby energie budovy v kWh/(m2.a)</w:t>
      </w:r>
    </w:p>
    <w:tbl>
      <w:tblPr>
        <w:tblW w:w="847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2062"/>
        <w:gridCol w:w="907"/>
        <w:gridCol w:w="907"/>
        <w:gridCol w:w="907"/>
        <w:gridCol w:w="907"/>
        <w:gridCol w:w="907"/>
        <w:gridCol w:w="907"/>
        <w:gridCol w:w="968"/>
      </w:tblGrid>
      <w:tr w:rsidR="00ED12C2" w:rsidRPr="005B33B0" w:rsidTr="00ED12C2">
        <w:tc>
          <w:tcPr>
            <w:tcW w:w="2062" w:type="dxa"/>
            <w:vMerge w:val="restart"/>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Kategória budov</w:t>
            </w:r>
          </w:p>
        </w:tc>
        <w:tc>
          <w:tcPr>
            <w:tcW w:w="6410" w:type="dxa"/>
            <w:gridSpan w:val="7"/>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Triedy energetickej hospodárnosti budovy</w:t>
            </w:r>
          </w:p>
        </w:tc>
      </w:tr>
      <w:tr w:rsidR="00ED12C2" w:rsidRPr="005B33B0" w:rsidTr="00ED12C2">
        <w:tc>
          <w:tcPr>
            <w:tcW w:w="2062" w:type="dxa"/>
            <w:vMerge/>
            <w:vAlign w:val="center"/>
          </w:tcPr>
          <w:p w:rsidR="00ED12C2" w:rsidRPr="005B33B0" w:rsidRDefault="00ED12C2" w:rsidP="00ED12C2">
            <w:pPr>
              <w:jc w:val="both"/>
              <w:rPr>
                <w:rFonts w:ascii="Calibri" w:hAnsi="Calibri" w:cs="Calibri"/>
                <w:sz w:val="20"/>
              </w:rPr>
            </w:pP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A</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B</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C</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D</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E</w:t>
            </w:r>
          </w:p>
        </w:tc>
        <w:tc>
          <w:tcPr>
            <w:tcW w:w="907"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F</w:t>
            </w:r>
          </w:p>
        </w:tc>
        <w:tc>
          <w:tcPr>
            <w:tcW w:w="968"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G</w:t>
            </w:r>
          </w:p>
        </w:tc>
      </w:tr>
      <w:tr w:rsidR="00ED12C2" w:rsidRPr="005B33B0" w:rsidTr="00ED12C2">
        <w:tc>
          <w:tcPr>
            <w:tcW w:w="2062" w:type="dxa"/>
            <w:tcBorders>
              <w:bottom w:val="single" w:sz="18"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sz w:val="20"/>
              </w:rPr>
            </w:pPr>
            <w:r w:rsidRPr="005B33B0">
              <w:rPr>
                <w:rFonts w:ascii="Calibri" w:hAnsi="Calibri" w:cs="Calibri"/>
                <w:bCs/>
                <w:sz w:val="20"/>
              </w:rPr>
              <w:t>reštaurácií</w:t>
            </w:r>
          </w:p>
        </w:tc>
        <w:tc>
          <w:tcPr>
            <w:tcW w:w="907" w:type="dxa"/>
            <w:tcBorders>
              <w:bottom w:val="single" w:sz="18" w:space="0" w:color="auto"/>
            </w:tcBorders>
            <w:shd w:val="clear" w:color="auto" w:fill="00B050"/>
            <w:vAlign w:val="center"/>
          </w:tcPr>
          <w:p w:rsidR="00ED12C2" w:rsidRPr="005B33B0" w:rsidRDefault="00ED12C2" w:rsidP="00ED12C2">
            <w:pPr>
              <w:jc w:val="both"/>
              <w:rPr>
                <w:rFonts w:ascii="Calibri" w:hAnsi="Calibri" w:cs="Calibri"/>
                <w:sz w:val="20"/>
              </w:rPr>
            </w:pPr>
            <w:r w:rsidRPr="005B33B0">
              <w:rPr>
                <w:rFonts w:ascii="Calibri" w:hAnsi="Calibri" w:cs="Calibri"/>
                <w:sz w:val="20"/>
              </w:rPr>
              <w:t>≤ 94</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95-187</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188-275</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276-363</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364-454</w:t>
            </w:r>
          </w:p>
        </w:tc>
        <w:tc>
          <w:tcPr>
            <w:tcW w:w="907"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455-545</w:t>
            </w:r>
          </w:p>
        </w:tc>
        <w:tc>
          <w:tcPr>
            <w:tcW w:w="968"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bCs/>
                <w:sz w:val="20"/>
              </w:rPr>
              <w:t>&gt; 545</w:t>
            </w:r>
          </w:p>
        </w:tc>
      </w:tr>
    </w:tbl>
    <w:p w:rsidR="00ED12C2" w:rsidRPr="005B33B0" w:rsidRDefault="00ED12C2" w:rsidP="00ED12C2">
      <w:pPr>
        <w:ind w:firstLine="708"/>
        <w:jc w:val="both"/>
        <w:rPr>
          <w:rFonts w:ascii="Calibri" w:hAnsi="Calibri" w:cs="Calibri"/>
          <w:color w:val="FF0000"/>
          <w:sz w:val="20"/>
        </w:rPr>
      </w:pPr>
    </w:p>
    <w:p w:rsidR="00ED12C2" w:rsidRPr="005B33B0" w:rsidRDefault="00ED12C2" w:rsidP="00ED12C2">
      <w:pPr>
        <w:jc w:val="both"/>
        <w:rPr>
          <w:rFonts w:ascii="Calibri" w:hAnsi="Calibri" w:cs="Calibri"/>
          <w:b/>
          <w:sz w:val="20"/>
        </w:rPr>
      </w:pPr>
      <w:r w:rsidRPr="005B33B0">
        <w:rPr>
          <w:rFonts w:ascii="Calibri" w:hAnsi="Calibri" w:cs="Calibri"/>
          <w:b/>
          <w:sz w:val="20"/>
        </w:rPr>
        <w:t>Škála energetických tried globálneho ukazovateľa - primárna energia v kWh/(m2.a)</w:t>
      </w:r>
    </w:p>
    <w:tbl>
      <w:tblPr>
        <w:tblW w:w="9289"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2029"/>
        <w:gridCol w:w="892"/>
        <w:gridCol w:w="893"/>
        <w:gridCol w:w="893"/>
        <w:gridCol w:w="894"/>
        <w:gridCol w:w="896"/>
        <w:gridCol w:w="896"/>
        <w:gridCol w:w="953"/>
        <w:gridCol w:w="943"/>
      </w:tblGrid>
      <w:tr w:rsidR="00ED12C2" w:rsidRPr="005B33B0" w:rsidTr="00ED12C2">
        <w:tc>
          <w:tcPr>
            <w:tcW w:w="2029" w:type="dxa"/>
            <w:vMerge w:val="restart"/>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Kategória budov</w:t>
            </w:r>
          </w:p>
        </w:tc>
        <w:tc>
          <w:tcPr>
            <w:tcW w:w="7260" w:type="dxa"/>
            <w:gridSpan w:val="8"/>
            <w:tcBorders>
              <w:top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Triedy energetickej hospodárnosti budovy</w:t>
            </w:r>
          </w:p>
        </w:tc>
      </w:tr>
      <w:tr w:rsidR="00ED12C2" w:rsidRPr="005B33B0" w:rsidTr="00ED12C2">
        <w:tc>
          <w:tcPr>
            <w:tcW w:w="2029" w:type="dxa"/>
            <w:vMerge/>
            <w:vAlign w:val="center"/>
          </w:tcPr>
          <w:p w:rsidR="00ED12C2" w:rsidRPr="005B33B0" w:rsidRDefault="00ED12C2" w:rsidP="00ED12C2">
            <w:pPr>
              <w:jc w:val="both"/>
              <w:rPr>
                <w:rFonts w:ascii="Calibri" w:hAnsi="Calibri" w:cs="Calibri"/>
                <w:sz w:val="20"/>
              </w:rPr>
            </w:pPr>
          </w:p>
        </w:tc>
        <w:tc>
          <w:tcPr>
            <w:tcW w:w="892"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A0</w:t>
            </w:r>
          </w:p>
        </w:tc>
        <w:tc>
          <w:tcPr>
            <w:tcW w:w="893"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A1</w:t>
            </w:r>
          </w:p>
        </w:tc>
        <w:tc>
          <w:tcPr>
            <w:tcW w:w="893"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B</w:t>
            </w:r>
          </w:p>
        </w:tc>
        <w:tc>
          <w:tcPr>
            <w:tcW w:w="894"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C</w:t>
            </w:r>
          </w:p>
        </w:tc>
        <w:tc>
          <w:tcPr>
            <w:tcW w:w="896"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D</w:t>
            </w:r>
          </w:p>
        </w:tc>
        <w:tc>
          <w:tcPr>
            <w:tcW w:w="896"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E</w:t>
            </w:r>
          </w:p>
        </w:tc>
        <w:tc>
          <w:tcPr>
            <w:tcW w:w="953"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F</w:t>
            </w:r>
          </w:p>
        </w:tc>
        <w:tc>
          <w:tcPr>
            <w:tcW w:w="943" w:type="dxa"/>
            <w:vAlign w:val="center"/>
          </w:tcPr>
          <w:p w:rsidR="00ED12C2" w:rsidRPr="005B33B0" w:rsidRDefault="00ED12C2" w:rsidP="00ED12C2">
            <w:pPr>
              <w:jc w:val="both"/>
              <w:rPr>
                <w:rFonts w:ascii="Calibri" w:hAnsi="Calibri" w:cs="Calibri"/>
                <w:sz w:val="20"/>
              </w:rPr>
            </w:pPr>
            <w:r w:rsidRPr="005B33B0">
              <w:rPr>
                <w:rFonts w:ascii="Calibri" w:hAnsi="Calibri" w:cs="Calibri"/>
                <w:sz w:val="20"/>
              </w:rPr>
              <w:t>G</w:t>
            </w:r>
          </w:p>
        </w:tc>
      </w:tr>
      <w:tr w:rsidR="00ED12C2" w:rsidRPr="005B33B0" w:rsidTr="00ED12C2">
        <w:tc>
          <w:tcPr>
            <w:tcW w:w="2029" w:type="dxa"/>
            <w:tcBorders>
              <w:bottom w:val="single" w:sz="18"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budovy hotelov a</w:t>
            </w:r>
          </w:p>
          <w:p w:rsidR="00ED12C2" w:rsidRPr="005B33B0" w:rsidRDefault="00ED12C2" w:rsidP="00ED12C2">
            <w:pPr>
              <w:jc w:val="both"/>
              <w:rPr>
                <w:rFonts w:ascii="Calibri" w:hAnsi="Calibri" w:cs="Calibri"/>
                <w:sz w:val="20"/>
              </w:rPr>
            </w:pPr>
            <w:r w:rsidRPr="005B33B0">
              <w:rPr>
                <w:rFonts w:ascii="Calibri" w:hAnsi="Calibri" w:cs="Calibri"/>
                <w:bCs/>
                <w:sz w:val="20"/>
              </w:rPr>
              <w:t>reštaurácií</w:t>
            </w:r>
          </w:p>
        </w:tc>
        <w:tc>
          <w:tcPr>
            <w:tcW w:w="892"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 82</w:t>
            </w:r>
          </w:p>
        </w:tc>
        <w:tc>
          <w:tcPr>
            <w:tcW w:w="893" w:type="dxa"/>
            <w:tcBorders>
              <w:bottom w:val="single" w:sz="18" w:space="0" w:color="auto"/>
            </w:tcBorders>
            <w:shd w:val="clear" w:color="auto" w:fill="00B050"/>
            <w:vAlign w:val="center"/>
          </w:tcPr>
          <w:p w:rsidR="00ED12C2" w:rsidRPr="005B33B0" w:rsidRDefault="00ED12C2" w:rsidP="00ED12C2">
            <w:pPr>
              <w:jc w:val="both"/>
              <w:rPr>
                <w:rFonts w:ascii="Calibri" w:hAnsi="Calibri" w:cs="Calibri"/>
                <w:sz w:val="20"/>
              </w:rPr>
            </w:pPr>
            <w:r w:rsidRPr="005B33B0">
              <w:rPr>
                <w:rFonts w:ascii="Calibri" w:hAnsi="Calibri" w:cs="Calibri"/>
                <w:sz w:val="20"/>
              </w:rPr>
              <w:t>83-164</w:t>
            </w:r>
          </w:p>
        </w:tc>
        <w:tc>
          <w:tcPr>
            <w:tcW w:w="893"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165-328</w:t>
            </w:r>
          </w:p>
        </w:tc>
        <w:tc>
          <w:tcPr>
            <w:tcW w:w="894"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329-492</w:t>
            </w:r>
          </w:p>
        </w:tc>
        <w:tc>
          <w:tcPr>
            <w:tcW w:w="896"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493-656</w:t>
            </w:r>
          </w:p>
        </w:tc>
        <w:tc>
          <w:tcPr>
            <w:tcW w:w="896"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657-820</w:t>
            </w:r>
          </w:p>
        </w:tc>
        <w:tc>
          <w:tcPr>
            <w:tcW w:w="953" w:type="dxa"/>
            <w:tcBorders>
              <w:bottom w:val="single" w:sz="18" w:space="0" w:color="auto"/>
            </w:tcBorders>
            <w:vAlign w:val="center"/>
          </w:tcPr>
          <w:p w:rsidR="00ED12C2" w:rsidRPr="005B33B0" w:rsidRDefault="00ED12C2" w:rsidP="00ED12C2">
            <w:pPr>
              <w:jc w:val="both"/>
              <w:rPr>
                <w:rFonts w:ascii="Calibri" w:hAnsi="Calibri" w:cs="Calibri"/>
                <w:sz w:val="20"/>
              </w:rPr>
            </w:pPr>
            <w:r w:rsidRPr="005B33B0">
              <w:rPr>
                <w:rFonts w:ascii="Calibri" w:hAnsi="Calibri" w:cs="Calibri"/>
                <w:sz w:val="20"/>
              </w:rPr>
              <w:t>821-984</w:t>
            </w:r>
          </w:p>
        </w:tc>
        <w:tc>
          <w:tcPr>
            <w:tcW w:w="943" w:type="dxa"/>
            <w:tcBorders>
              <w:bottom w:val="single" w:sz="18" w:space="0" w:color="auto"/>
            </w:tcBorders>
            <w:vAlign w:val="center"/>
          </w:tcPr>
          <w:p w:rsidR="00ED12C2" w:rsidRPr="005B33B0" w:rsidRDefault="00ED12C2" w:rsidP="00ED12C2">
            <w:pPr>
              <w:jc w:val="both"/>
              <w:rPr>
                <w:rFonts w:ascii="Calibri" w:hAnsi="Calibri" w:cs="Calibri"/>
                <w:bCs/>
                <w:sz w:val="20"/>
              </w:rPr>
            </w:pPr>
            <w:r w:rsidRPr="005B33B0">
              <w:rPr>
                <w:rFonts w:ascii="Calibri" w:hAnsi="Calibri" w:cs="Calibri"/>
                <w:bCs/>
                <w:sz w:val="20"/>
              </w:rPr>
              <w:t>&gt; 984</w:t>
            </w:r>
          </w:p>
        </w:tc>
      </w:tr>
    </w:tbl>
    <w:p w:rsidR="00ED12C2" w:rsidRDefault="00ED12C2" w:rsidP="00ED12C2">
      <w:pPr>
        <w:ind w:firstLine="708"/>
        <w:jc w:val="both"/>
        <w:rPr>
          <w:rFonts w:ascii="Calibri" w:hAnsi="Calibri" w:cs="Calibri"/>
          <w:color w:val="FF0000"/>
          <w:sz w:val="20"/>
        </w:rPr>
      </w:pPr>
    </w:p>
    <w:p w:rsidR="00D717DF" w:rsidRDefault="00D717DF" w:rsidP="00ED12C2">
      <w:pPr>
        <w:ind w:firstLine="708"/>
        <w:jc w:val="both"/>
        <w:rPr>
          <w:rFonts w:ascii="Calibri" w:hAnsi="Calibri" w:cs="Calibri"/>
          <w:color w:val="FF0000"/>
          <w:sz w:val="20"/>
        </w:rPr>
      </w:pPr>
    </w:p>
    <w:p w:rsidR="00D717DF" w:rsidRPr="005B33B0" w:rsidRDefault="00D717DF" w:rsidP="00ED12C2">
      <w:pPr>
        <w:ind w:firstLine="708"/>
        <w:jc w:val="both"/>
        <w:rPr>
          <w:rFonts w:ascii="Calibri" w:hAnsi="Calibri" w:cs="Calibri"/>
          <w:color w:val="FF0000"/>
          <w:sz w:val="20"/>
        </w:rPr>
      </w:pPr>
    </w:p>
    <w:p w:rsidR="00ED12C2" w:rsidRPr="005B33B0" w:rsidRDefault="00ED12C2" w:rsidP="00165ED7">
      <w:pPr>
        <w:pStyle w:val="Nadpis1"/>
      </w:pPr>
      <w:bookmarkStart w:id="150" w:name="_Toc1907040"/>
      <w:r w:rsidRPr="005B33B0">
        <w:t>6. Prílohy</w:t>
      </w:r>
      <w:bookmarkEnd w:id="150"/>
    </w:p>
    <w:p w:rsidR="00ED12C2" w:rsidRPr="005B33B0" w:rsidRDefault="00ED12C2" w:rsidP="00ED12C2">
      <w:pPr>
        <w:pStyle w:val="Nadpis2"/>
        <w:numPr>
          <w:ilvl w:val="0"/>
          <w:numId w:val="0"/>
        </w:numPr>
        <w:ind w:left="397" w:hanging="397"/>
        <w:jc w:val="both"/>
        <w:rPr>
          <w:rFonts w:ascii="Calibri" w:hAnsi="Calibri" w:cs="Calibri"/>
          <w:szCs w:val="20"/>
        </w:rPr>
      </w:pPr>
      <w:bookmarkStart w:id="151" w:name="_Toc1907041"/>
      <w:r w:rsidRPr="005B33B0">
        <w:rPr>
          <w:rFonts w:ascii="Calibri" w:hAnsi="Calibri" w:cs="Calibri"/>
          <w:szCs w:val="20"/>
        </w:rPr>
        <w:t>6.1 Výpočet tepelnoizolačných vlastností stavebných konštrukcií</w:t>
      </w:r>
      <w:bookmarkEnd w:id="151"/>
    </w:p>
    <w:p w:rsidR="00ED12C2" w:rsidRPr="005B33B0" w:rsidRDefault="00ED12C2" w:rsidP="00ED12C2">
      <w:pPr>
        <w:pStyle w:val="Nadpis3"/>
        <w:numPr>
          <w:ilvl w:val="0"/>
          <w:numId w:val="0"/>
        </w:numPr>
        <w:ind w:left="397" w:hanging="397"/>
        <w:jc w:val="both"/>
        <w:rPr>
          <w:rFonts w:ascii="Calibri" w:hAnsi="Calibri" w:cs="Calibri"/>
        </w:rPr>
      </w:pPr>
      <w:bookmarkStart w:id="152" w:name="_Toc1907042"/>
      <w:r w:rsidRPr="005B33B0">
        <w:rPr>
          <w:rFonts w:ascii="Calibri" w:hAnsi="Calibri" w:cs="Calibri"/>
        </w:rPr>
        <w:t>6.1.1 Strecha - šikmá</w:t>
      </w:r>
      <w:bookmarkEnd w:id="152"/>
    </w:p>
    <w:p w:rsidR="00ED12C2" w:rsidRPr="005B33B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p w:rsidR="00ED12C2" w:rsidRPr="005B33B0" w:rsidRDefault="00ED12C2" w:rsidP="00ED12C2">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5B33B0">
        <w:rPr>
          <w:rFonts w:ascii="Calibri" w:hAnsi="Calibri" w:cs="Calibri"/>
          <w:b/>
          <w:bCs/>
          <w:sz w:val="20"/>
        </w:rPr>
        <w:t>VYHODNOTENIE VÝSLEDKOV PODĽA STN 730540-2</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b/>
          <w:bCs/>
          <w:sz w:val="20"/>
        </w:rPr>
        <w:t xml:space="preserve">Názov konštrukcie                   :  </w:t>
      </w:r>
      <w:r w:rsidRPr="005B33B0">
        <w:rPr>
          <w:rFonts w:ascii="Calibri" w:hAnsi="Calibri" w:cs="Calibri"/>
          <w:b/>
          <w:bCs/>
          <w:sz w:val="20"/>
        </w:rPr>
        <w:tab/>
      </w:r>
      <w:r w:rsidRPr="005B33B0">
        <w:rPr>
          <w:rFonts w:ascii="Calibri" w:hAnsi="Calibri" w:cs="Calibri"/>
          <w:b/>
          <w:sz w:val="20"/>
          <w:u w:val="single"/>
        </w:rPr>
        <w:t>Strecha SO 01</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u w:val="single"/>
        </w:rPr>
      </w:pPr>
      <w:r w:rsidRPr="005B33B0">
        <w:rPr>
          <w:rFonts w:ascii="Calibri" w:hAnsi="Calibri" w:cs="Calibri"/>
          <w:b/>
          <w:bCs/>
          <w:sz w:val="20"/>
          <w:u w:val="single"/>
        </w:rPr>
        <w:t>Rekapitulácia dat:</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 xml:space="preserve">Teplota vnútorného vzduchu      Tai =  </w:t>
      </w:r>
      <w:r w:rsidRPr="005B33B0">
        <w:rPr>
          <w:rFonts w:ascii="Calibri" w:hAnsi="Calibri" w:cs="Calibri"/>
          <w:sz w:val="20"/>
        </w:rPr>
        <w:tab/>
        <w:t>20,00 C</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 xml:space="preserve">Rel. vlhkosť vnútorného vzduchu Fii =  </w:t>
      </w:r>
      <w:r w:rsidRPr="005B33B0">
        <w:rPr>
          <w:rFonts w:ascii="Calibri" w:hAnsi="Calibri" w:cs="Calibri"/>
          <w:sz w:val="20"/>
        </w:rPr>
        <w:tab/>
        <w:t>50,00 %</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r w:rsidRPr="005B33B0">
        <w:rPr>
          <w:rFonts w:ascii="Calibri" w:hAnsi="Calibri" w:cs="Calibri"/>
          <w:b/>
          <w:bCs/>
          <w:sz w:val="20"/>
        </w:rPr>
        <w:t>Hodnotená konštrukcia:</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Čislo </w:t>
      </w:r>
      <w:r w:rsidRPr="005B33B0">
        <w:rPr>
          <w:rFonts w:ascii="Calibri" w:hAnsi="Calibri" w:cs="Calibri"/>
          <w:b/>
          <w:bCs/>
          <w:sz w:val="20"/>
        </w:rPr>
        <w:tab/>
        <w:t xml:space="preserve">Názov vrstvy </w:t>
      </w:r>
      <w:r w:rsidRPr="005B33B0">
        <w:rPr>
          <w:rFonts w:ascii="Calibri" w:hAnsi="Calibri" w:cs="Calibri"/>
          <w:b/>
          <w:bCs/>
          <w:sz w:val="20"/>
        </w:rPr>
        <w:tab/>
        <w:t xml:space="preserve">d [m] </w:t>
      </w:r>
      <w:r w:rsidRPr="005B33B0">
        <w:rPr>
          <w:rFonts w:ascii="Calibri" w:hAnsi="Calibri" w:cs="Calibri"/>
          <w:b/>
          <w:bCs/>
          <w:sz w:val="20"/>
        </w:rPr>
        <w:tab/>
        <w:t xml:space="preserve">Lambda [W/mK] </w:t>
      </w:r>
      <w:r w:rsidRPr="005B33B0">
        <w:rPr>
          <w:rFonts w:ascii="Calibri" w:hAnsi="Calibri" w:cs="Calibri"/>
          <w:b/>
          <w:bCs/>
          <w:sz w:val="20"/>
        </w:rPr>
        <w:tab/>
        <w:t>Mi [-]</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1 </w:t>
      </w:r>
      <w:r w:rsidRPr="005B33B0">
        <w:rPr>
          <w:rFonts w:ascii="Calibri" w:hAnsi="Calibri" w:cs="Calibri"/>
          <w:sz w:val="20"/>
        </w:rPr>
        <w:tab/>
        <w:t xml:space="preserve">Parozábrana </w:t>
      </w:r>
      <w:r w:rsidRPr="005B33B0">
        <w:rPr>
          <w:rFonts w:ascii="Calibri" w:hAnsi="Calibri" w:cs="Calibri"/>
          <w:sz w:val="20"/>
        </w:rPr>
        <w:tab/>
        <w:t xml:space="preserve">0,0002 </w:t>
      </w:r>
      <w:r w:rsidRPr="005B33B0">
        <w:rPr>
          <w:rFonts w:ascii="Calibri" w:hAnsi="Calibri" w:cs="Calibri"/>
          <w:sz w:val="20"/>
        </w:rPr>
        <w:tab/>
        <w:t xml:space="preserve">     0,350 </w:t>
      </w:r>
      <w:r w:rsidRPr="005B33B0">
        <w:rPr>
          <w:rFonts w:ascii="Calibri" w:hAnsi="Calibri" w:cs="Calibri"/>
          <w:sz w:val="20"/>
        </w:rPr>
        <w:tab/>
        <w:t>21000,0</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2 </w:t>
      </w:r>
      <w:r w:rsidRPr="005B33B0">
        <w:rPr>
          <w:rFonts w:ascii="Calibri" w:hAnsi="Calibri" w:cs="Calibri"/>
          <w:sz w:val="20"/>
        </w:rPr>
        <w:tab/>
        <w:t xml:space="preserve">TI - Minerálna vlna </w:t>
      </w:r>
      <w:r w:rsidRPr="005B33B0">
        <w:rPr>
          <w:rFonts w:ascii="Calibri" w:hAnsi="Calibri" w:cs="Calibri"/>
          <w:sz w:val="20"/>
        </w:rPr>
        <w:tab/>
        <w:t xml:space="preserve">0,200 </w:t>
      </w:r>
      <w:r w:rsidRPr="005B33B0">
        <w:rPr>
          <w:rFonts w:ascii="Calibri" w:hAnsi="Calibri" w:cs="Calibri"/>
          <w:sz w:val="20"/>
        </w:rPr>
        <w:tab/>
        <w:t xml:space="preserve">     0,038 </w:t>
      </w:r>
      <w:r w:rsidRPr="005B33B0">
        <w:rPr>
          <w:rFonts w:ascii="Calibri" w:hAnsi="Calibri" w:cs="Calibri"/>
          <w:sz w:val="20"/>
        </w:rPr>
        <w:tab/>
        <w:t>1,0</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3 </w:t>
      </w:r>
      <w:r w:rsidRPr="005B33B0">
        <w:rPr>
          <w:rFonts w:ascii="Calibri" w:hAnsi="Calibri" w:cs="Calibri"/>
          <w:sz w:val="20"/>
        </w:rPr>
        <w:tab/>
        <w:t xml:space="preserve">Drevovlákno STEICO </w:t>
      </w:r>
      <w:r w:rsidRPr="005B33B0">
        <w:rPr>
          <w:rFonts w:ascii="Calibri" w:hAnsi="Calibri" w:cs="Calibri"/>
          <w:sz w:val="20"/>
        </w:rPr>
        <w:tab/>
        <w:t xml:space="preserve">0,150 </w:t>
      </w:r>
      <w:r w:rsidRPr="005B33B0">
        <w:rPr>
          <w:rFonts w:ascii="Calibri" w:hAnsi="Calibri" w:cs="Calibri"/>
          <w:sz w:val="20"/>
        </w:rPr>
        <w:tab/>
        <w:t xml:space="preserve">     0,036 </w:t>
      </w:r>
      <w:r w:rsidRPr="005B33B0">
        <w:rPr>
          <w:rFonts w:ascii="Calibri" w:hAnsi="Calibri" w:cs="Calibri"/>
          <w:sz w:val="20"/>
        </w:rPr>
        <w:tab/>
        <w:t>1,2</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4 </w:t>
      </w:r>
      <w:r w:rsidRPr="005B33B0">
        <w:rPr>
          <w:rFonts w:ascii="Calibri" w:hAnsi="Calibri" w:cs="Calibri"/>
          <w:sz w:val="20"/>
        </w:rPr>
        <w:tab/>
        <w:t xml:space="preserve">Poistná HI </w:t>
      </w:r>
      <w:r w:rsidRPr="005B33B0">
        <w:rPr>
          <w:rFonts w:ascii="Calibri" w:hAnsi="Calibri" w:cs="Calibri"/>
          <w:sz w:val="20"/>
        </w:rPr>
        <w:tab/>
        <w:t xml:space="preserve">0,0002 </w:t>
      </w:r>
      <w:r w:rsidRPr="005B33B0">
        <w:rPr>
          <w:rFonts w:ascii="Calibri" w:hAnsi="Calibri" w:cs="Calibri"/>
          <w:sz w:val="20"/>
        </w:rPr>
        <w:tab/>
        <w:t xml:space="preserve">     0,350 </w:t>
      </w:r>
      <w:r w:rsidRPr="005B33B0">
        <w:rPr>
          <w:rFonts w:ascii="Calibri" w:hAnsi="Calibri" w:cs="Calibri"/>
          <w:sz w:val="20"/>
        </w:rPr>
        <w:tab/>
        <w:t>87,0</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u w:val="single"/>
        </w:rPr>
      </w:pPr>
      <w:r w:rsidRPr="005B33B0">
        <w:rPr>
          <w:rFonts w:ascii="Calibri" w:hAnsi="Calibri" w:cs="Calibri"/>
          <w:sz w:val="20"/>
        </w:rPr>
        <w:tab/>
      </w:r>
      <w:r w:rsidRPr="005B33B0">
        <w:rPr>
          <w:rFonts w:ascii="Calibri" w:hAnsi="Calibri" w:cs="Calibri"/>
          <w:b/>
          <w:bCs/>
          <w:sz w:val="20"/>
          <w:u w:val="single"/>
        </w:rPr>
        <w:t>I. Požiadavka na vnútornú povrchovú teplotu (čl. 3.1.1)</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lastRenderedPageBreak/>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Táto požiadavka sa nevzťahuje na presklené výplne.</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Požiadavka: Tsi,N = Tsi,80 + dTsi =  </w:t>
      </w:r>
      <w:r w:rsidRPr="005B33B0">
        <w:rPr>
          <w:rFonts w:ascii="Calibri" w:hAnsi="Calibri" w:cs="Calibri"/>
          <w:sz w:val="20"/>
        </w:rPr>
        <w:tab/>
        <w:t>12,63+0,20 = 12,83 C</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Vypočítaná hodnota:      Tsi =  </w:t>
      </w:r>
      <w:r w:rsidRPr="005B33B0">
        <w:rPr>
          <w:rFonts w:ascii="Calibri" w:hAnsi="Calibri" w:cs="Calibri"/>
          <w:sz w:val="20"/>
        </w:rPr>
        <w:tab/>
        <w:t>19,20 C</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Tsi &gt; Tsi,N ... POŽIADAVKA JE SPLNENÁ.</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Pozn.: Povrch. teploty v mieste tepelných mostov v skladbe je nutné</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určiť riešením teplotného poľa.</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u w:val="single"/>
        </w:rPr>
      </w:pPr>
      <w:r w:rsidRPr="005B33B0">
        <w:rPr>
          <w:rFonts w:ascii="Calibri" w:hAnsi="Calibri" w:cs="Calibri"/>
          <w:sz w:val="20"/>
        </w:rPr>
        <w:tab/>
      </w:r>
      <w:r w:rsidRPr="005B33B0">
        <w:rPr>
          <w:rFonts w:ascii="Calibri" w:hAnsi="Calibri" w:cs="Calibri"/>
          <w:b/>
          <w:bCs/>
          <w:sz w:val="20"/>
          <w:u w:val="single"/>
        </w:rPr>
        <w:t>II. Požiadavka na tepelný odpor a súčinitel prechodu tepla (čl. 3.2.1)</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Požiadavka        : Rn =  </w:t>
      </w:r>
      <w:r w:rsidRPr="005B33B0">
        <w:rPr>
          <w:rFonts w:ascii="Calibri" w:hAnsi="Calibri" w:cs="Calibri"/>
          <w:sz w:val="20"/>
        </w:rPr>
        <w:tab/>
        <w:t>6,50 m2K/W</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Vypočítaná hodnota: R  =  </w:t>
      </w:r>
      <w:r w:rsidRPr="005B33B0">
        <w:rPr>
          <w:rFonts w:ascii="Calibri" w:hAnsi="Calibri" w:cs="Calibri"/>
          <w:sz w:val="20"/>
        </w:rPr>
        <w:tab/>
        <w:t>9,43 m2K/W</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R &gt; Rn ... POŽIADAVKA JE SPLNENÁ.</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Požiadavka        : Un =  </w:t>
      </w:r>
      <w:r w:rsidRPr="005B33B0">
        <w:rPr>
          <w:rFonts w:ascii="Calibri" w:hAnsi="Calibri" w:cs="Calibri"/>
          <w:sz w:val="20"/>
        </w:rPr>
        <w:tab/>
        <w:t>0,15 W/m2K</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Vypočítaná hodnota: U  =  </w:t>
      </w:r>
      <w:r w:rsidRPr="005B33B0">
        <w:rPr>
          <w:rFonts w:ascii="Calibri" w:hAnsi="Calibri" w:cs="Calibri"/>
          <w:sz w:val="20"/>
        </w:rPr>
        <w:tab/>
        <w:t>0,10 W/m2K</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U &lt; Un ... POŽIADAVKA JE SPLNENÁ.</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u w:val="single"/>
        </w:rPr>
      </w:pPr>
      <w:r w:rsidRPr="005B33B0">
        <w:rPr>
          <w:rFonts w:ascii="Calibri" w:hAnsi="Calibri" w:cs="Calibri"/>
          <w:sz w:val="20"/>
        </w:rPr>
        <w:tab/>
      </w:r>
      <w:r w:rsidRPr="005B33B0">
        <w:rPr>
          <w:rFonts w:ascii="Calibri" w:hAnsi="Calibri" w:cs="Calibri"/>
          <w:b/>
          <w:bCs/>
          <w:sz w:val="20"/>
          <w:u w:val="single"/>
        </w:rPr>
        <w:t>III. Požiadavky na šírenie vlhkosti konštrukciou (čl. 4.1)</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t xml:space="preserve"> Požiadavky: </w:t>
      </w:r>
      <w:r w:rsidRPr="005B33B0">
        <w:rPr>
          <w:rFonts w:ascii="Calibri" w:hAnsi="Calibri" w:cs="Calibri"/>
          <w:sz w:val="20"/>
        </w:rPr>
        <w:tab/>
        <w:t xml:space="preserve"> 1. Skondenzovaná vodná para nesmie ohroziť funkciu kcie.</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r w:rsidRPr="005B33B0">
        <w:rPr>
          <w:rFonts w:ascii="Calibri" w:hAnsi="Calibri" w:cs="Calibri"/>
          <w:sz w:val="20"/>
        </w:rPr>
        <w:tab/>
        <w:t xml:space="preserve"> 2. Ročná bilancia vodnej pary musí byť aktívna, tj. Gk&lt;Gv (Ma,vysl=0).</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r w:rsidRPr="005B33B0">
        <w:rPr>
          <w:rFonts w:ascii="Calibri" w:hAnsi="Calibri" w:cs="Calibri"/>
          <w:sz w:val="20"/>
        </w:rPr>
        <w:tab/>
        <w:t xml:space="preserve"> 3. Množstvo kondenzátu musí byť Gk (Ma) &lt; 0,1 kg/m2,rok.</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t xml:space="preserve"> Vypočítané hodnoty: </w:t>
      </w:r>
      <w:r w:rsidRPr="005B33B0">
        <w:rPr>
          <w:rFonts w:ascii="Calibri" w:hAnsi="Calibri" w:cs="Calibri"/>
          <w:sz w:val="20"/>
        </w:rPr>
        <w:tab/>
        <w:t xml:space="preserve"> V kci nedochádza pri ext. výpočt. teplote ku kondenzácii.</w:t>
      </w:r>
    </w:p>
    <w:p w:rsidR="00940733"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p>
    <w:p w:rsidR="00ED12C2" w:rsidRDefault="00ED12C2" w:rsidP="00ED12C2">
      <w:pPr>
        <w:tabs>
          <w:tab w:val="left" w:pos="0"/>
          <w:tab w:val="left" w:pos="100"/>
          <w:tab w:val="left" w:pos="1800"/>
          <w:tab w:val="left" w:pos="2500"/>
        </w:tabs>
        <w:autoSpaceDE w:val="0"/>
        <w:autoSpaceDN w:val="0"/>
        <w:adjustRightInd w:val="0"/>
        <w:jc w:val="both"/>
        <w:rPr>
          <w:rFonts w:ascii="Calibri" w:hAnsi="Calibri" w:cs="Calibri"/>
          <w:b/>
          <w:bCs/>
          <w:sz w:val="20"/>
        </w:rPr>
      </w:pPr>
      <w:r w:rsidRPr="005B33B0">
        <w:rPr>
          <w:rFonts w:ascii="Calibri" w:hAnsi="Calibri" w:cs="Calibri"/>
          <w:b/>
          <w:bCs/>
          <w:sz w:val="20"/>
        </w:rPr>
        <w:t xml:space="preserve"> POŽIADAVKY SÚ SPLNENÉ.</w:t>
      </w:r>
    </w:p>
    <w:p w:rsidR="00D717DF" w:rsidRDefault="00D717DF" w:rsidP="00ED12C2">
      <w:pPr>
        <w:tabs>
          <w:tab w:val="left" w:pos="0"/>
          <w:tab w:val="left" w:pos="100"/>
          <w:tab w:val="left" w:pos="1800"/>
          <w:tab w:val="left" w:pos="2500"/>
        </w:tabs>
        <w:autoSpaceDE w:val="0"/>
        <w:autoSpaceDN w:val="0"/>
        <w:adjustRightInd w:val="0"/>
        <w:jc w:val="both"/>
        <w:rPr>
          <w:rFonts w:ascii="Calibri" w:hAnsi="Calibri" w:cs="Calibri"/>
          <w:b/>
          <w:bCs/>
          <w:sz w:val="20"/>
        </w:rPr>
      </w:pPr>
    </w:p>
    <w:p w:rsidR="00D717DF" w:rsidRDefault="00D717DF" w:rsidP="00ED12C2">
      <w:pPr>
        <w:tabs>
          <w:tab w:val="left" w:pos="0"/>
          <w:tab w:val="left" w:pos="100"/>
          <w:tab w:val="left" w:pos="1800"/>
          <w:tab w:val="left" w:pos="2500"/>
        </w:tabs>
        <w:autoSpaceDE w:val="0"/>
        <w:autoSpaceDN w:val="0"/>
        <w:adjustRightInd w:val="0"/>
        <w:jc w:val="both"/>
        <w:rPr>
          <w:rFonts w:ascii="Calibri" w:hAnsi="Calibri" w:cs="Calibri"/>
          <w:b/>
          <w:bCs/>
          <w:sz w:val="20"/>
        </w:rPr>
      </w:pPr>
    </w:p>
    <w:p w:rsidR="00D717DF" w:rsidRPr="005B33B0" w:rsidRDefault="00D717DF" w:rsidP="00ED12C2">
      <w:pPr>
        <w:tabs>
          <w:tab w:val="left" w:pos="0"/>
          <w:tab w:val="left" w:pos="100"/>
          <w:tab w:val="left" w:pos="1800"/>
          <w:tab w:val="left" w:pos="2500"/>
        </w:tabs>
        <w:autoSpaceDE w:val="0"/>
        <w:autoSpaceDN w:val="0"/>
        <w:adjustRightInd w:val="0"/>
        <w:jc w:val="both"/>
        <w:rPr>
          <w:rFonts w:ascii="Calibri" w:hAnsi="Calibri" w:cs="Calibri"/>
          <w:sz w:val="20"/>
        </w:rPr>
      </w:pPr>
    </w:p>
    <w:p w:rsidR="00ED12C2" w:rsidRPr="005B33B0" w:rsidRDefault="00ED12C2" w:rsidP="00940733">
      <w:pPr>
        <w:pStyle w:val="Nadpis3"/>
        <w:numPr>
          <w:ilvl w:val="0"/>
          <w:numId w:val="0"/>
        </w:numPr>
        <w:jc w:val="both"/>
        <w:rPr>
          <w:rFonts w:ascii="Calibri" w:hAnsi="Calibri" w:cs="Calibri"/>
        </w:rPr>
      </w:pPr>
      <w:bookmarkStart w:id="153" w:name="_Toc1907043"/>
      <w:r w:rsidRPr="005B33B0">
        <w:rPr>
          <w:rFonts w:ascii="Calibri" w:hAnsi="Calibri" w:cs="Calibri"/>
        </w:rPr>
        <w:t>6.1.2 Obvodová stena</w:t>
      </w:r>
      <w:bookmarkEnd w:id="153"/>
    </w:p>
    <w:p w:rsidR="00ED12C2" w:rsidRPr="005B33B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p w:rsidR="00ED12C2" w:rsidRPr="005B33B0" w:rsidRDefault="00ED12C2" w:rsidP="00ED12C2">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5B33B0">
        <w:rPr>
          <w:rFonts w:ascii="Calibri" w:hAnsi="Calibri" w:cs="Calibri"/>
          <w:b/>
          <w:bCs/>
          <w:sz w:val="20"/>
        </w:rPr>
        <w:t>VYHODNOTENIE VÝSLEDKOV PODĽA STN 730540-2</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r w:rsidRPr="005B33B0">
        <w:rPr>
          <w:rFonts w:ascii="Calibri" w:hAnsi="Calibri" w:cs="Calibri"/>
          <w:b/>
          <w:bCs/>
          <w:sz w:val="20"/>
        </w:rPr>
        <w:t xml:space="preserve">Názov konštrukcie                   :  </w:t>
      </w:r>
      <w:r w:rsidRPr="005B33B0">
        <w:rPr>
          <w:rFonts w:ascii="Calibri" w:hAnsi="Calibri" w:cs="Calibri"/>
          <w:b/>
          <w:bCs/>
          <w:sz w:val="20"/>
        </w:rPr>
        <w:tab/>
      </w:r>
      <w:r w:rsidR="005B33B0">
        <w:rPr>
          <w:rFonts w:ascii="Calibri" w:hAnsi="Calibri" w:cs="Calibri"/>
          <w:b/>
          <w:sz w:val="20"/>
          <w:u w:val="single"/>
        </w:rPr>
        <w:t>Obvodová</w:t>
      </w:r>
      <w:r w:rsidRPr="005B33B0">
        <w:rPr>
          <w:rFonts w:ascii="Calibri" w:hAnsi="Calibri" w:cs="Calibri"/>
          <w:b/>
          <w:sz w:val="20"/>
          <w:u w:val="single"/>
        </w:rPr>
        <w:t xml:space="preserve"> stena SO 01</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u w:val="single"/>
        </w:rPr>
      </w:pPr>
      <w:r w:rsidRPr="005B33B0">
        <w:rPr>
          <w:rFonts w:ascii="Calibri" w:hAnsi="Calibri" w:cs="Calibri"/>
          <w:sz w:val="20"/>
        </w:rPr>
        <w:tab/>
      </w:r>
      <w:r w:rsidR="005B33B0">
        <w:rPr>
          <w:rFonts w:ascii="Calibri" w:hAnsi="Calibri" w:cs="Calibri"/>
          <w:b/>
          <w:bCs/>
          <w:sz w:val="20"/>
          <w:u w:val="single"/>
        </w:rPr>
        <w:t>Rekapitulácia dá</w:t>
      </w:r>
      <w:r w:rsidRPr="005B33B0">
        <w:rPr>
          <w:rFonts w:ascii="Calibri" w:hAnsi="Calibri" w:cs="Calibri"/>
          <w:b/>
          <w:bCs/>
          <w:sz w:val="20"/>
          <w:u w:val="single"/>
        </w:rPr>
        <w:t>t:</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Teplota vnútorného vzduchu      Tai =  </w:t>
      </w:r>
      <w:r w:rsidRPr="005B33B0">
        <w:rPr>
          <w:rFonts w:ascii="Calibri" w:hAnsi="Calibri" w:cs="Calibri"/>
          <w:sz w:val="20"/>
        </w:rPr>
        <w:tab/>
        <w:t>20,00 C</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Rel. vlhkosť vnútorného vzduchu Fii =  </w:t>
      </w:r>
      <w:r w:rsidRPr="005B33B0">
        <w:rPr>
          <w:rFonts w:ascii="Calibri" w:hAnsi="Calibri" w:cs="Calibri"/>
          <w:sz w:val="20"/>
        </w:rPr>
        <w:tab/>
        <w:t>50,00 %</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r w:rsidRPr="005B33B0">
        <w:rPr>
          <w:rFonts w:ascii="Calibri" w:hAnsi="Calibri" w:cs="Calibri"/>
          <w:sz w:val="20"/>
        </w:rPr>
        <w:tab/>
      </w:r>
      <w:r w:rsidRPr="005B33B0">
        <w:rPr>
          <w:rFonts w:ascii="Calibri" w:hAnsi="Calibri" w:cs="Calibri"/>
          <w:b/>
          <w:bCs/>
          <w:sz w:val="20"/>
        </w:rPr>
        <w:t>Hodnotená konštrukcia:</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Čislo </w:t>
      </w:r>
      <w:r w:rsidRPr="005B33B0">
        <w:rPr>
          <w:rFonts w:ascii="Calibri" w:hAnsi="Calibri" w:cs="Calibri"/>
          <w:b/>
          <w:bCs/>
          <w:sz w:val="20"/>
        </w:rPr>
        <w:tab/>
        <w:t xml:space="preserve">Názov vrstvy </w:t>
      </w:r>
      <w:r w:rsidRPr="005B33B0">
        <w:rPr>
          <w:rFonts w:ascii="Calibri" w:hAnsi="Calibri" w:cs="Calibri"/>
          <w:b/>
          <w:bCs/>
          <w:sz w:val="20"/>
        </w:rPr>
        <w:tab/>
        <w:t xml:space="preserve">d [m] </w:t>
      </w:r>
      <w:r w:rsidRPr="005B33B0">
        <w:rPr>
          <w:rFonts w:ascii="Calibri" w:hAnsi="Calibri" w:cs="Calibri"/>
          <w:b/>
          <w:bCs/>
          <w:sz w:val="20"/>
        </w:rPr>
        <w:tab/>
        <w:t xml:space="preserve">Lambda [W/mK] </w:t>
      </w:r>
      <w:r w:rsidRPr="005B33B0">
        <w:rPr>
          <w:rFonts w:ascii="Calibri" w:hAnsi="Calibri" w:cs="Calibri"/>
          <w:b/>
          <w:bCs/>
          <w:sz w:val="20"/>
        </w:rPr>
        <w:tab/>
        <w:t>Mi [-]</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1 </w:t>
      </w:r>
      <w:r w:rsidRPr="005B33B0">
        <w:rPr>
          <w:rFonts w:ascii="Calibri" w:hAnsi="Calibri" w:cs="Calibri"/>
          <w:sz w:val="20"/>
        </w:rPr>
        <w:tab/>
        <w:t xml:space="preserve">Váp.cem. omietka </w:t>
      </w:r>
      <w:r w:rsidRPr="005B33B0">
        <w:rPr>
          <w:rFonts w:ascii="Calibri" w:hAnsi="Calibri" w:cs="Calibri"/>
          <w:sz w:val="20"/>
        </w:rPr>
        <w:tab/>
        <w:t xml:space="preserve">0,010 </w:t>
      </w:r>
      <w:r w:rsidRPr="005B33B0">
        <w:rPr>
          <w:rFonts w:ascii="Calibri" w:hAnsi="Calibri" w:cs="Calibri"/>
          <w:sz w:val="20"/>
        </w:rPr>
        <w:tab/>
        <w:t xml:space="preserve">     0,880 </w:t>
      </w:r>
      <w:r w:rsidRPr="005B33B0">
        <w:rPr>
          <w:rFonts w:ascii="Calibri" w:hAnsi="Calibri" w:cs="Calibri"/>
          <w:sz w:val="20"/>
        </w:rPr>
        <w:tab/>
        <w:t>19,0</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2 </w:t>
      </w:r>
      <w:r w:rsidRPr="005B33B0">
        <w:rPr>
          <w:rFonts w:ascii="Calibri" w:hAnsi="Calibri" w:cs="Calibri"/>
          <w:sz w:val="20"/>
        </w:rPr>
        <w:tab/>
        <w:t xml:space="preserve">Tehla - Porotherm 30 t Profi </w:t>
      </w:r>
      <w:r w:rsidRPr="005B33B0">
        <w:rPr>
          <w:rFonts w:ascii="Calibri" w:hAnsi="Calibri" w:cs="Calibri"/>
          <w:sz w:val="20"/>
        </w:rPr>
        <w:tab/>
        <w:t xml:space="preserve">0,300 </w:t>
      </w:r>
      <w:r w:rsidRPr="005B33B0">
        <w:rPr>
          <w:rFonts w:ascii="Calibri" w:hAnsi="Calibri" w:cs="Calibri"/>
          <w:sz w:val="20"/>
        </w:rPr>
        <w:tab/>
        <w:t xml:space="preserve">     0,072 </w:t>
      </w:r>
      <w:r w:rsidRPr="005B33B0">
        <w:rPr>
          <w:rFonts w:ascii="Calibri" w:hAnsi="Calibri" w:cs="Calibri"/>
          <w:sz w:val="20"/>
        </w:rPr>
        <w:tab/>
        <w:t>8,5</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3 </w:t>
      </w:r>
      <w:r w:rsidRPr="005B33B0">
        <w:rPr>
          <w:rFonts w:ascii="Calibri" w:hAnsi="Calibri" w:cs="Calibri"/>
          <w:sz w:val="20"/>
        </w:rPr>
        <w:tab/>
        <w:t xml:space="preserve">Stierková hmota </w:t>
      </w:r>
      <w:r w:rsidRPr="005B33B0">
        <w:rPr>
          <w:rFonts w:ascii="Calibri" w:hAnsi="Calibri" w:cs="Calibri"/>
          <w:sz w:val="20"/>
        </w:rPr>
        <w:tab/>
        <w:t xml:space="preserve">0,003 </w:t>
      </w:r>
      <w:r w:rsidRPr="005B33B0">
        <w:rPr>
          <w:rFonts w:ascii="Calibri" w:hAnsi="Calibri" w:cs="Calibri"/>
          <w:sz w:val="20"/>
        </w:rPr>
        <w:tab/>
        <w:t xml:space="preserve">     0,700 </w:t>
      </w:r>
      <w:r w:rsidRPr="005B33B0">
        <w:rPr>
          <w:rFonts w:ascii="Calibri" w:hAnsi="Calibri" w:cs="Calibri"/>
          <w:sz w:val="20"/>
        </w:rPr>
        <w:tab/>
        <w:t>60,0</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4 </w:t>
      </w:r>
      <w:r w:rsidRPr="005B33B0">
        <w:rPr>
          <w:rFonts w:ascii="Calibri" w:hAnsi="Calibri" w:cs="Calibri"/>
          <w:sz w:val="20"/>
        </w:rPr>
        <w:tab/>
        <w:t xml:space="preserve">TI - Minerálna vlna </w:t>
      </w:r>
      <w:r w:rsidRPr="005B33B0">
        <w:rPr>
          <w:rFonts w:ascii="Calibri" w:hAnsi="Calibri" w:cs="Calibri"/>
          <w:sz w:val="20"/>
        </w:rPr>
        <w:tab/>
        <w:t xml:space="preserve">0,150 </w:t>
      </w:r>
      <w:r w:rsidRPr="005B33B0">
        <w:rPr>
          <w:rFonts w:ascii="Calibri" w:hAnsi="Calibri" w:cs="Calibri"/>
          <w:sz w:val="20"/>
        </w:rPr>
        <w:tab/>
        <w:t xml:space="preserve">     0,038 </w:t>
      </w:r>
      <w:r w:rsidRPr="005B33B0">
        <w:rPr>
          <w:rFonts w:ascii="Calibri" w:hAnsi="Calibri" w:cs="Calibri"/>
          <w:sz w:val="20"/>
        </w:rPr>
        <w:tab/>
        <w:t>1,0</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5 </w:t>
      </w:r>
      <w:r w:rsidRPr="005B33B0">
        <w:rPr>
          <w:rFonts w:ascii="Calibri" w:hAnsi="Calibri" w:cs="Calibri"/>
          <w:sz w:val="20"/>
        </w:rPr>
        <w:tab/>
        <w:t xml:space="preserve">Stierková hmota </w:t>
      </w:r>
      <w:r w:rsidRPr="005B33B0">
        <w:rPr>
          <w:rFonts w:ascii="Calibri" w:hAnsi="Calibri" w:cs="Calibri"/>
          <w:sz w:val="20"/>
        </w:rPr>
        <w:tab/>
        <w:t xml:space="preserve">0,003 </w:t>
      </w:r>
      <w:r w:rsidRPr="005B33B0">
        <w:rPr>
          <w:rFonts w:ascii="Calibri" w:hAnsi="Calibri" w:cs="Calibri"/>
          <w:sz w:val="20"/>
        </w:rPr>
        <w:tab/>
        <w:t xml:space="preserve">     0,700 </w:t>
      </w:r>
      <w:r w:rsidRPr="005B33B0">
        <w:rPr>
          <w:rFonts w:ascii="Calibri" w:hAnsi="Calibri" w:cs="Calibri"/>
          <w:sz w:val="20"/>
        </w:rPr>
        <w:tab/>
        <w:t>60,0</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6 </w:t>
      </w:r>
      <w:r w:rsidRPr="005B33B0">
        <w:rPr>
          <w:rFonts w:ascii="Calibri" w:hAnsi="Calibri" w:cs="Calibri"/>
          <w:sz w:val="20"/>
        </w:rPr>
        <w:tab/>
        <w:t xml:space="preserve">Váp.cem. omietka </w:t>
      </w:r>
      <w:r w:rsidRPr="005B33B0">
        <w:rPr>
          <w:rFonts w:ascii="Calibri" w:hAnsi="Calibri" w:cs="Calibri"/>
          <w:sz w:val="20"/>
        </w:rPr>
        <w:tab/>
        <w:t xml:space="preserve">0,010 </w:t>
      </w:r>
      <w:r w:rsidRPr="005B33B0">
        <w:rPr>
          <w:rFonts w:ascii="Calibri" w:hAnsi="Calibri" w:cs="Calibri"/>
          <w:sz w:val="20"/>
        </w:rPr>
        <w:tab/>
        <w:t xml:space="preserve">     0,880 </w:t>
      </w:r>
      <w:r w:rsidRPr="005B33B0">
        <w:rPr>
          <w:rFonts w:ascii="Calibri" w:hAnsi="Calibri" w:cs="Calibri"/>
          <w:sz w:val="20"/>
        </w:rPr>
        <w:tab/>
        <w:t>19,0</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u w:val="single"/>
        </w:rPr>
      </w:pPr>
      <w:r w:rsidRPr="005B33B0">
        <w:rPr>
          <w:rFonts w:ascii="Calibri" w:hAnsi="Calibri" w:cs="Calibri"/>
          <w:sz w:val="20"/>
        </w:rPr>
        <w:tab/>
      </w:r>
      <w:r w:rsidRPr="005B33B0">
        <w:rPr>
          <w:rFonts w:ascii="Calibri" w:hAnsi="Calibri" w:cs="Calibri"/>
          <w:b/>
          <w:bCs/>
          <w:sz w:val="20"/>
          <w:u w:val="single"/>
        </w:rPr>
        <w:t>I. Požiadavka na vnútornú povrchovú teplotu (čl. 3.1.1)</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Táto požiadavka sa nevzťahuje na presklené výplne.</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Požiadavka: Tsi,N = Tsi,80 + dTsi =  </w:t>
      </w:r>
      <w:r w:rsidRPr="005B33B0">
        <w:rPr>
          <w:rFonts w:ascii="Calibri" w:hAnsi="Calibri" w:cs="Calibri"/>
          <w:sz w:val="20"/>
        </w:rPr>
        <w:tab/>
        <w:t>12,63+0,20 = 12,83 C</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Vypočítaná hodnota:      Tsi =  </w:t>
      </w:r>
      <w:r w:rsidRPr="005B33B0">
        <w:rPr>
          <w:rFonts w:ascii="Calibri" w:hAnsi="Calibri" w:cs="Calibri"/>
          <w:sz w:val="20"/>
        </w:rPr>
        <w:tab/>
        <w:t>19,08 C</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Tsi &gt; Tsi,N ... POŽIADAVKA JE SPLNENÁ.</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lastRenderedPageBreak/>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Pozn.: Povrch. teploty v mieste tepelných mostov v skladbe je nutné</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určiť riešením teplotného poľa.</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u w:val="single"/>
        </w:rPr>
      </w:pPr>
      <w:r w:rsidRPr="005B33B0">
        <w:rPr>
          <w:rFonts w:ascii="Calibri" w:hAnsi="Calibri" w:cs="Calibri"/>
          <w:sz w:val="20"/>
        </w:rPr>
        <w:tab/>
      </w:r>
      <w:r w:rsidRPr="005B33B0">
        <w:rPr>
          <w:rFonts w:ascii="Calibri" w:hAnsi="Calibri" w:cs="Calibri"/>
          <w:b/>
          <w:bCs/>
          <w:sz w:val="20"/>
          <w:u w:val="single"/>
        </w:rPr>
        <w:t>II. Požiada</w:t>
      </w:r>
      <w:r w:rsidR="005B33B0">
        <w:rPr>
          <w:rFonts w:ascii="Calibri" w:hAnsi="Calibri" w:cs="Calibri"/>
          <w:b/>
          <w:bCs/>
          <w:sz w:val="20"/>
          <w:u w:val="single"/>
        </w:rPr>
        <w:t>vka na tepelný odpor a súčiniteľ</w:t>
      </w:r>
      <w:r w:rsidRPr="005B33B0">
        <w:rPr>
          <w:rFonts w:ascii="Calibri" w:hAnsi="Calibri" w:cs="Calibri"/>
          <w:b/>
          <w:bCs/>
          <w:sz w:val="20"/>
          <w:u w:val="single"/>
        </w:rPr>
        <w:t xml:space="preserve"> prechodu tepla (čl. 3.2.1)</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Požiadavka        : Rn =  </w:t>
      </w:r>
      <w:r w:rsidRPr="005B33B0">
        <w:rPr>
          <w:rFonts w:ascii="Calibri" w:hAnsi="Calibri" w:cs="Calibri"/>
          <w:sz w:val="20"/>
        </w:rPr>
        <w:tab/>
        <w:t>4,40 m2K/W</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Vypočítaná hodnota: R  =  </w:t>
      </w:r>
      <w:r w:rsidRPr="005B33B0">
        <w:rPr>
          <w:rFonts w:ascii="Calibri" w:hAnsi="Calibri" w:cs="Calibri"/>
          <w:sz w:val="20"/>
        </w:rPr>
        <w:tab/>
        <w:t>8,15 m2K/W</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R &gt; Rn ... POŽIADAVKA JE SPLNENÁ.</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Požiadavka        : Un =  </w:t>
      </w:r>
      <w:r w:rsidRPr="005B33B0">
        <w:rPr>
          <w:rFonts w:ascii="Calibri" w:hAnsi="Calibri" w:cs="Calibri"/>
          <w:sz w:val="20"/>
        </w:rPr>
        <w:tab/>
        <w:t>0,22 W/m2K</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Vypočítaná hodnota: U  =  </w:t>
      </w:r>
      <w:r w:rsidRPr="005B33B0">
        <w:rPr>
          <w:rFonts w:ascii="Calibri" w:hAnsi="Calibri" w:cs="Calibri"/>
          <w:sz w:val="20"/>
        </w:rPr>
        <w:tab/>
        <w:t>0,12 W/m2K</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U &lt; Un ... POŽIADAVKA JE SPLNENÁ.</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u w:val="single"/>
        </w:rPr>
      </w:pPr>
      <w:r w:rsidRPr="005B33B0">
        <w:rPr>
          <w:rFonts w:ascii="Calibri" w:hAnsi="Calibri" w:cs="Calibri"/>
          <w:sz w:val="20"/>
        </w:rPr>
        <w:tab/>
      </w:r>
      <w:r w:rsidRPr="005B33B0">
        <w:rPr>
          <w:rFonts w:ascii="Calibri" w:hAnsi="Calibri" w:cs="Calibri"/>
          <w:b/>
          <w:bCs/>
          <w:sz w:val="20"/>
          <w:u w:val="single"/>
        </w:rPr>
        <w:t>III. Požiadavky na šírenie vlhkosti konštrukciou (čl. 4.1)</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t xml:space="preserve"> Požiadavky: </w:t>
      </w:r>
      <w:r w:rsidRPr="005B33B0">
        <w:rPr>
          <w:rFonts w:ascii="Calibri" w:hAnsi="Calibri" w:cs="Calibri"/>
          <w:sz w:val="20"/>
        </w:rPr>
        <w:tab/>
        <w:t xml:space="preserve"> 1. Skondenzovaná vodná para nesmie ohroziť funkciu kcie.</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r w:rsidRPr="005B33B0">
        <w:rPr>
          <w:rFonts w:ascii="Calibri" w:hAnsi="Calibri" w:cs="Calibri"/>
          <w:sz w:val="20"/>
        </w:rPr>
        <w:tab/>
        <w:t xml:space="preserve"> 2. Ročná bilancia vodnej pary musí byť aktívna, tj. Gk&lt;Gv (Ma,vysl=0).</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r w:rsidRPr="005B33B0">
        <w:rPr>
          <w:rFonts w:ascii="Calibri" w:hAnsi="Calibri" w:cs="Calibri"/>
          <w:sz w:val="20"/>
        </w:rPr>
        <w:tab/>
        <w:t xml:space="preserve"> 3. Množstvo kondenzátu musí byť Gk (Ma) &lt; 0,5 kg/m2,rok.</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t xml:space="preserve"> Vypočítané hodnoty: </w:t>
      </w:r>
      <w:r w:rsidRPr="005B33B0">
        <w:rPr>
          <w:rFonts w:ascii="Calibri" w:hAnsi="Calibri" w:cs="Calibri"/>
          <w:sz w:val="20"/>
        </w:rPr>
        <w:tab/>
        <w:t xml:space="preserve"> V kci dochádza pri ext. výpočt. teplote ku kondenzácii.</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r w:rsidRPr="005B33B0">
        <w:rPr>
          <w:rFonts w:ascii="Calibri" w:hAnsi="Calibri" w:cs="Calibri"/>
          <w:sz w:val="20"/>
        </w:rPr>
        <w:tab/>
        <w:t>Ročné množstvo zkondenzovanej vodnej pary Gk = 0,0991 kg/m2,rok</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r w:rsidRPr="005B33B0">
        <w:rPr>
          <w:rFonts w:ascii="Calibri" w:hAnsi="Calibri" w:cs="Calibri"/>
          <w:sz w:val="20"/>
        </w:rPr>
        <w:tab/>
      </w:r>
      <w:r w:rsidRPr="005B33B0">
        <w:rPr>
          <w:rFonts w:ascii="Calibri" w:hAnsi="Calibri" w:cs="Calibri"/>
          <w:sz w:val="20"/>
        </w:rPr>
        <w:tab/>
        <w:t>Ročné množstvo vyparitelnej vodnej pary Gv = 5,1059 kg/m2,rok</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sz w:val="20"/>
        </w:rPr>
      </w:pP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Vyhodnotenie 1. požiadavky musí urobiť projektant.</w:t>
      </w:r>
    </w:p>
    <w:p w:rsidR="00ED12C2" w:rsidRPr="005B33B0" w:rsidRDefault="00ED12C2" w:rsidP="00ED12C2">
      <w:pPr>
        <w:tabs>
          <w:tab w:val="left" w:pos="0"/>
          <w:tab w:val="left" w:pos="100"/>
          <w:tab w:val="left" w:pos="1800"/>
          <w:tab w:val="left" w:pos="25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Gk &lt; Gv ... 2. POŽIADAVKA JE SPLNENÁ.</w:t>
      </w:r>
    </w:p>
    <w:p w:rsidR="00ED12C2" w:rsidRDefault="00ED12C2" w:rsidP="00ED12C2">
      <w:pPr>
        <w:tabs>
          <w:tab w:val="left" w:pos="0"/>
          <w:tab w:val="left" w:pos="100"/>
          <w:tab w:val="left" w:pos="1800"/>
          <w:tab w:val="left" w:pos="25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Gk &lt; 0.5 kg/m2 ... 3. POŽIADAVKA JE SPLNENÁ.</w:t>
      </w:r>
    </w:p>
    <w:p w:rsidR="00D717DF" w:rsidRDefault="00D717DF" w:rsidP="00ED12C2">
      <w:pPr>
        <w:tabs>
          <w:tab w:val="left" w:pos="0"/>
          <w:tab w:val="left" w:pos="100"/>
          <w:tab w:val="left" w:pos="1800"/>
          <w:tab w:val="left" w:pos="2500"/>
        </w:tabs>
        <w:autoSpaceDE w:val="0"/>
        <w:autoSpaceDN w:val="0"/>
        <w:adjustRightInd w:val="0"/>
        <w:jc w:val="both"/>
        <w:rPr>
          <w:rFonts w:ascii="Calibri" w:hAnsi="Calibri" w:cs="Calibri"/>
          <w:b/>
          <w:bCs/>
          <w:sz w:val="20"/>
        </w:rPr>
      </w:pPr>
    </w:p>
    <w:p w:rsidR="00D717DF" w:rsidRPr="005B33B0" w:rsidRDefault="00D717DF" w:rsidP="00ED12C2">
      <w:pPr>
        <w:tabs>
          <w:tab w:val="left" w:pos="0"/>
          <w:tab w:val="left" w:pos="100"/>
          <w:tab w:val="left" w:pos="1800"/>
          <w:tab w:val="left" w:pos="2500"/>
        </w:tabs>
        <w:autoSpaceDE w:val="0"/>
        <w:autoSpaceDN w:val="0"/>
        <w:adjustRightInd w:val="0"/>
        <w:jc w:val="both"/>
        <w:rPr>
          <w:rFonts w:ascii="Calibri" w:hAnsi="Calibri" w:cs="Calibri"/>
          <w:b/>
          <w:bCs/>
          <w:sz w:val="20"/>
        </w:rPr>
      </w:pPr>
    </w:p>
    <w:p w:rsidR="00ED12C2" w:rsidRPr="005B33B0" w:rsidRDefault="00ED12C2" w:rsidP="00940733">
      <w:pPr>
        <w:pStyle w:val="Nadpis3"/>
        <w:numPr>
          <w:ilvl w:val="0"/>
          <w:numId w:val="0"/>
        </w:numPr>
        <w:jc w:val="both"/>
        <w:rPr>
          <w:rFonts w:ascii="Calibri" w:hAnsi="Calibri" w:cs="Calibri"/>
        </w:rPr>
      </w:pPr>
      <w:bookmarkStart w:id="154" w:name="_Toc1907044"/>
      <w:r w:rsidRPr="005B33B0">
        <w:rPr>
          <w:rFonts w:ascii="Calibri" w:hAnsi="Calibri" w:cs="Calibri"/>
        </w:rPr>
        <w:t>6.1.3 Podlaha na teréne</w:t>
      </w:r>
      <w:bookmarkEnd w:id="154"/>
    </w:p>
    <w:p w:rsidR="00ED12C2" w:rsidRPr="005B33B0" w:rsidRDefault="00ED12C2" w:rsidP="00ED12C2">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p w:rsidR="00ED12C2" w:rsidRPr="005B33B0" w:rsidRDefault="00ED12C2" w:rsidP="00ED12C2">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5B33B0">
        <w:rPr>
          <w:rFonts w:ascii="Calibri" w:hAnsi="Calibri" w:cs="Calibri"/>
          <w:b/>
          <w:bCs/>
          <w:sz w:val="20"/>
        </w:rPr>
        <w:t>VYHODNOTENIE VÝSLEDKOV PODĽA STN 730540-2</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r w:rsidRPr="005B33B0">
        <w:rPr>
          <w:rFonts w:ascii="Calibri" w:hAnsi="Calibri" w:cs="Calibri"/>
          <w:b/>
          <w:bCs/>
          <w:sz w:val="20"/>
        </w:rPr>
        <w:t xml:space="preserve">Názov konštrukcie                   :  </w:t>
      </w:r>
      <w:r w:rsidRPr="005B33B0">
        <w:rPr>
          <w:rFonts w:ascii="Calibri" w:hAnsi="Calibri" w:cs="Calibri"/>
          <w:b/>
          <w:bCs/>
          <w:sz w:val="20"/>
        </w:rPr>
        <w:tab/>
      </w:r>
      <w:r w:rsidRPr="005B33B0">
        <w:rPr>
          <w:rFonts w:ascii="Calibri" w:hAnsi="Calibri" w:cs="Calibri"/>
          <w:b/>
          <w:sz w:val="20"/>
          <w:u w:val="single"/>
        </w:rPr>
        <w:t>Podlaha SO 01</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r w:rsidR="00D717DF">
        <w:rPr>
          <w:rFonts w:ascii="Calibri" w:hAnsi="Calibri" w:cs="Calibri"/>
          <w:b/>
          <w:bCs/>
          <w:sz w:val="20"/>
          <w:u w:val="single"/>
        </w:rPr>
        <w:t>Rekapitulácia dá</w:t>
      </w:r>
      <w:r w:rsidRPr="005B33B0">
        <w:rPr>
          <w:rFonts w:ascii="Calibri" w:hAnsi="Calibri" w:cs="Calibri"/>
          <w:b/>
          <w:bCs/>
          <w:sz w:val="20"/>
          <w:u w:val="single"/>
        </w:rPr>
        <w:t>t:</w:t>
      </w: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Teplota vnútorného vzduchu      Tai =  </w:t>
      </w:r>
      <w:r w:rsidRPr="005B33B0">
        <w:rPr>
          <w:rFonts w:ascii="Calibri" w:hAnsi="Calibri" w:cs="Calibri"/>
          <w:sz w:val="20"/>
        </w:rPr>
        <w:tab/>
        <w:t>20,00 C</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Rel. vlhkosť vnútorného vzduchu Fii =  </w:t>
      </w:r>
      <w:r w:rsidRPr="005B33B0">
        <w:rPr>
          <w:rFonts w:ascii="Calibri" w:hAnsi="Calibri" w:cs="Calibri"/>
          <w:sz w:val="20"/>
        </w:rPr>
        <w:tab/>
        <w:t>50,00 %</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D717DF">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r w:rsidRPr="005B33B0">
        <w:rPr>
          <w:rFonts w:ascii="Calibri" w:hAnsi="Calibri" w:cs="Calibri"/>
          <w:b/>
          <w:bCs/>
          <w:sz w:val="20"/>
        </w:rPr>
        <w:t>Hodnotená konštrukcia:</w:t>
      </w:r>
      <w:r w:rsidRPr="005B33B0">
        <w:rPr>
          <w:rFonts w:ascii="Calibri" w:hAnsi="Calibri" w:cs="Calibri"/>
          <w:sz w:val="20"/>
        </w:rPr>
        <w:tab/>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Čislo </w:t>
      </w:r>
      <w:r w:rsidRPr="005B33B0">
        <w:rPr>
          <w:rFonts w:ascii="Calibri" w:hAnsi="Calibri" w:cs="Calibri"/>
          <w:b/>
          <w:bCs/>
          <w:sz w:val="20"/>
        </w:rPr>
        <w:tab/>
        <w:t xml:space="preserve">Názov vrstvy </w:t>
      </w:r>
      <w:r w:rsidRPr="005B33B0">
        <w:rPr>
          <w:rFonts w:ascii="Calibri" w:hAnsi="Calibri" w:cs="Calibri"/>
          <w:b/>
          <w:bCs/>
          <w:sz w:val="20"/>
        </w:rPr>
        <w:tab/>
        <w:t xml:space="preserve">d [m] </w:t>
      </w:r>
      <w:r w:rsidRPr="005B33B0">
        <w:rPr>
          <w:rFonts w:ascii="Calibri" w:hAnsi="Calibri" w:cs="Calibri"/>
          <w:b/>
          <w:bCs/>
          <w:sz w:val="20"/>
        </w:rPr>
        <w:tab/>
        <w:t xml:space="preserve">Lambda [W/mK] </w:t>
      </w:r>
      <w:r w:rsidRPr="005B33B0">
        <w:rPr>
          <w:rFonts w:ascii="Calibri" w:hAnsi="Calibri" w:cs="Calibri"/>
          <w:b/>
          <w:bCs/>
          <w:sz w:val="20"/>
        </w:rPr>
        <w:tab/>
        <w:t>Mi [-]</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1 </w:t>
      </w:r>
      <w:r w:rsidRPr="005B33B0">
        <w:rPr>
          <w:rFonts w:ascii="Calibri" w:hAnsi="Calibri" w:cs="Calibri"/>
          <w:sz w:val="20"/>
        </w:rPr>
        <w:tab/>
        <w:t xml:space="preserve">Terrazzo </w:t>
      </w:r>
      <w:r w:rsidRPr="005B33B0">
        <w:rPr>
          <w:rFonts w:ascii="Calibri" w:hAnsi="Calibri" w:cs="Calibri"/>
          <w:sz w:val="20"/>
        </w:rPr>
        <w:tab/>
        <w:t xml:space="preserve">0,020 </w:t>
      </w:r>
      <w:r w:rsidRPr="005B33B0">
        <w:rPr>
          <w:rFonts w:ascii="Calibri" w:hAnsi="Calibri" w:cs="Calibri"/>
          <w:sz w:val="20"/>
        </w:rPr>
        <w:tab/>
        <w:t xml:space="preserve">     1,300 </w:t>
      </w:r>
      <w:r w:rsidRPr="005B33B0">
        <w:rPr>
          <w:rFonts w:ascii="Calibri" w:hAnsi="Calibri" w:cs="Calibri"/>
          <w:sz w:val="20"/>
        </w:rPr>
        <w:tab/>
        <w:t>50,0</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2 </w:t>
      </w:r>
      <w:r w:rsidRPr="005B33B0">
        <w:rPr>
          <w:rFonts w:ascii="Calibri" w:hAnsi="Calibri" w:cs="Calibri"/>
          <w:sz w:val="20"/>
        </w:rPr>
        <w:tab/>
        <w:t xml:space="preserve">Cementový poter </w:t>
      </w:r>
      <w:r w:rsidRPr="005B33B0">
        <w:rPr>
          <w:rFonts w:ascii="Calibri" w:hAnsi="Calibri" w:cs="Calibri"/>
          <w:sz w:val="20"/>
        </w:rPr>
        <w:tab/>
        <w:t xml:space="preserve">0,040 </w:t>
      </w:r>
      <w:r w:rsidRPr="005B33B0">
        <w:rPr>
          <w:rFonts w:ascii="Calibri" w:hAnsi="Calibri" w:cs="Calibri"/>
          <w:sz w:val="20"/>
        </w:rPr>
        <w:tab/>
        <w:t xml:space="preserve">     1,160 </w:t>
      </w:r>
      <w:r w:rsidRPr="005B33B0">
        <w:rPr>
          <w:rFonts w:ascii="Calibri" w:hAnsi="Calibri" w:cs="Calibri"/>
          <w:sz w:val="20"/>
        </w:rPr>
        <w:tab/>
        <w:t>19,0</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5B33B0">
        <w:rPr>
          <w:rFonts w:ascii="Calibri" w:hAnsi="Calibri" w:cs="Calibri"/>
          <w:sz w:val="20"/>
        </w:rPr>
        <w:tab/>
        <w:t xml:space="preserve">  3 </w:t>
      </w:r>
      <w:r w:rsidRPr="005B33B0">
        <w:rPr>
          <w:rFonts w:ascii="Calibri" w:hAnsi="Calibri" w:cs="Calibri"/>
          <w:sz w:val="20"/>
        </w:rPr>
        <w:tab/>
        <w:t xml:space="preserve">XPS polystarén </w:t>
      </w:r>
      <w:r w:rsidRPr="005B33B0">
        <w:rPr>
          <w:rFonts w:ascii="Calibri" w:hAnsi="Calibri" w:cs="Calibri"/>
          <w:sz w:val="20"/>
        </w:rPr>
        <w:tab/>
        <w:t xml:space="preserve">0,140 </w:t>
      </w:r>
      <w:r w:rsidRPr="005B33B0">
        <w:rPr>
          <w:rFonts w:ascii="Calibri" w:hAnsi="Calibri" w:cs="Calibri"/>
          <w:sz w:val="20"/>
        </w:rPr>
        <w:tab/>
        <w:t xml:space="preserve">     0,035 </w:t>
      </w:r>
      <w:r w:rsidRPr="005B33B0">
        <w:rPr>
          <w:rFonts w:ascii="Calibri" w:hAnsi="Calibri" w:cs="Calibri"/>
          <w:sz w:val="20"/>
        </w:rPr>
        <w:tab/>
        <w:t>30,0</w:t>
      </w: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p>
    <w:p w:rsidR="00ED12C2" w:rsidRPr="005B33B0" w:rsidRDefault="00ED12C2" w:rsidP="00ED12C2">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u w:val="single"/>
        </w:rPr>
      </w:pPr>
      <w:r w:rsidRPr="005B33B0">
        <w:rPr>
          <w:rFonts w:ascii="Calibri" w:hAnsi="Calibri" w:cs="Calibri"/>
          <w:sz w:val="20"/>
        </w:rPr>
        <w:tab/>
      </w:r>
      <w:r w:rsidRPr="005B33B0">
        <w:rPr>
          <w:rFonts w:ascii="Calibri" w:hAnsi="Calibri" w:cs="Calibri"/>
          <w:b/>
          <w:bCs/>
          <w:sz w:val="20"/>
          <w:u w:val="single"/>
        </w:rPr>
        <w:t>I. Požiadavka na vnútornú povrchovú teplotu (čl. 3.1.1)</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Táto požiadavka sa nevzťahuje na presklené výplne.</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Požiadavka: Tsi,N = Tsi,80 + dTsi =  </w:t>
      </w:r>
      <w:r w:rsidRPr="005B33B0">
        <w:rPr>
          <w:rFonts w:ascii="Calibri" w:hAnsi="Calibri" w:cs="Calibri"/>
          <w:sz w:val="20"/>
        </w:rPr>
        <w:tab/>
        <w:t>12,63+0,20 = 12,83 C</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Vypočítaná hodnota:      Tsi =  </w:t>
      </w:r>
      <w:r w:rsidRPr="005B33B0">
        <w:rPr>
          <w:rFonts w:ascii="Calibri" w:hAnsi="Calibri" w:cs="Calibri"/>
          <w:sz w:val="20"/>
        </w:rPr>
        <w:tab/>
        <w:t>18,85 C</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b/>
          <w:bCs/>
          <w:sz w:val="20"/>
        </w:rPr>
        <w:tab/>
        <w:t xml:space="preserve"> Tsi &gt; Tsi,N ... POŽIADAVKA JE SPLNENÁ.</w:t>
      </w: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Pozn.: Povrch. teploty v mieste tepelných mostov v skladbe je nutné</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určiť riešením teplotného poľa.</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u w:val="single"/>
        </w:rPr>
      </w:pPr>
      <w:r w:rsidRPr="005B33B0">
        <w:rPr>
          <w:rFonts w:ascii="Calibri" w:hAnsi="Calibri" w:cs="Calibri"/>
          <w:sz w:val="20"/>
        </w:rPr>
        <w:tab/>
      </w:r>
      <w:r w:rsidRPr="005B33B0">
        <w:rPr>
          <w:rFonts w:ascii="Calibri" w:hAnsi="Calibri" w:cs="Calibri"/>
          <w:b/>
          <w:bCs/>
          <w:sz w:val="20"/>
          <w:u w:val="single"/>
        </w:rPr>
        <w:t>II. Požiadavka na tepelný odpor a súčinitel prechodu tepla (čl. 3.2.1)</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Požiadavka        : Rn =  </w:t>
      </w:r>
      <w:r w:rsidRPr="005B33B0">
        <w:rPr>
          <w:rFonts w:ascii="Calibri" w:hAnsi="Calibri" w:cs="Calibri"/>
          <w:sz w:val="20"/>
        </w:rPr>
        <w:tab/>
        <w:t>2,50 m2K/W</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lastRenderedPageBreak/>
        <w:tab/>
        <w:t xml:space="preserve"> Vypočítaná hodnota: R  =  </w:t>
      </w:r>
      <w:r w:rsidRPr="005B33B0">
        <w:rPr>
          <w:rFonts w:ascii="Calibri" w:hAnsi="Calibri" w:cs="Calibri"/>
          <w:sz w:val="20"/>
        </w:rPr>
        <w:tab/>
        <w:t>4,05 m2K/W</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R &gt; Rn ... POŽIADAVKA JE SPLNENÁ.</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u w:val="single"/>
        </w:rPr>
      </w:pPr>
      <w:r w:rsidRPr="005B33B0">
        <w:rPr>
          <w:rFonts w:ascii="Calibri" w:hAnsi="Calibri" w:cs="Calibri"/>
          <w:sz w:val="20"/>
        </w:rPr>
        <w:tab/>
      </w:r>
      <w:r w:rsidRPr="005B33B0">
        <w:rPr>
          <w:rFonts w:ascii="Calibri" w:hAnsi="Calibri" w:cs="Calibri"/>
          <w:b/>
          <w:bCs/>
          <w:sz w:val="20"/>
          <w:u w:val="single"/>
        </w:rPr>
        <w:t>III. Požiadavka na tepelnú prijímavosť podláh (čl. 3.3.1)</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Požiadavka: studená podlaha</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Vypočítaná hodnota: b =  </w:t>
      </w:r>
      <w:r w:rsidRPr="005B33B0">
        <w:rPr>
          <w:rFonts w:ascii="Calibri" w:hAnsi="Calibri" w:cs="Calibri"/>
          <w:sz w:val="20"/>
        </w:rPr>
        <w:tab/>
        <w:t>1435,83 W/m2sK</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POŽIADAVKA JE SPLNENÁ.</w:t>
      </w:r>
    </w:p>
    <w:p w:rsidR="00ED12C2" w:rsidRPr="005B33B0" w:rsidRDefault="00ED12C2" w:rsidP="00940733">
      <w:pPr>
        <w:pStyle w:val="Nadpis3"/>
        <w:numPr>
          <w:ilvl w:val="0"/>
          <w:numId w:val="0"/>
        </w:numPr>
        <w:jc w:val="both"/>
        <w:rPr>
          <w:rFonts w:ascii="Calibri" w:hAnsi="Calibri" w:cs="Calibri"/>
        </w:rPr>
      </w:pPr>
      <w:bookmarkStart w:id="155" w:name="_Toc481585558"/>
      <w:bookmarkStart w:id="156" w:name="_Toc1907045"/>
      <w:r w:rsidRPr="005B33B0">
        <w:rPr>
          <w:rFonts w:ascii="Calibri" w:hAnsi="Calibri" w:cs="Calibri"/>
        </w:rPr>
        <w:t>6.1.4 Otvorové konštrukcie</w:t>
      </w:r>
      <w:bookmarkEnd w:id="155"/>
      <w:bookmarkEnd w:id="156"/>
    </w:p>
    <w:p w:rsidR="00ED12C2" w:rsidRPr="005B33B0" w:rsidRDefault="00ED12C2" w:rsidP="00ED12C2">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5B33B0">
        <w:rPr>
          <w:rFonts w:ascii="Calibri" w:hAnsi="Calibri" w:cs="Calibri"/>
          <w:b/>
          <w:bCs/>
          <w:sz w:val="20"/>
        </w:rPr>
        <w:tab/>
      </w:r>
    </w:p>
    <w:p w:rsidR="00ED12C2" w:rsidRPr="005B33B0" w:rsidRDefault="00ED12C2" w:rsidP="00ED12C2">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5B33B0">
        <w:rPr>
          <w:rFonts w:ascii="Calibri" w:hAnsi="Calibri" w:cs="Calibri"/>
          <w:b/>
          <w:bCs/>
          <w:sz w:val="20"/>
        </w:rPr>
        <w:t>VYHODNOTENIE VÝSLEDKOV PODĽA STN 730540-2</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u w:val="single"/>
        </w:rPr>
      </w:pPr>
      <w:r w:rsidRPr="005B33B0">
        <w:rPr>
          <w:rFonts w:ascii="Calibri" w:hAnsi="Calibri" w:cs="Calibri"/>
          <w:sz w:val="20"/>
        </w:rPr>
        <w:tab/>
      </w:r>
      <w:r w:rsidRPr="005B33B0">
        <w:rPr>
          <w:rFonts w:ascii="Calibri" w:hAnsi="Calibri" w:cs="Calibri"/>
          <w:b/>
          <w:bCs/>
          <w:sz w:val="20"/>
        </w:rPr>
        <w:t xml:space="preserve">Názov konštrukcie                   :  </w:t>
      </w:r>
      <w:r w:rsidRPr="005B33B0">
        <w:rPr>
          <w:rFonts w:ascii="Calibri" w:hAnsi="Calibri" w:cs="Calibri"/>
          <w:b/>
          <w:bCs/>
          <w:sz w:val="20"/>
        </w:rPr>
        <w:tab/>
      </w:r>
      <w:r w:rsidRPr="005B33B0">
        <w:rPr>
          <w:rFonts w:ascii="Calibri" w:hAnsi="Calibri" w:cs="Calibri"/>
          <w:b/>
          <w:sz w:val="20"/>
          <w:u w:val="single"/>
        </w:rPr>
        <w:t>Otvorové konštrukcie</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r>
      <w:r w:rsidRPr="005B33B0">
        <w:rPr>
          <w:rFonts w:ascii="Calibri" w:hAnsi="Calibri" w:cs="Calibri"/>
          <w:b/>
          <w:bCs/>
          <w:sz w:val="20"/>
          <w:u w:val="single"/>
        </w:rPr>
        <w:t>Rek</w:t>
      </w:r>
      <w:r w:rsidR="00D717DF">
        <w:rPr>
          <w:rFonts w:ascii="Calibri" w:hAnsi="Calibri" w:cs="Calibri"/>
          <w:b/>
          <w:bCs/>
          <w:sz w:val="20"/>
          <w:u w:val="single"/>
        </w:rPr>
        <w:t>apitulácia dá</w:t>
      </w:r>
      <w:r w:rsidRPr="005B33B0">
        <w:rPr>
          <w:rFonts w:ascii="Calibri" w:hAnsi="Calibri" w:cs="Calibri"/>
          <w:b/>
          <w:bCs/>
          <w:sz w:val="20"/>
          <w:u w:val="single"/>
        </w:rPr>
        <w:t>t:</w:t>
      </w:r>
      <w:r w:rsidRPr="005B33B0">
        <w:rPr>
          <w:rFonts w:ascii="Calibri" w:hAnsi="Calibri" w:cs="Calibri"/>
          <w:sz w:val="20"/>
        </w:rPr>
        <w:tab/>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Súčiniteľ prestupu tepla zasklením Ug =  0,50 W/m2K</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Súčinit</w:t>
      </w:r>
      <w:r w:rsidR="005B33B0">
        <w:rPr>
          <w:rFonts w:ascii="Calibri" w:hAnsi="Calibri" w:cs="Calibri"/>
          <w:sz w:val="20"/>
        </w:rPr>
        <w:t xml:space="preserve">eľ prestupu tepla rámom Uf = </w:t>
      </w:r>
      <w:r w:rsidRPr="005B33B0">
        <w:rPr>
          <w:rFonts w:ascii="Calibri" w:hAnsi="Calibri" w:cs="Calibri"/>
          <w:sz w:val="20"/>
        </w:rPr>
        <w:t>1,00 W/m2K</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p>
    <w:tbl>
      <w:tblPr>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1814"/>
        <w:gridCol w:w="1797"/>
        <w:gridCol w:w="1802"/>
        <w:gridCol w:w="1798"/>
        <w:gridCol w:w="1815"/>
      </w:tblGrid>
      <w:tr w:rsidR="00ED12C2" w:rsidRPr="005B33B0" w:rsidTr="00ED12C2">
        <w:tc>
          <w:tcPr>
            <w:tcW w:w="1842" w:type="dxa"/>
            <w:tcBorders>
              <w:top w:val="single" w:sz="18" w:space="0" w:color="auto"/>
              <w:bottom w:val="single" w:sz="18" w:space="0" w:color="auto"/>
            </w:tcBorders>
            <w:vAlign w:val="center"/>
          </w:tcPr>
          <w:p w:rsidR="00ED12C2" w:rsidRPr="005B33B0" w:rsidRDefault="00ED12C2" w:rsidP="00ED12C2">
            <w:pPr>
              <w:jc w:val="both"/>
              <w:rPr>
                <w:rStyle w:val="Zvraznenie"/>
                <w:rFonts w:ascii="Calibri" w:hAnsi="Calibri" w:cs="Calibri"/>
                <w:b/>
                <w:iCs w:val="0"/>
                <w:sz w:val="20"/>
              </w:rPr>
            </w:pPr>
            <w:r w:rsidRPr="005B33B0">
              <w:rPr>
                <w:rStyle w:val="Zvraznenie"/>
                <w:rFonts w:ascii="Calibri" w:hAnsi="Calibri" w:cs="Calibri"/>
                <w:b/>
                <w:iCs w:val="0"/>
                <w:sz w:val="20"/>
              </w:rPr>
              <w:t>Rozmery okna v mm Š x V</w:t>
            </w:r>
          </w:p>
        </w:tc>
        <w:tc>
          <w:tcPr>
            <w:tcW w:w="1842" w:type="dxa"/>
            <w:tcBorders>
              <w:top w:val="single" w:sz="18" w:space="0" w:color="auto"/>
              <w:bottom w:val="single" w:sz="18" w:space="0" w:color="auto"/>
            </w:tcBorders>
            <w:vAlign w:val="center"/>
          </w:tcPr>
          <w:p w:rsidR="00ED12C2" w:rsidRPr="005B33B0" w:rsidRDefault="00ED12C2" w:rsidP="00ED12C2">
            <w:pPr>
              <w:jc w:val="both"/>
              <w:rPr>
                <w:rStyle w:val="Zvraznenie"/>
                <w:rFonts w:ascii="Calibri" w:hAnsi="Calibri" w:cs="Calibri"/>
                <w:b/>
                <w:iCs w:val="0"/>
                <w:sz w:val="20"/>
              </w:rPr>
            </w:pPr>
            <w:r w:rsidRPr="005B33B0">
              <w:rPr>
                <w:rStyle w:val="Zvraznenie"/>
                <w:rFonts w:ascii="Calibri" w:hAnsi="Calibri" w:cs="Calibri"/>
                <w:b/>
                <w:iCs w:val="0"/>
                <w:sz w:val="20"/>
              </w:rPr>
              <w:t xml:space="preserve">Počet okien </w:t>
            </w:r>
          </w:p>
          <w:p w:rsidR="00ED12C2" w:rsidRPr="005B33B0" w:rsidRDefault="00ED12C2" w:rsidP="00ED12C2">
            <w:pPr>
              <w:jc w:val="both"/>
              <w:rPr>
                <w:rStyle w:val="Zvraznenie"/>
                <w:rFonts w:ascii="Calibri" w:hAnsi="Calibri" w:cs="Calibri"/>
                <w:b/>
                <w:iCs w:val="0"/>
                <w:sz w:val="20"/>
              </w:rPr>
            </w:pPr>
            <w:r w:rsidRPr="005B33B0">
              <w:rPr>
                <w:rStyle w:val="Zvraznenie"/>
                <w:rFonts w:ascii="Calibri" w:hAnsi="Calibri" w:cs="Calibri"/>
                <w:b/>
                <w:iCs w:val="0"/>
                <w:sz w:val="20"/>
              </w:rPr>
              <w:t>KS</w:t>
            </w:r>
          </w:p>
        </w:tc>
        <w:tc>
          <w:tcPr>
            <w:tcW w:w="1843" w:type="dxa"/>
            <w:tcBorders>
              <w:top w:val="single" w:sz="18" w:space="0" w:color="auto"/>
              <w:bottom w:val="single" w:sz="18" w:space="0" w:color="auto"/>
            </w:tcBorders>
            <w:vAlign w:val="center"/>
          </w:tcPr>
          <w:p w:rsidR="00ED12C2" w:rsidRPr="005B33B0" w:rsidRDefault="00ED12C2" w:rsidP="00ED12C2">
            <w:pPr>
              <w:jc w:val="both"/>
              <w:rPr>
                <w:rStyle w:val="Zvraznenie"/>
                <w:rFonts w:ascii="Calibri" w:hAnsi="Calibri" w:cs="Calibri"/>
                <w:b/>
                <w:iCs w:val="0"/>
                <w:sz w:val="20"/>
              </w:rPr>
            </w:pPr>
            <w:r w:rsidRPr="005B33B0">
              <w:rPr>
                <w:rStyle w:val="Zvraznenie"/>
                <w:rFonts w:ascii="Calibri" w:hAnsi="Calibri" w:cs="Calibri"/>
                <w:b/>
                <w:iCs w:val="0"/>
                <w:sz w:val="20"/>
              </w:rPr>
              <w:t>Plocha okien v m</w:t>
            </w:r>
            <w:r w:rsidRPr="005B33B0">
              <w:rPr>
                <w:rStyle w:val="Zvraznenie"/>
                <w:rFonts w:ascii="Calibri" w:hAnsi="Calibri" w:cs="Calibri"/>
                <w:b/>
                <w:iCs w:val="0"/>
                <w:sz w:val="20"/>
                <w:vertAlign w:val="superscript"/>
              </w:rPr>
              <w:t>2</w:t>
            </w:r>
          </w:p>
        </w:tc>
        <w:tc>
          <w:tcPr>
            <w:tcW w:w="1843" w:type="dxa"/>
            <w:tcBorders>
              <w:top w:val="single" w:sz="18" w:space="0" w:color="auto"/>
              <w:bottom w:val="single" w:sz="18" w:space="0" w:color="auto"/>
            </w:tcBorders>
            <w:vAlign w:val="center"/>
          </w:tcPr>
          <w:p w:rsidR="00ED12C2" w:rsidRPr="005B33B0" w:rsidRDefault="00ED12C2" w:rsidP="00ED12C2">
            <w:pPr>
              <w:jc w:val="both"/>
              <w:rPr>
                <w:rStyle w:val="Zvraznenie"/>
                <w:rFonts w:ascii="Calibri" w:hAnsi="Calibri" w:cs="Calibri"/>
                <w:b/>
                <w:iCs w:val="0"/>
                <w:sz w:val="20"/>
              </w:rPr>
            </w:pPr>
            <w:r w:rsidRPr="005B33B0">
              <w:rPr>
                <w:rStyle w:val="Zvraznenie"/>
                <w:rFonts w:ascii="Calibri" w:hAnsi="Calibri" w:cs="Calibri"/>
                <w:b/>
                <w:iCs w:val="0"/>
                <w:sz w:val="20"/>
              </w:rPr>
              <w:t>Dĺžka škár</w:t>
            </w:r>
          </w:p>
          <w:p w:rsidR="00ED12C2" w:rsidRPr="005B33B0" w:rsidRDefault="00ED12C2" w:rsidP="00ED12C2">
            <w:pPr>
              <w:jc w:val="both"/>
              <w:rPr>
                <w:rStyle w:val="Zvraznenie"/>
                <w:rFonts w:ascii="Calibri" w:hAnsi="Calibri" w:cs="Calibri"/>
                <w:b/>
                <w:iCs w:val="0"/>
                <w:sz w:val="20"/>
              </w:rPr>
            </w:pPr>
            <w:r w:rsidRPr="005B33B0">
              <w:rPr>
                <w:rStyle w:val="Zvraznenie"/>
                <w:rFonts w:ascii="Calibri" w:hAnsi="Calibri" w:cs="Calibri"/>
                <w:b/>
                <w:iCs w:val="0"/>
                <w:sz w:val="20"/>
              </w:rPr>
              <w:t xml:space="preserve"> m</w:t>
            </w:r>
          </w:p>
        </w:tc>
        <w:tc>
          <w:tcPr>
            <w:tcW w:w="1843" w:type="dxa"/>
            <w:tcBorders>
              <w:top w:val="single" w:sz="18" w:space="0" w:color="auto"/>
              <w:bottom w:val="single" w:sz="18" w:space="0" w:color="auto"/>
            </w:tcBorders>
            <w:vAlign w:val="center"/>
          </w:tcPr>
          <w:p w:rsidR="00ED12C2" w:rsidRPr="005B33B0" w:rsidRDefault="00ED12C2" w:rsidP="00ED12C2">
            <w:pPr>
              <w:jc w:val="both"/>
              <w:rPr>
                <w:rStyle w:val="Zvraznenie"/>
                <w:rFonts w:ascii="Calibri" w:hAnsi="Calibri" w:cs="Calibri"/>
                <w:b/>
                <w:iCs w:val="0"/>
                <w:sz w:val="20"/>
              </w:rPr>
            </w:pPr>
            <w:r w:rsidRPr="005B33B0">
              <w:rPr>
                <w:rStyle w:val="Zvraznenie"/>
                <w:rFonts w:ascii="Calibri" w:hAnsi="Calibri" w:cs="Calibri"/>
                <w:b/>
                <w:iCs w:val="0"/>
                <w:sz w:val="20"/>
              </w:rPr>
              <w:t>Súč. Prestupu tepla</w:t>
            </w:r>
          </w:p>
          <w:p w:rsidR="00ED12C2" w:rsidRPr="005B33B0" w:rsidRDefault="00ED12C2" w:rsidP="00ED12C2">
            <w:pPr>
              <w:jc w:val="both"/>
              <w:rPr>
                <w:rStyle w:val="Zvraznenie"/>
                <w:rFonts w:ascii="Calibri" w:hAnsi="Calibri" w:cs="Calibri"/>
                <w:b/>
                <w:iCs w:val="0"/>
                <w:sz w:val="20"/>
              </w:rPr>
            </w:pPr>
            <w:r w:rsidRPr="005B33B0">
              <w:rPr>
                <w:rStyle w:val="Zvraznenie"/>
                <w:rFonts w:ascii="Calibri" w:hAnsi="Calibri" w:cs="Calibri"/>
                <w:b/>
                <w:iCs w:val="0"/>
                <w:sz w:val="20"/>
              </w:rPr>
              <w:t>U</w:t>
            </w:r>
            <w:r w:rsidRPr="005B33B0">
              <w:rPr>
                <w:rStyle w:val="Zvraznenie"/>
                <w:rFonts w:ascii="Calibri" w:hAnsi="Calibri" w:cs="Calibri"/>
                <w:b/>
                <w:iCs w:val="0"/>
                <w:sz w:val="20"/>
                <w:vertAlign w:val="subscript"/>
              </w:rPr>
              <w:t>W</w:t>
            </w:r>
            <w:r w:rsidRPr="005B33B0">
              <w:rPr>
                <w:rStyle w:val="Zvraznenie"/>
                <w:rFonts w:ascii="Calibri" w:hAnsi="Calibri" w:cs="Calibri"/>
                <w:b/>
                <w:iCs w:val="0"/>
                <w:sz w:val="20"/>
              </w:rPr>
              <w:t xml:space="preserve"> (W/(m</w:t>
            </w:r>
            <w:r w:rsidRPr="005B33B0">
              <w:rPr>
                <w:rStyle w:val="Zvraznenie"/>
                <w:rFonts w:ascii="Calibri" w:hAnsi="Calibri" w:cs="Calibri"/>
                <w:b/>
                <w:iCs w:val="0"/>
                <w:sz w:val="20"/>
                <w:vertAlign w:val="superscript"/>
              </w:rPr>
              <w:t>2</w:t>
            </w:r>
            <w:r w:rsidRPr="005B33B0">
              <w:rPr>
                <w:rStyle w:val="Zvraznenie"/>
                <w:rFonts w:ascii="Calibri" w:hAnsi="Calibri" w:cs="Calibri"/>
                <w:b/>
                <w:iCs w:val="0"/>
                <w:sz w:val="20"/>
              </w:rPr>
              <w:t>.K))</w:t>
            </w:r>
          </w:p>
        </w:tc>
      </w:tr>
      <w:tr w:rsidR="00ED12C2" w:rsidRPr="005B33B0" w:rsidTr="00ED12C2">
        <w:tc>
          <w:tcPr>
            <w:tcW w:w="1842" w:type="dxa"/>
            <w:tcBorders>
              <w:top w:val="single" w:sz="18"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2400x2500</w:t>
            </w:r>
          </w:p>
        </w:tc>
        <w:tc>
          <w:tcPr>
            <w:tcW w:w="1842" w:type="dxa"/>
            <w:tcBorders>
              <w:top w:val="single" w:sz="18" w:space="0" w:color="auto"/>
              <w:left w:val="single" w:sz="2"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5</w:t>
            </w:r>
          </w:p>
        </w:tc>
        <w:tc>
          <w:tcPr>
            <w:tcW w:w="1843" w:type="dxa"/>
            <w:tcBorders>
              <w:top w:val="single" w:sz="18" w:space="0" w:color="auto"/>
              <w:left w:val="single" w:sz="2"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30,00</w:t>
            </w:r>
          </w:p>
        </w:tc>
        <w:tc>
          <w:tcPr>
            <w:tcW w:w="1843" w:type="dxa"/>
            <w:tcBorders>
              <w:top w:val="single" w:sz="18" w:space="0" w:color="auto"/>
              <w:left w:val="single" w:sz="2"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71,96</w:t>
            </w:r>
          </w:p>
        </w:tc>
        <w:tc>
          <w:tcPr>
            <w:tcW w:w="1843" w:type="dxa"/>
            <w:tcBorders>
              <w:top w:val="single" w:sz="18" w:space="0" w:color="auto"/>
              <w:left w:val="single" w:sz="2" w:space="0" w:color="auto"/>
              <w:bottom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0,66</w:t>
            </w:r>
          </w:p>
        </w:tc>
      </w:tr>
      <w:tr w:rsidR="00ED12C2" w:rsidRPr="005B33B0" w:rsidTr="00ED12C2">
        <w:tc>
          <w:tcPr>
            <w:tcW w:w="1842" w:type="dxa"/>
            <w:tcBorders>
              <w:top w:val="single" w:sz="2"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800x800</w:t>
            </w:r>
          </w:p>
        </w:tc>
        <w:tc>
          <w:tcPr>
            <w:tcW w:w="1842"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1</w:t>
            </w:r>
          </w:p>
        </w:tc>
        <w:tc>
          <w:tcPr>
            <w:tcW w:w="1843"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0,64</w:t>
            </w:r>
          </w:p>
        </w:tc>
        <w:tc>
          <w:tcPr>
            <w:tcW w:w="1843"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2,93</w:t>
            </w:r>
          </w:p>
        </w:tc>
        <w:tc>
          <w:tcPr>
            <w:tcW w:w="1843" w:type="dxa"/>
            <w:tcBorders>
              <w:top w:val="single" w:sz="2" w:space="0" w:color="auto"/>
              <w:left w:val="single" w:sz="2" w:space="0" w:color="auto"/>
              <w:bottom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0,89</w:t>
            </w:r>
          </w:p>
        </w:tc>
      </w:tr>
      <w:tr w:rsidR="00ED12C2" w:rsidRPr="005B33B0" w:rsidTr="00ED12C2">
        <w:tc>
          <w:tcPr>
            <w:tcW w:w="1842" w:type="dxa"/>
            <w:tcBorders>
              <w:top w:val="single" w:sz="2"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1000x1000</w:t>
            </w:r>
          </w:p>
        </w:tc>
        <w:tc>
          <w:tcPr>
            <w:tcW w:w="1842"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2</w:t>
            </w:r>
          </w:p>
        </w:tc>
        <w:tc>
          <w:tcPr>
            <w:tcW w:w="1843"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2,00</w:t>
            </w:r>
          </w:p>
        </w:tc>
        <w:tc>
          <w:tcPr>
            <w:tcW w:w="1843" w:type="dxa"/>
            <w:tcBorders>
              <w:top w:val="single" w:sz="2" w:space="0" w:color="auto"/>
              <w:left w:val="single" w:sz="2" w:space="0" w:color="auto"/>
              <w:bottom w:val="single" w:sz="2" w:space="0" w:color="auto"/>
              <w:right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7,46</w:t>
            </w:r>
          </w:p>
        </w:tc>
        <w:tc>
          <w:tcPr>
            <w:tcW w:w="1843" w:type="dxa"/>
            <w:tcBorders>
              <w:top w:val="single" w:sz="2" w:space="0" w:color="auto"/>
              <w:left w:val="single" w:sz="2" w:space="0" w:color="auto"/>
              <w:bottom w:val="single" w:sz="2"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0,82</w:t>
            </w:r>
          </w:p>
        </w:tc>
      </w:tr>
      <w:tr w:rsidR="00ED12C2" w:rsidRPr="005B33B0" w:rsidTr="00ED12C2">
        <w:tc>
          <w:tcPr>
            <w:tcW w:w="7370" w:type="dxa"/>
            <w:gridSpan w:val="4"/>
            <w:tcBorders>
              <w:top w:val="single" w:sz="18" w:space="0" w:color="auto"/>
              <w:bottom w:val="single" w:sz="18"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b/>
                <w:iCs w:val="0"/>
                <w:sz w:val="20"/>
              </w:rPr>
              <w:t>U</w:t>
            </w:r>
            <w:r w:rsidRPr="005B33B0">
              <w:rPr>
                <w:rStyle w:val="Zvraznenie"/>
                <w:rFonts w:ascii="Calibri" w:hAnsi="Calibri" w:cs="Calibri"/>
                <w:b/>
                <w:iCs w:val="0"/>
                <w:sz w:val="20"/>
                <w:vertAlign w:val="subscript"/>
              </w:rPr>
              <w:t xml:space="preserve">W </w:t>
            </w:r>
            <w:r w:rsidRPr="005B33B0">
              <w:rPr>
                <w:rStyle w:val="Zvraznenie"/>
                <w:rFonts w:ascii="Calibri" w:hAnsi="Calibri" w:cs="Calibri"/>
                <w:b/>
                <w:iCs w:val="0"/>
                <w:sz w:val="20"/>
              </w:rPr>
              <w:t>=</w:t>
            </w:r>
          </w:p>
        </w:tc>
        <w:tc>
          <w:tcPr>
            <w:tcW w:w="1843" w:type="dxa"/>
            <w:tcBorders>
              <w:top w:val="single" w:sz="18" w:space="0" w:color="auto"/>
              <w:bottom w:val="single" w:sz="18" w:space="0" w:color="auto"/>
            </w:tcBorders>
            <w:vAlign w:val="center"/>
          </w:tcPr>
          <w:p w:rsidR="00ED12C2" w:rsidRPr="005B33B0" w:rsidRDefault="00ED12C2" w:rsidP="00ED12C2">
            <w:pPr>
              <w:jc w:val="both"/>
              <w:rPr>
                <w:rStyle w:val="Zvraznenie"/>
                <w:rFonts w:ascii="Calibri" w:hAnsi="Calibri" w:cs="Calibri"/>
                <w:iCs w:val="0"/>
                <w:sz w:val="20"/>
              </w:rPr>
            </w:pPr>
            <w:r w:rsidRPr="005B33B0">
              <w:rPr>
                <w:rStyle w:val="Zvraznenie"/>
                <w:rFonts w:ascii="Calibri" w:hAnsi="Calibri" w:cs="Calibri"/>
                <w:iCs w:val="0"/>
                <w:sz w:val="20"/>
              </w:rPr>
              <w:t>0,67</w:t>
            </w:r>
          </w:p>
        </w:tc>
      </w:tr>
    </w:tbl>
    <w:p w:rsidR="00ED12C2" w:rsidRPr="005B33B0" w:rsidRDefault="00ED12C2" w:rsidP="00ED12C2">
      <w:pPr>
        <w:jc w:val="both"/>
        <w:rPr>
          <w:rStyle w:val="Vrazn"/>
          <w:rFonts w:ascii="Calibri" w:hAnsi="Calibri" w:cs="Calibri"/>
          <w:bCs w:val="0"/>
          <w:sz w:val="20"/>
        </w:rPr>
      </w:pPr>
      <w:r w:rsidRPr="005B33B0">
        <w:rPr>
          <w:rStyle w:val="Zvraznenie"/>
          <w:rFonts w:ascii="Calibri" w:hAnsi="Calibri" w:cs="Calibri"/>
          <w:iCs w:val="0"/>
          <w:sz w:val="20"/>
        </w:rPr>
        <w:t xml:space="preserve"> </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Požiadavka        : Uw,n =  </w:t>
      </w:r>
      <w:r w:rsidRPr="005B33B0">
        <w:rPr>
          <w:rFonts w:ascii="Calibri" w:hAnsi="Calibri" w:cs="Calibri"/>
          <w:sz w:val="20"/>
        </w:rPr>
        <w:tab/>
        <w:t>1,00 W/m2K</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sz w:val="20"/>
        </w:rPr>
      </w:pPr>
      <w:r w:rsidRPr="005B33B0">
        <w:rPr>
          <w:rFonts w:ascii="Calibri" w:hAnsi="Calibri" w:cs="Calibri"/>
          <w:sz w:val="20"/>
        </w:rPr>
        <w:tab/>
        <w:t xml:space="preserve"> Vypočítaná hodnota: Uw  =  </w:t>
      </w:r>
      <w:r w:rsidRPr="005B33B0">
        <w:rPr>
          <w:rFonts w:ascii="Calibri" w:hAnsi="Calibri" w:cs="Calibri"/>
          <w:sz w:val="20"/>
        </w:rPr>
        <w:tab/>
        <w:t>0,67 W/m2K</w:t>
      </w:r>
    </w:p>
    <w:p w:rsidR="00ED12C2" w:rsidRPr="005B33B0" w:rsidRDefault="00ED12C2" w:rsidP="00ED12C2">
      <w:pPr>
        <w:tabs>
          <w:tab w:val="left" w:pos="0"/>
          <w:tab w:val="left" w:pos="100"/>
          <w:tab w:val="left" w:pos="3000"/>
        </w:tabs>
        <w:autoSpaceDE w:val="0"/>
        <w:autoSpaceDN w:val="0"/>
        <w:adjustRightInd w:val="0"/>
        <w:jc w:val="both"/>
        <w:rPr>
          <w:rFonts w:ascii="Calibri" w:hAnsi="Calibri" w:cs="Calibri"/>
          <w:b/>
          <w:bCs/>
          <w:sz w:val="20"/>
        </w:rPr>
      </w:pPr>
      <w:r w:rsidRPr="005B33B0">
        <w:rPr>
          <w:rFonts w:ascii="Calibri" w:hAnsi="Calibri" w:cs="Calibri"/>
          <w:b/>
          <w:bCs/>
          <w:sz w:val="20"/>
        </w:rPr>
        <w:tab/>
        <w:t xml:space="preserve"> Uw &lt; Uw,n ... POŽIADAVKA JE SPLNENÁ.</w:t>
      </w:r>
    </w:p>
    <w:p w:rsidR="00ED12C2" w:rsidRPr="005B33B0" w:rsidRDefault="00ED12C2" w:rsidP="00ED12C2">
      <w:pPr>
        <w:jc w:val="both"/>
        <w:rPr>
          <w:rFonts w:ascii="Calibri" w:hAnsi="Calibri" w:cs="Calibri"/>
          <w:sz w:val="20"/>
        </w:rPr>
      </w:pPr>
    </w:p>
    <w:p w:rsidR="003655FC" w:rsidRPr="005B33B0" w:rsidRDefault="003655FC" w:rsidP="003655FC">
      <w:pPr>
        <w:autoSpaceDE w:val="0"/>
        <w:autoSpaceDN w:val="0"/>
        <w:adjustRightInd w:val="0"/>
        <w:rPr>
          <w:rFonts w:ascii="Calibri" w:hAnsi="Calibri" w:cs="Calibri"/>
          <w:b/>
          <w:iCs/>
          <w:sz w:val="24"/>
        </w:rPr>
      </w:pPr>
      <w:r w:rsidRPr="005B33B0">
        <w:rPr>
          <w:rFonts w:ascii="Calibri" w:hAnsi="Calibri" w:cs="Calibri"/>
          <w:b/>
          <w:iCs/>
          <w:sz w:val="24"/>
        </w:rPr>
        <w:t>TEPLOTECHNICKÉ POSÚDENIE ( SO 02 )</w:t>
      </w:r>
    </w:p>
    <w:p w:rsidR="00763F78" w:rsidRPr="005B33B0" w:rsidRDefault="00763F78" w:rsidP="0009245A">
      <w:pPr>
        <w:autoSpaceDE w:val="0"/>
        <w:autoSpaceDN w:val="0"/>
        <w:adjustRightInd w:val="0"/>
        <w:rPr>
          <w:rFonts w:ascii="Calibri" w:hAnsi="Calibri" w:cs="Calibri"/>
          <w:b/>
          <w:iCs/>
          <w:sz w:val="24"/>
        </w:rPr>
      </w:pPr>
    </w:p>
    <w:p w:rsidR="00650445" w:rsidRPr="005B33B0" w:rsidRDefault="00650445" w:rsidP="00165ED7">
      <w:pPr>
        <w:pStyle w:val="Nadpis1"/>
      </w:pPr>
      <w:bookmarkStart w:id="157" w:name="_Toc1897614"/>
      <w:r w:rsidRPr="005B33B0">
        <w:t>2. Základné údaje charakterizujúce stavbu</w:t>
      </w:r>
      <w:bookmarkEnd w:id="157"/>
    </w:p>
    <w:p w:rsidR="00650445" w:rsidRPr="005B33B0" w:rsidRDefault="00650445" w:rsidP="00650445">
      <w:pPr>
        <w:autoSpaceDE w:val="0"/>
        <w:autoSpaceDN w:val="0"/>
        <w:adjustRightInd w:val="0"/>
        <w:ind w:firstLine="720"/>
        <w:jc w:val="both"/>
        <w:rPr>
          <w:rFonts w:ascii="Calibri" w:hAnsi="Calibri" w:cs="Calibri"/>
          <w:sz w:val="20"/>
        </w:rPr>
      </w:pPr>
      <w:r w:rsidRPr="005B33B0">
        <w:rPr>
          <w:rFonts w:ascii="Calibri" w:hAnsi="Calibri" w:cs="Calibri"/>
          <w:sz w:val="20"/>
        </w:rPr>
        <w:t>Jedná sa o výrobný a skladovací objekt vinárskej výroby,  stavebný objekt SO 02. Objekt vinárstva sa nachádza v katastrálnom území Strekov. Vinárstvo je zastrešené sedlovou strechou. Vstup do objektu je situovaný z juhozápadnej strany z príjazdovej komunikácie. Objekt je jednopodlažný so sedlovou strechou, je pôdorysu v tvare mnohouholníku s max. rozmermi  domu  17,50 x 25,10 m. Vinárstvo je navrhnuté na rovinatom teréne.</w:t>
      </w:r>
    </w:p>
    <w:p w:rsidR="00650445" w:rsidRPr="005B33B0" w:rsidRDefault="00650445" w:rsidP="00650445">
      <w:pPr>
        <w:autoSpaceDE w:val="0"/>
        <w:autoSpaceDN w:val="0"/>
        <w:adjustRightInd w:val="0"/>
        <w:jc w:val="both"/>
        <w:rPr>
          <w:rFonts w:ascii="Calibri" w:hAnsi="Calibri" w:cs="Calibri"/>
          <w:sz w:val="20"/>
        </w:rPr>
      </w:pPr>
      <w:r w:rsidRPr="005B33B0">
        <w:rPr>
          <w:rFonts w:ascii="Calibri" w:hAnsi="Calibri" w:cs="Calibri"/>
          <w:sz w:val="20"/>
        </w:rPr>
        <w:t>Objekt je riešený ako samostatne stojaci a bude slúžiť na vinársku výrobu a skladovanie.</w:t>
      </w:r>
    </w:p>
    <w:p w:rsidR="00650445" w:rsidRPr="005B33B0" w:rsidRDefault="00650445" w:rsidP="00650445">
      <w:pPr>
        <w:autoSpaceDE w:val="0"/>
        <w:autoSpaceDN w:val="0"/>
        <w:adjustRightInd w:val="0"/>
        <w:jc w:val="both"/>
        <w:rPr>
          <w:rFonts w:ascii="Calibri" w:hAnsi="Calibri" w:cs="Calibri"/>
          <w:sz w:val="20"/>
        </w:rPr>
      </w:pPr>
      <w:r w:rsidRPr="005B33B0">
        <w:rPr>
          <w:rFonts w:ascii="Calibri" w:hAnsi="Calibri" w:cs="Calibri"/>
          <w:sz w:val="20"/>
        </w:rPr>
        <w:t>Hlavný vstup na pozemok je orientovaný na juhozápadnú stranu. Stavba bude napojená na navrhované  prípojky.</w:t>
      </w:r>
    </w:p>
    <w:p w:rsidR="00650445" w:rsidRPr="005B33B0" w:rsidRDefault="00650445" w:rsidP="00650445">
      <w:pPr>
        <w:autoSpaceDE w:val="0"/>
        <w:autoSpaceDN w:val="0"/>
        <w:adjustRightInd w:val="0"/>
        <w:jc w:val="both"/>
        <w:rPr>
          <w:rFonts w:ascii="Calibri" w:hAnsi="Calibri" w:cs="Calibri"/>
          <w:sz w:val="20"/>
        </w:rPr>
      </w:pPr>
    </w:p>
    <w:p w:rsidR="00650445" w:rsidRPr="005B33B0" w:rsidRDefault="00650445" w:rsidP="00650445">
      <w:pPr>
        <w:autoSpaceDE w:val="0"/>
        <w:autoSpaceDN w:val="0"/>
        <w:adjustRightInd w:val="0"/>
        <w:jc w:val="both"/>
        <w:rPr>
          <w:rFonts w:ascii="Calibri" w:hAnsi="Calibri" w:cs="Calibri"/>
          <w:b/>
          <w:sz w:val="20"/>
        </w:rPr>
      </w:pPr>
      <w:r w:rsidRPr="005B33B0">
        <w:rPr>
          <w:rFonts w:ascii="Calibri" w:hAnsi="Calibri" w:cs="Calibri"/>
          <w:b/>
          <w:sz w:val="20"/>
        </w:rPr>
        <w:t>Návrhové hodnoty parametrov:</w:t>
      </w:r>
    </w:p>
    <w:p w:rsidR="00650445" w:rsidRPr="005B33B0" w:rsidRDefault="00650445" w:rsidP="00650445">
      <w:pPr>
        <w:autoSpaceDE w:val="0"/>
        <w:autoSpaceDN w:val="0"/>
        <w:adjustRightInd w:val="0"/>
        <w:jc w:val="both"/>
        <w:rPr>
          <w:rFonts w:ascii="Calibri" w:hAnsi="Calibri" w:cs="Calibri"/>
          <w:sz w:val="20"/>
        </w:rPr>
      </w:pPr>
      <w:r w:rsidRPr="005B33B0">
        <w:rPr>
          <w:rFonts w:ascii="Calibri" w:hAnsi="Calibri" w:cs="Calibri"/>
          <w:sz w:val="20"/>
        </w:rPr>
        <w:t>Teplota vnútorného vzduchu:</w:t>
      </w:r>
      <w:r w:rsidRPr="005B33B0">
        <w:rPr>
          <w:rFonts w:ascii="Calibri" w:hAnsi="Calibri" w:cs="Calibri"/>
          <w:sz w:val="20"/>
        </w:rPr>
        <w:tab/>
      </w:r>
      <w:r w:rsidRPr="005B33B0">
        <w:rPr>
          <w:rFonts w:ascii="Calibri" w:hAnsi="Calibri" w:cs="Calibri"/>
          <w:sz w:val="20"/>
        </w:rPr>
        <w:tab/>
      </w:r>
      <w:r w:rsidRPr="005B33B0">
        <w:rPr>
          <w:rFonts w:ascii="Calibri" w:hAnsi="Calibri" w:cs="Calibri"/>
          <w:sz w:val="20"/>
        </w:rPr>
        <w:tab/>
        <w:t xml:space="preserve"> 20,0°C</w:t>
      </w:r>
    </w:p>
    <w:p w:rsidR="00650445" w:rsidRPr="005B33B0" w:rsidRDefault="00650445" w:rsidP="00650445">
      <w:pPr>
        <w:autoSpaceDE w:val="0"/>
        <w:autoSpaceDN w:val="0"/>
        <w:adjustRightInd w:val="0"/>
        <w:jc w:val="both"/>
        <w:rPr>
          <w:rFonts w:ascii="Calibri" w:hAnsi="Calibri" w:cs="Calibri"/>
          <w:sz w:val="20"/>
        </w:rPr>
      </w:pPr>
      <w:r w:rsidRPr="005B33B0">
        <w:rPr>
          <w:rFonts w:ascii="Calibri" w:hAnsi="Calibri" w:cs="Calibri"/>
          <w:sz w:val="20"/>
        </w:rPr>
        <w:t xml:space="preserve">Vnútorná výpočtová teplota pre vykurovanie: </w:t>
      </w:r>
      <w:r w:rsidRPr="005B33B0">
        <w:rPr>
          <w:rFonts w:ascii="Calibri" w:hAnsi="Calibri" w:cs="Calibri"/>
          <w:sz w:val="20"/>
        </w:rPr>
        <w:tab/>
        <w:t xml:space="preserve"> 18,0°C</w:t>
      </w:r>
    </w:p>
    <w:p w:rsidR="00650445" w:rsidRPr="005B33B0" w:rsidRDefault="00650445" w:rsidP="00650445">
      <w:pPr>
        <w:autoSpaceDE w:val="0"/>
        <w:autoSpaceDN w:val="0"/>
        <w:adjustRightInd w:val="0"/>
        <w:jc w:val="both"/>
        <w:rPr>
          <w:rFonts w:ascii="Calibri" w:hAnsi="Calibri" w:cs="Calibri"/>
          <w:sz w:val="20"/>
        </w:rPr>
      </w:pPr>
      <w:r w:rsidRPr="005B33B0">
        <w:rPr>
          <w:rFonts w:ascii="Calibri" w:hAnsi="Calibri" w:cs="Calibri"/>
          <w:sz w:val="20"/>
        </w:rPr>
        <w:t>Vonkajšia výpočtová teplota oblasti:</w:t>
      </w:r>
      <w:r w:rsidRPr="005B33B0">
        <w:rPr>
          <w:rFonts w:ascii="Calibri" w:hAnsi="Calibri" w:cs="Calibri"/>
          <w:sz w:val="20"/>
        </w:rPr>
        <w:tab/>
        <w:t xml:space="preserve"> </w:t>
      </w:r>
      <w:r w:rsidRPr="005B33B0">
        <w:rPr>
          <w:rFonts w:ascii="Calibri" w:hAnsi="Calibri" w:cs="Calibri"/>
          <w:sz w:val="20"/>
        </w:rPr>
        <w:tab/>
        <w:t>-11,0°C</w:t>
      </w:r>
    </w:p>
    <w:p w:rsidR="00650445" w:rsidRPr="005B33B0" w:rsidRDefault="00650445" w:rsidP="00650445">
      <w:pPr>
        <w:jc w:val="both"/>
        <w:rPr>
          <w:rFonts w:ascii="Calibri" w:hAnsi="Calibri" w:cs="Calibri"/>
          <w:color w:val="FF0000"/>
          <w:sz w:val="20"/>
        </w:rPr>
      </w:pPr>
    </w:p>
    <w:p w:rsidR="00650445" w:rsidRPr="005B33B0" w:rsidRDefault="00650445" w:rsidP="00165ED7">
      <w:pPr>
        <w:pStyle w:val="Nadpis1"/>
      </w:pPr>
      <w:bookmarkStart w:id="158" w:name="_Toc1897615"/>
      <w:r w:rsidRPr="005B33B0">
        <w:t>3. Všeobecné požiadavky na konštrukcie z hľadiska stavebnej tepelnej techniky a platných STN</w:t>
      </w:r>
      <w:bookmarkEnd w:id="158"/>
    </w:p>
    <w:p w:rsidR="00650445" w:rsidRPr="005B33B0" w:rsidRDefault="00650445" w:rsidP="00650445">
      <w:pPr>
        <w:pStyle w:val="Nadpis2"/>
        <w:numPr>
          <w:ilvl w:val="0"/>
          <w:numId w:val="0"/>
        </w:numPr>
        <w:jc w:val="both"/>
        <w:rPr>
          <w:rFonts w:ascii="Calibri" w:hAnsi="Calibri" w:cs="Calibri"/>
          <w:szCs w:val="20"/>
        </w:rPr>
      </w:pPr>
      <w:bookmarkStart w:id="159" w:name="_Toc1897616"/>
      <w:r w:rsidRPr="005B33B0">
        <w:rPr>
          <w:rFonts w:ascii="Calibri" w:hAnsi="Calibri" w:cs="Calibri"/>
          <w:szCs w:val="20"/>
        </w:rPr>
        <w:t>3.1 Tepelnoizolačné kritérium</w:t>
      </w:r>
      <w:bookmarkEnd w:id="159"/>
    </w:p>
    <w:p w:rsidR="00650445" w:rsidRPr="005B33B0" w:rsidRDefault="00650445" w:rsidP="00650445">
      <w:pPr>
        <w:jc w:val="both"/>
        <w:rPr>
          <w:rFonts w:ascii="Calibri" w:hAnsi="Calibri" w:cs="Calibri"/>
          <w:sz w:val="20"/>
          <w:u w:val="single"/>
        </w:rPr>
      </w:pPr>
      <w:r w:rsidRPr="005B33B0">
        <w:rPr>
          <w:rFonts w:ascii="Calibri" w:hAnsi="Calibri" w:cs="Calibri"/>
          <w:sz w:val="20"/>
          <w:u w:val="single"/>
        </w:rPr>
        <w:t>Súčiniteľ prechodu tepla a tepelný odpor konštrukcie</w:t>
      </w:r>
    </w:p>
    <w:p w:rsidR="00650445" w:rsidRPr="005B33B0" w:rsidRDefault="00650445" w:rsidP="00650445">
      <w:pPr>
        <w:jc w:val="both"/>
        <w:rPr>
          <w:rFonts w:ascii="Calibri" w:hAnsi="Calibri" w:cs="Calibri"/>
          <w:sz w:val="20"/>
        </w:rPr>
      </w:pPr>
      <w:r w:rsidRPr="005B33B0">
        <w:rPr>
          <w:rFonts w:ascii="Calibri" w:hAnsi="Calibri" w:cs="Calibri"/>
          <w:sz w:val="20"/>
        </w:rPr>
        <w:t>S ohľadom na splnenie podmienok tepelnej pohody v miestnosti v zimnom období a splnenie energetických požiadaviek musia mať steny, strechy, stopy a podlahy vykurovaných alebo klimatizovaných bytových a nebytových budov v priestoroch s relatívnou vlhkosťou ϕ</w:t>
      </w:r>
      <w:r w:rsidRPr="005B33B0">
        <w:rPr>
          <w:rFonts w:ascii="Calibri" w:hAnsi="Calibri" w:cs="Calibri"/>
          <w:sz w:val="20"/>
          <w:vertAlign w:val="subscript"/>
        </w:rPr>
        <w:t>i</w:t>
      </w:r>
      <w:r w:rsidRPr="005B33B0">
        <w:rPr>
          <w:rFonts w:ascii="Calibri" w:hAnsi="Calibri" w:cs="Calibri"/>
          <w:sz w:val="20"/>
        </w:rPr>
        <w:t>≤80% taký súčiniteľ prechodu tepla konštrukcie U a taký tepelný odpor stavebnej konštrukcie R, aby sa splnili podmienky:</w:t>
      </w:r>
    </w:p>
    <w:p w:rsidR="005B33B0" w:rsidRDefault="005B33B0" w:rsidP="00650445">
      <w:pPr>
        <w:jc w:val="both"/>
        <w:rPr>
          <w:rFonts w:ascii="Calibri" w:hAnsi="Calibri" w:cs="Calibri"/>
          <w:sz w:val="20"/>
        </w:rPr>
      </w:pPr>
    </w:p>
    <w:p w:rsidR="00650445" w:rsidRPr="005B33B0" w:rsidRDefault="00650445" w:rsidP="00650445">
      <w:pPr>
        <w:jc w:val="both"/>
        <w:rPr>
          <w:rFonts w:ascii="Calibri" w:hAnsi="Calibri" w:cs="Calibri"/>
          <w:sz w:val="20"/>
        </w:rPr>
      </w:pPr>
      <w:r w:rsidRPr="005B33B0">
        <w:rPr>
          <w:rFonts w:ascii="Calibri" w:hAnsi="Calibri" w:cs="Calibri"/>
          <w:sz w:val="20"/>
        </w:rPr>
        <w:t>U≤U</w:t>
      </w:r>
      <w:r w:rsidRPr="005B33B0">
        <w:rPr>
          <w:rFonts w:ascii="Calibri" w:hAnsi="Calibri" w:cs="Calibri"/>
          <w:sz w:val="20"/>
          <w:vertAlign w:val="subscript"/>
        </w:rPr>
        <w:t>N</w:t>
      </w:r>
    </w:p>
    <w:p w:rsidR="00650445" w:rsidRPr="005B33B0" w:rsidRDefault="00650445" w:rsidP="00650445">
      <w:pPr>
        <w:ind w:left="708" w:hanging="705"/>
        <w:jc w:val="both"/>
        <w:rPr>
          <w:rFonts w:ascii="Calibri" w:hAnsi="Calibri" w:cs="Calibri"/>
          <w:sz w:val="20"/>
        </w:rPr>
      </w:pPr>
      <w:r w:rsidRPr="005B33B0">
        <w:rPr>
          <w:rFonts w:ascii="Calibri" w:hAnsi="Calibri" w:cs="Calibri"/>
          <w:sz w:val="20"/>
        </w:rPr>
        <w:lastRenderedPageBreak/>
        <w:t xml:space="preserve">kde </w:t>
      </w:r>
      <w:r w:rsidRPr="005B33B0">
        <w:rPr>
          <w:rFonts w:ascii="Calibri" w:hAnsi="Calibri" w:cs="Calibri"/>
          <w:sz w:val="20"/>
        </w:rPr>
        <w:tab/>
        <w:t>U</w:t>
      </w:r>
      <w:r w:rsidRPr="005B33B0">
        <w:rPr>
          <w:rFonts w:ascii="Calibri" w:hAnsi="Calibri" w:cs="Calibri"/>
          <w:sz w:val="20"/>
          <w:vertAlign w:val="subscript"/>
        </w:rPr>
        <w:t>N</w:t>
      </w:r>
      <w:r w:rsidRPr="005B33B0">
        <w:rPr>
          <w:rFonts w:ascii="Calibri" w:hAnsi="Calibri" w:cs="Calibri"/>
          <w:sz w:val="20"/>
        </w:rPr>
        <w:t xml:space="preserve"> je normalizovaná hodnota súčiniteľa prechodu tepla konštrukciou  </w:t>
      </w:r>
    </w:p>
    <w:p w:rsidR="005B33B0" w:rsidRDefault="005B33B0" w:rsidP="00650445">
      <w:pPr>
        <w:ind w:left="708" w:hanging="705"/>
        <w:jc w:val="both"/>
        <w:rPr>
          <w:rFonts w:ascii="Calibri" w:hAnsi="Calibri" w:cs="Calibri"/>
          <w:sz w:val="20"/>
        </w:rPr>
      </w:pPr>
    </w:p>
    <w:p w:rsidR="00650445" w:rsidRPr="005B33B0" w:rsidRDefault="00650445" w:rsidP="00650445">
      <w:pPr>
        <w:ind w:left="708" w:hanging="705"/>
        <w:jc w:val="both"/>
        <w:rPr>
          <w:rFonts w:ascii="Calibri" w:hAnsi="Calibri" w:cs="Calibri"/>
          <w:sz w:val="20"/>
        </w:rPr>
      </w:pPr>
      <w:r w:rsidRPr="005B33B0">
        <w:rPr>
          <w:rFonts w:ascii="Calibri" w:hAnsi="Calibri" w:cs="Calibri"/>
          <w:sz w:val="20"/>
        </w:rPr>
        <w:t>R≥R</w:t>
      </w:r>
      <w:r w:rsidRPr="005B33B0">
        <w:rPr>
          <w:rFonts w:ascii="Calibri" w:hAnsi="Calibri" w:cs="Calibri"/>
          <w:sz w:val="20"/>
          <w:vertAlign w:val="subscript"/>
        </w:rPr>
        <w:t>N</w:t>
      </w:r>
    </w:p>
    <w:p w:rsidR="00650445" w:rsidRPr="005B33B0" w:rsidRDefault="00650445" w:rsidP="00650445">
      <w:pPr>
        <w:ind w:left="708" w:hanging="705"/>
        <w:jc w:val="both"/>
        <w:rPr>
          <w:rFonts w:ascii="Calibri" w:hAnsi="Calibri" w:cs="Calibri"/>
          <w:sz w:val="20"/>
        </w:rPr>
      </w:pPr>
      <w:r w:rsidRPr="005B33B0">
        <w:rPr>
          <w:rFonts w:ascii="Calibri" w:hAnsi="Calibri" w:cs="Calibri"/>
          <w:sz w:val="20"/>
        </w:rPr>
        <w:t xml:space="preserve">kde </w:t>
      </w:r>
      <w:r w:rsidRPr="005B33B0">
        <w:rPr>
          <w:rFonts w:ascii="Calibri" w:hAnsi="Calibri" w:cs="Calibri"/>
          <w:sz w:val="20"/>
        </w:rPr>
        <w:tab/>
        <w:t>R</w:t>
      </w:r>
      <w:r w:rsidRPr="005B33B0">
        <w:rPr>
          <w:rFonts w:ascii="Calibri" w:hAnsi="Calibri" w:cs="Calibri"/>
          <w:sz w:val="20"/>
          <w:vertAlign w:val="subscript"/>
        </w:rPr>
        <w:t>N</w:t>
      </w:r>
      <w:r w:rsidRPr="005B33B0">
        <w:rPr>
          <w:rFonts w:ascii="Calibri" w:hAnsi="Calibri" w:cs="Calibri"/>
          <w:sz w:val="20"/>
        </w:rPr>
        <w:t xml:space="preserve"> je normalizovaná hodnota tepelného odporu</w:t>
      </w:r>
    </w:p>
    <w:p w:rsidR="005B33B0" w:rsidRDefault="005B33B0" w:rsidP="00650445">
      <w:pPr>
        <w:ind w:firstLine="3"/>
        <w:jc w:val="both"/>
        <w:rPr>
          <w:rFonts w:ascii="Calibri" w:hAnsi="Calibri" w:cs="Calibri"/>
          <w:sz w:val="20"/>
          <w:highlight w:val="lightGray"/>
        </w:rPr>
      </w:pPr>
    </w:p>
    <w:p w:rsidR="00650445" w:rsidRPr="005B33B0" w:rsidRDefault="00650445" w:rsidP="00650445">
      <w:pPr>
        <w:ind w:firstLine="3"/>
        <w:jc w:val="both"/>
        <w:rPr>
          <w:rFonts w:ascii="Calibri" w:hAnsi="Calibri" w:cs="Calibri"/>
          <w:sz w:val="20"/>
        </w:rPr>
      </w:pPr>
      <w:r w:rsidRPr="005B33B0">
        <w:rPr>
          <w:rFonts w:ascii="Calibri" w:hAnsi="Calibri" w:cs="Calibri"/>
          <w:sz w:val="20"/>
        </w:rPr>
        <w:t>Vonkajšie okná a dvere bytových a nebytových budov musia mať súčiniteľ prechodu tepla konštrukcie U</w:t>
      </w:r>
      <w:r w:rsidRPr="005B33B0">
        <w:rPr>
          <w:rFonts w:ascii="Calibri" w:hAnsi="Calibri" w:cs="Calibri"/>
          <w:sz w:val="20"/>
          <w:vertAlign w:val="subscript"/>
        </w:rPr>
        <w:t>W</w:t>
      </w:r>
      <w:r w:rsidRPr="005B33B0">
        <w:rPr>
          <w:rFonts w:ascii="Calibri" w:hAnsi="Calibri" w:cs="Calibri"/>
          <w:sz w:val="20"/>
        </w:rPr>
        <w:t xml:space="preserve"> aby splnil podmienku:</w:t>
      </w:r>
    </w:p>
    <w:p w:rsidR="005B33B0" w:rsidRPr="005B33B0" w:rsidRDefault="005B33B0" w:rsidP="00650445">
      <w:pPr>
        <w:ind w:firstLine="3"/>
        <w:jc w:val="both"/>
        <w:rPr>
          <w:rFonts w:ascii="Calibri" w:hAnsi="Calibri" w:cs="Calibri"/>
          <w:sz w:val="20"/>
        </w:rPr>
      </w:pPr>
    </w:p>
    <w:p w:rsidR="00650445" w:rsidRPr="005B33B0" w:rsidRDefault="00650445" w:rsidP="00650445">
      <w:pPr>
        <w:ind w:firstLine="3"/>
        <w:jc w:val="both"/>
        <w:rPr>
          <w:rFonts w:ascii="Calibri" w:hAnsi="Calibri" w:cs="Calibri"/>
          <w:sz w:val="20"/>
        </w:rPr>
      </w:pPr>
      <w:r w:rsidRPr="005B33B0">
        <w:rPr>
          <w:rFonts w:ascii="Calibri" w:hAnsi="Calibri" w:cs="Calibri"/>
          <w:sz w:val="20"/>
        </w:rPr>
        <w:t>U</w:t>
      </w:r>
      <w:r w:rsidRPr="005B33B0">
        <w:rPr>
          <w:rFonts w:ascii="Calibri" w:hAnsi="Calibri" w:cs="Calibri"/>
          <w:sz w:val="20"/>
          <w:vertAlign w:val="subscript"/>
        </w:rPr>
        <w:t>W</w:t>
      </w:r>
      <w:r w:rsidRPr="005B33B0">
        <w:rPr>
          <w:rFonts w:ascii="Calibri" w:hAnsi="Calibri" w:cs="Calibri"/>
          <w:sz w:val="20"/>
        </w:rPr>
        <w:t>≤U</w:t>
      </w:r>
      <w:r w:rsidRPr="005B33B0">
        <w:rPr>
          <w:rFonts w:ascii="Calibri" w:hAnsi="Calibri" w:cs="Calibri"/>
          <w:sz w:val="20"/>
          <w:vertAlign w:val="subscript"/>
        </w:rPr>
        <w:t>W,N</w:t>
      </w:r>
    </w:p>
    <w:p w:rsidR="00650445" w:rsidRPr="005B33B0" w:rsidRDefault="00650445" w:rsidP="00650445">
      <w:pPr>
        <w:ind w:left="708" w:hanging="705"/>
        <w:jc w:val="both"/>
        <w:rPr>
          <w:rFonts w:ascii="Calibri" w:hAnsi="Calibri" w:cs="Calibri"/>
          <w:sz w:val="20"/>
        </w:rPr>
      </w:pPr>
      <w:r w:rsidRPr="005B33B0">
        <w:rPr>
          <w:rFonts w:ascii="Calibri" w:hAnsi="Calibri" w:cs="Calibri"/>
          <w:sz w:val="20"/>
        </w:rPr>
        <w:t xml:space="preserve">kde </w:t>
      </w:r>
      <w:r w:rsidRPr="005B33B0">
        <w:rPr>
          <w:rFonts w:ascii="Calibri" w:hAnsi="Calibri" w:cs="Calibri"/>
          <w:sz w:val="20"/>
        </w:rPr>
        <w:tab/>
        <w:t>U</w:t>
      </w:r>
      <w:r w:rsidRPr="005B33B0">
        <w:rPr>
          <w:rFonts w:ascii="Calibri" w:hAnsi="Calibri" w:cs="Calibri"/>
          <w:sz w:val="20"/>
          <w:vertAlign w:val="subscript"/>
        </w:rPr>
        <w:t>W,N</w:t>
      </w:r>
      <w:r w:rsidRPr="005B33B0">
        <w:rPr>
          <w:rFonts w:ascii="Calibri" w:hAnsi="Calibri" w:cs="Calibri"/>
          <w:sz w:val="20"/>
        </w:rPr>
        <w:t xml:space="preserve"> je normalizovaná hodnota súčiniteľa prechodu tepla vonkajších otvorových konštrukcií </w:t>
      </w:r>
    </w:p>
    <w:p w:rsidR="005B33B0" w:rsidRPr="005B33B0" w:rsidRDefault="005B33B0" w:rsidP="005B33B0">
      <w:pPr>
        <w:jc w:val="both"/>
        <w:rPr>
          <w:rFonts w:ascii="Calibri" w:hAnsi="Calibri" w:cs="Calibri"/>
          <w:sz w:val="20"/>
          <w:u w:val="single"/>
        </w:rPr>
      </w:pPr>
    </w:p>
    <w:p w:rsidR="00650445" w:rsidRPr="005B33B0" w:rsidRDefault="00650445" w:rsidP="005B33B0">
      <w:pPr>
        <w:jc w:val="both"/>
        <w:rPr>
          <w:rFonts w:ascii="Calibri" w:hAnsi="Calibri" w:cs="Calibri"/>
          <w:sz w:val="20"/>
          <w:u w:val="single"/>
        </w:rPr>
      </w:pPr>
      <w:r w:rsidRPr="005B33B0">
        <w:rPr>
          <w:rFonts w:ascii="Calibri" w:hAnsi="Calibri" w:cs="Calibri"/>
          <w:sz w:val="20"/>
          <w:u w:val="single"/>
        </w:rPr>
        <w:t>Najnižšia povrchová teplota konštrukcie</w:t>
      </w:r>
    </w:p>
    <w:p w:rsidR="00650445" w:rsidRPr="005B33B0" w:rsidRDefault="00650445" w:rsidP="00650445">
      <w:pPr>
        <w:ind w:firstLine="708"/>
        <w:jc w:val="both"/>
        <w:rPr>
          <w:rFonts w:ascii="Calibri" w:hAnsi="Calibri" w:cs="Calibri"/>
          <w:sz w:val="20"/>
        </w:rPr>
      </w:pPr>
      <w:r w:rsidRPr="005B33B0">
        <w:rPr>
          <w:rFonts w:ascii="Calibri" w:hAnsi="Calibri" w:cs="Calibri"/>
          <w:sz w:val="20"/>
        </w:rPr>
        <w:t>Steny, stropy a podlahy v priestoroch s relatívnou vlhkosťou vzduchu ϕ</w:t>
      </w:r>
      <w:r w:rsidRPr="005B33B0">
        <w:rPr>
          <w:rFonts w:ascii="Calibri" w:hAnsi="Calibri" w:cs="Calibri"/>
          <w:sz w:val="20"/>
          <w:vertAlign w:val="subscript"/>
        </w:rPr>
        <w:t>i</w:t>
      </w:r>
      <w:r w:rsidRPr="005B33B0">
        <w:rPr>
          <w:rFonts w:ascii="Calibri" w:hAnsi="Calibri" w:cs="Calibri"/>
          <w:sz w:val="20"/>
        </w:rPr>
        <w:t>≤80% musia mať na každom mieste vnútorného povrchu teplotu θ</w:t>
      </w:r>
      <w:r w:rsidRPr="005B33B0">
        <w:rPr>
          <w:rFonts w:ascii="Calibri" w:hAnsi="Calibri" w:cs="Calibri"/>
          <w:sz w:val="20"/>
          <w:vertAlign w:val="subscript"/>
        </w:rPr>
        <w:t>si</w:t>
      </w:r>
      <w:r w:rsidRPr="005B33B0">
        <w:rPr>
          <w:rFonts w:ascii="Calibri" w:hAnsi="Calibri" w:cs="Calibri"/>
          <w:sz w:val="20"/>
        </w:rPr>
        <w:t>, vyjadrenú v °C, ktorá je bezpečne nad teplotou rosného bodu a vylučuje riziko vzniku plesní</w:t>
      </w:r>
    </w:p>
    <w:p w:rsidR="005B33B0" w:rsidRPr="005B33B0" w:rsidRDefault="005B33B0" w:rsidP="00650445">
      <w:pPr>
        <w:ind w:firstLine="3"/>
        <w:jc w:val="both"/>
        <w:rPr>
          <w:rFonts w:ascii="Calibri" w:hAnsi="Calibri" w:cs="Calibri"/>
          <w:sz w:val="20"/>
        </w:rPr>
      </w:pPr>
    </w:p>
    <w:p w:rsidR="00650445" w:rsidRPr="005B33B0" w:rsidRDefault="00650445" w:rsidP="00650445">
      <w:pPr>
        <w:ind w:firstLine="3"/>
        <w:jc w:val="both"/>
        <w:rPr>
          <w:rFonts w:ascii="Calibri" w:hAnsi="Calibri" w:cs="Calibri"/>
          <w:sz w:val="20"/>
        </w:rPr>
      </w:pPr>
      <w:r w:rsidRPr="005B33B0">
        <w:rPr>
          <w:rFonts w:ascii="Calibri" w:hAnsi="Calibri" w:cs="Calibri"/>
          <w:sz w:val="20"/>
        </w:rPr>
        <w:t>θ</w:t>
      </w:r>
      <w:r w:rsidRPr="005B33B0">
        <w:rPr>
          <w:rFonts w:ascii="Calibri" w:hAnsi="Calibri" w:cs="Calibri"/>
          <w:sz w:val="20"/>
          <w:vertAlign w:val="subscript"/>
        </w:rPr>
        <w:t>si</w:t>
      </w:r>
      <w:r w:rsidRPr="005B33B0">
        <w:rPr>
          <w:rFonts w:ascii="Calibri" w:hAnsi="Calibri" w:cs="Calibri"/>
          <w:sz w:val="20"/>
        </w:rPr>
        <w:t>≥θ</w:t>
      </w:r>
      <w:r w:rsidRPr="005B33B0">
        <w:rPr>
          <w:rFonts w:ascii="Calibri" w:hAnsi="Calibri" w:cs="Calibri"/>
          <w:sz w:val="20"/>
          <w:vertAlign w:val="subscript"/>
        </w:rPr>
        <w:t>si,N</w:t>
      </w:r>
      <w:r w:rsidRPr="005B33B0">
        <w:rPr>
          <w:rFonts w:ascii="Calibri" w:hAnsi="Calibri" w:cs="Calibri"/>
          <w:sz w:val="20"/>
        </w:rPr>
        <w:t>=θ</w:t>
      </w:r>
      <w:r w:rsidRPr="005B33B0">
        <w:rPr>
          <w:rFonts w:ascii="Calibri" w:hAnsi="Calibri" w:cs="Calibri"/>
          <w:sz w:val="20"/>
          <w:vertAlign w:val="subscript"/>
        </w:rPr>
        <w:t>si,80</w:t>
      </w:r>
      <w:r w:rsidRPr="005B33B0">
        <w:rPr>
          <w:rFonts w:ascii="Calibri" w:hAnsi="Calibri" w:cs="Calibri"/>
          <w:sz w:val="20"/>
        </w:rPr>
        <w:t>+Δθ</w:t>
      </w:r>
      <w:r w:rsidRPr="005B33B0">
        <w:rPr>
          <w:rFonts w:ascii="Calibri" w:hAnsi="Calibri" w:cs="Calibri"/>
          <w:sz w:val="20"/>
          <w:vertAlign w:val="subscript"/>
        </w:rPr>
        <w:t>si</w:t>
      </w:r>
    </w:p>
    <w:p w:rsidR="00650445" w:rsidRPr="005B33B0" w:rsidRDefault="00650445" w:rsidP="00650445">
      <w:pPr>
        <w:ind w:left="708" w:hanging="705"/>
        <w:jc w:val="both"/>
        <w:rPr>
          <w:rFonts w:ascii="Calibri" w:hAnsi="Calibri" w:cs="Calibri"/>
          <w:sz w:val="20"/>
        </w:rPr>
      </w:pPr>
      <w:r w:rsidRPr="005B33B0">
        <w:rPr>
          <w:rFonts w:ascii="Calibri" w:hAnsi="Calibri" w:cs="Calibri"/>
          <w:sz w:val="20"/>
        </w:rPr>
        <w:t>kde</w:t>
      </w:r>
      <w:r w:rsidRPr="005B33B0">
        <w:rPr>
          <w:rFonts w:ascii="Calibri" w:hAnsi="Calibri" w:cs="Calibri"/>
          <w:sz w:val="20"/>
        </w:rPr>
        <w:tab/>
        <w:t>θ</w:t>
      </w:r>
      <w:r w:rsidRPr="005B33B0">
        <w:rPr>
          <w:rFonts w:ascii="Calibri" w:hAnsi="Calibri" w:cs="Calibri"/>
          <w:sz w:val="20"/>
          <w:vertAlign w:val="subscript"/>
        </w:rPr>
        <w:t xml:space="preserve">si,N </w:t>
      </w:r>
      <w:r w:rsidRPr="005B33B0">
        <w:rPr>
          <w:rFonts w:ascii="Calibri" w:hAnsi="Calibri" w:cs="Calibri"/>
          <w:sz w:val="20"/>
        </w:rPr>
        <w:t>je najnižšia vnútorná teplota, ktorá sa určí pre najmenej priaznivé miesto stavebnej konštrukcie</w:t>
      </w:r>
    </w:p>
    <w:p w:rsidR="00650445" w:rsidRPr="005B33B0" w:rsidRDefault="00650445" w:rsidP="00650445">
      <w:pPr>
        <w:ind w:left="708" w:hanging="705"/>
        <w:jc w:val="both"/>
        <w:rPr>
          <w:rFonts w:ascii="Calibri" w:hAnsi="Calibri" w:cs="Calibri"/>
          <w:sz w:val="20"/>
        </w:rPr>
      </w:pPr>
      <w:r w:rsidRPr="005B33B0">
        <w:rPr>
          <w:rFonts w:ascii="Calibri" w:hAnsi="Calibri" w:cs="Calibri"/>
          <w:sz w:val="20"/>
        </w:rPr>
        <w:tab/>
        <w:t>θ</w:t>
      </w:r>
      <w:r w:rsidRPr="005B33B0">
        <w:rPr>
          <w:rFonts w:ascii="Calibri" w:hAnsi="Calibri" w:cs="Calibri"/>
          <w:sz w:val="20"/>
          <w:vertAlign w:val="subscript"/>
        </w:rPr>
        <w:t xml:space="preserve">si,80 </w:t>
      </w:r>
      <w:r w:rsidRPr="005B33B0">
        <w:rPr>
          <w:rFonts w:ascii="Calibri" w:hAnsi="Calibri" w:cs="Calibri"/>
          <w:sz w:val="20"/>
        </w:rPr>
        <w:t>je kritická povrchová teplota na vznik plesní</w:t>
      </w:r>
    </w:p>
    <w:p w:rsidR="00650445" w:rsidRPr="005B33B0" w:rsidRDefault="00650445" w:rsidP="00650445">
      <w:pPr>
        <w:ind w:left="708" w:hanging="705"/>
        <w:jc w:val="both"/>
        <w:rPr>
          <w:rFonts w:ascii="Calibri" w:hAnsi="Calibri" w:cs="Calibri"/>
          <w:sz w:val="20"/>
        </w:rPr>
      </w:pPr>
      <w:r w:rsidRPr="005B33B0">
        <w:rPr>
          <w:rFonts w:ascii="Calibri" w:hAnsi="Calibri" w:cs="Calibri"/>
          <w:sz w:val="20"/>
        </w:rPr>
        <w:tab/>
        <w:t>Δθ</w:t>
      </w:r>
      <w:r w:rsidRPr="005B33B0">
        <w:rPr>
          <w:rFonts w:ascii="Calibri" w:hAnsi="Calibri" w:cs="Calibri"/>
          <w:sz w:val="20"/>
          <w:vertAlign w:val="subscript"/>
        </w:rPr>
        <w:t>si</w:t>
      </w:r>
      <w:r w:rsidRPr="005B33B0">
        <w:rPr>
          <w:rFonts w:ascii="Calibri" w:hAnsi="Calibri" w:cs="Calibri"/>
          <w:sz w:val="20"/>
        </w:rPr>
        <w:t xml:space="preserve"> je bezpečnostná prirážka zohľadňujúca spôsob vykurovania miestností </w:t>
      </w:r>
    </w:p>
    <w:p w:rsidR="005B33B0" w:rsidRPr="005B33B0" w:rsidRDefault="005B33B0" w:rsidP="00650445">
      <w:pPr>
        <w:ind w:firstLine="4"/>
        <w:jc w:val="both"/>
        <w:rPr>
          <w:rFonts w:ascii="Calibri" w:hAnsi="Calibri" w:cs="Calibri"/>
          <w:sz w:val="20"/>
        </w:rPr>
      </w:pPr>
    </w:p>
    <w:p w:rsidR="00650445" w:rsidRPr="005B33B0" w:rsidRDefault="00650445" w:rsidP="00650445">
      <w:pPr>
        <w:ind w:firstLine="4"/>
        <w:jc w:val="both"/>
        <w:rPr>
          <w:rFonts w:ascii="Calibri" w:hAnsi="Calibri" w:cs="Calibri"/>
          <w:sz w:val="20"/>
        </w:rPr>
      </w:pPr>
      <w:r w:rsidRPr="005B33B0">
        <w:rPr>
          <w:rFonts w:ascii="Calibri" w:hAnsi="Calibri" w:cs="Calibri"/>
          <w:sz w:val="20"/>
        </w:rPr>
        <w:t>Rámy, nepriesvitné a priesvitné výplne otvorov v priestoroch s relatívnou vlhkosťou vzduchu ϕ</w:t>
      </w:r>
      <w:r w:rsidRPr="005B33B0">
        <w:rPr>
          <w:rFonts w:ascii="Calibri" w:hAnsi="Calibri" w:cs="Calibri"/>
          <w:sz w:val="20"/>
          <w:vertAlign w:val="subscript"/>
        </w:rPr>
        <w:t>i</w:t>
      </w:r>
      <w:r w:rsidRPr="005B33B0">
        <w:rPr>
          <w:rFonts w:ascii="Calibri" w:hAnsi="Calibri" w:cs="Calibri"/>
          <w:sz w:val="20"/>
        </w:rPr>
        <w:t>≤50% musia mať na každom mieste povrchovú teplotu θ</w:t>
      </w:r>
      <w:r w:rsidRPr="005B33B0">
        <w:rPr>
          <w:rFonts w:ascii="Calibri" w:hAnsi="Calibri" w:cs="Calibri"/>
          <w:sz w:val="20"/>
          <w:vertAlign w:val="subscript"/>
        </w:rPr>
        <w:t>si,w</w:t>
      </w:r>
      <w:r w:rsidRPr="005B33B0">
        <w:rPr>
          <w:rFonts w:ascii="Calibri" w:hAnsi="Calibri" w:cs="Calibri"/>
          <w:sz w:val="20"/>
        </w:rPr>
        <w:t>, vyjadrenú v °C, nad teplotou rosného bodu θ</w:t>
      </w:r>
      <w:r w:rsidRPr="005B33B0">
        <w:rPr>
          <w:rFonts w:ascii="Calibri" w:hAnsi="Calibri" w:cs="Calibri"/>
          <w:sz w:val="20"/>
          <w:vertAlign w:val="subscript"/>
        </w:rPr>
        <w:t>dp</w:t>
      </w:r>
      <w:r w:rsidRPr="005B33B0">
        <w:rPr>
          <w:rFonts w:ascii="Calibri" w:hAnsi="Calibri" w:cs="Calibri"/>
          <w:sz w:val="20"/>
        </w:rPr>
        <w:t>:</w:t>
      </w:r>
    </w:p>
    <w:p w:rsidR="005B33B0" w:rsidRPr="005B33B0" w:rsidRDefault="005B33B0" w:rsidP="00650445">
      <w:pPr>
        <w:ind w:firstLine="3"/>
        <w:jc w:val="both"/>
        <w:rPr>
          <w:rFonts w:ascii="Calibri" w:hAnsi="Calibri" w:cs="Calibri"/>
          <w:sz w:val="20"/>
        </w:rPr>
      </w:pPr>
    </w:p>
    <w:p w:rsidR="00650445" w:rsidRPr="005B33B0" w:rsidRDefault="00650445" w:rsidP="00650445">
      <w:pPr>
        <w:ind w:firstLine="3"/>
        <w:jc w:val="both"/>
        <w:rPr>
          <w:rFonts w:ascii="Calibri" w:hAnsi="Calibri" w:cs="Calibri"/>
          <w:sz w:val="20"/>
        </w:rPr>
      </w:pPr>
      <w:r w:rsidRPr="005B33B0">
        <w:rPr>
          <w:rFonts w:ascii="Calibri" w:hAnsi="Calibri" w:cs="Calibri"/>
          <w:sz w:val="20"/>
        </w:rPr>
        <w:t>θ</w:t>
      </w:r>
      <w:r w:rsidRPr="005B33B0">
        <w:rPr>
          <w:rFonts w:ascii="Calibri" w:hAnsi="Calibri" w:cs="Calibri"/>
          <w:sz w:val="20"/>
          <w:vertAlign w:val="subscript"/>
        </w:rPr>
        <w:t>si,w</w:t>
      </w:r>
      <w:r w:rsidRPr="005B33B0">
        <w:rPr>
          <w:rFonts w:ascii="Calibri" w:hAnsi="Calibri" w:cs="Calibri"/>
          <w:sz w:val="20"/>
        </w:rPr>
        <w:t>≥θ</w:t>
      </w:r>
      <w:r w:rsidRPr="005B33B0">
        <w:rPr>
          <w:rFonts w:ascii="Calibri" w:hAnsi="Calibri" w:cs="Calibri"/>
          <w:sz w:val="20"/>
          <w:vertAlign w:val="subscript"/>
        </w:rPr>
        <w:t>si,w,N</w:t>
      </w:r>
      <w:r w:rsidRPr="005B33B0">
        <w:rPr>
          <w:rFonts w:ascii="Calibri" w:hAnsi="Calibri" w:cs="Calibri"/>
          <w:sz w:val="20"/>
        </w:rPr>
        <w:t>=θ</w:t>
      </w:r>
      <w:r w:rsidRPr="005B33B0">
        <w:rPr>
          <w:rFonts w:ascii="Calibri" w:hAnsi="Calibri" w:cs="Calibri"/>
          <w:sz w:val="20"/>
          <w:vertAlign w:val="subscript"/>
        </w:rPr>
        <w:t>dp</w:t>
      </w:r>
    </w:p>
    <w:p w:rsidR="00650445" w:rsidRPr="005B33B0" w:rsidRDefault="00650445" w:rsidP="00650445">
      <w:pPr>
        <w:ind w:left="708" w:hanging="705"/>
        <w:jc w:val="both"/>
        <w:rPr>
          <w:rFonts w:ascii="Calibri" w:hAnsi="Calibri" w:cs="Calibri"/>
          <w:sz w:val="20"/>
        </w:rPr>
      </w:pPr>
      <w:r w:rsidRPr="005B33B0">
        <w:rPr>
          <w:rFonts w:ascii="Calibri" w:hAnsi="Calibri" w:cs="Calibri"/>
          <w:sz w:val="20"/>
        </w:rPr>
        <w:t>kde</w:t>
      </w:r>
      <w:r w:rsidRPr="005B33B0">
        <w:rPr>
          <w:rFonts w:ascii="Calibri" w:hAnsi="Calibri" w:cs="Calibri"/>
          <w:sz w:val="20"/>
        </w:rPr>
        <w:tab/>
        <w:t>θ</w:t>
      </w:r>
      <w:r w:rsidRPr="005B33B0">
        <w:rPr>
          <w:rFonts w:ascii="Calibri" w:hAnsi="Calibri" w:cs="Calibri"/>
          <w:sz w:val="20"/>
          <w:vertAlign w:val="subscript"/>
        </w:rPr>
        <w:t xml:space="preserve">si,w,N </w:t>
      </w:r>
      <w:r w:rsidRPr="005B33B0">
        <w:rPr>
          <w:rFonts w:ascii="Calibri" w:hAnsi="Calibri" w:cs="Calibri"/>
          <w:sz w:val="20"/>
        </w:rPr>
        <w:t>je požadovaná normalizovaná hodnota vnútornej povrchovej teploty výplne otvoru, v °C</w:t>
      </w:r>
    </w:p>
    <w:p w:rsidR="00650445" w:rsidRPr="005B33B0" w:rsidRDefault="00650445" w:rsidP="00650445">
      <w:pPr>
        <w:ind w:left="708" w:hanging="705"/>
        <w:jc w:val="both"/>
        <w:rPr>
          <w:rFonts w:ascii="Calibri" w:hAnsi="Calibri" w:cs="Calibri"/>
          <w:sz w:val="20"/>
        </w:rPr>
      </w:pPr>
      <w:r w:rsidRPr="005B33B0">
        <w:rPr>
          <w:rFonts w:ascii="Calibri" w:hAnsi="Calibri" w:cs="Calibri"/>
          <w:sz w:val="20"/>
        </w:rPr>
        <w:tab/>
        <w:t>θ</w:t>
      </w:r>
      <w:r w:rsidRPr="005B33B0">
        <w:rPr>
          <w:rFonts w:ascii="Calibri" w:hAnsi="Calibri" w:cs="Calibri"/>
          <w:sz w:val="20"/>
          <w:vertAlign w:val="subscript"/>
        </w:rPr>
        <w:t xml:space="preserve">dp </w:t>
      </w:r>
      <w:r w:rsidRPr="005B33B0">
        <w:rPr>
          <w:rFonts w:ascii="Calibri" w:hAnsi="Calibri" w:cs="Calibri"/>
          <w:sz w:val="20"/>
        </w:rPr>
        <w:t xml:space="preserve">je teplota rosného bodu </w:t>
      </w:r>
    </w:p>
    <w:p w:rsidR="005B33B0" w:rsidRPr="005B33B0" w:rsidRDefault="005B33B0" w:rsidP="005B33B0">
      <w:pPr>
        <w:jc w:val="both"/>
        <w:rPr>
          <w:rFonts w:ascii="Calibri" w:hAnsi="Calibri" w:cs="Calibri"/>
          <w:sz w:val="20"/>
          <w:u w:val="single"/>
        </w:rPr>
      </w:pPr>
    </w:p>
    <w:p w:rsidR="00650445" w:rsidRPr="005B33B0" w:rsidRDefault="00650445" w:rsidP="005B33B0">
      <w:pPr>
        <w:jc w:val="both"/>
        <w:rPr>
          <w:rFonts w:ascii="Calibri" w:hAnsi="Calibri" w:cs="Calibri"/>
          <w:sz w:val="20"/>
          <w:u w:val="single"/>
        </w:rPr>
      </w:pPr>
      <w:r w:rsidRPr="005B33B0">
        <w:rPr>
          <w:rFonts w:ascii="Calibri" w:hAnsi="Calibri" w:cs="Calibri"/>
          <w:sz w:val="20"/>
          <w:u w:val="single"/>
        </w:rPr>
        <w:t>Šírenie vlhkosti v konštrukcií</w:t>
      </w:r>
    </w:p>
    <w:p w:rsidR="00650445" w:rsidRPr="005B33B0" w:rsidRDefault="00650445" w:rsidP="00650445">
      <w:pPr>
        <w:ind w:left="708" w:hanging="705"/>
        <w:jc w:val="both"/>
        <w:rPr>
          <w:rFonts w:ascii="Calibri" w:hAnsi="Calibri" w:cs="Calibri"/>
          <w:i/>
          <w:sz w:val="20"/>
        </w:rPr>
      </w:pPr>
      <w:r w:rsidRPr="005B33B0">
        <w:rPr>
          <w:rFonts w:ascii="Calibri" w:hAnsi="Calibri" w:cs="Calibri"/>
          <w:i/>
          <w:sz w:val="20"/>
        </w:rPr>
        <w:t xml:space="preserve">Skondenzované množstvo vodnej pary v konštrukcií </w:t>
      </w:r>
    </w:p>
    <w:p w:rsidR="00650445" w:rsidRPr="005B33B0" w:rsidRDefault="00650445" w:rsidP="00650445">
      <w:pPr>
        <w:ind w:firstLine="3"/>
        <w:jc w:val="both"/>
        <w:rPr>
          <w:rFonts w:ascii="Calibri" w:hAnsi="Calibri" w:cs="Calibri"/>
          <w:sz w:val="20"/>
        </w:rPr>
      </w:pPr>
      <w:r w:rsidRPr="005B33B0">
        <w:rPr>
          <w:rFonts w:ascii="Calibri" w:hAnsi="Calibri" w:cs="Calibri"/>
          <w:sz w:val="20"/>
        </w:rPr>
        <w:t>Bez kondenzácie vodnej pary v konštrukciách musia sa navrhnúť strechy, stropy, a steny, v ktorých by skondenzovaná vodná para mohla ohroziť ich požadovanú funkciu:</w:t>
      </w:r>
    </w:p>
    <w:p w:rsidR="005B33B0" w:rsidRDefault="005B33B0" w:rsidP="00650445">
      <w:pPr>
        <w:ind w:firstLine="3"/>
        <w:jc w:val="both"/>
        <w:rPr>
          <w:rFonts w:ascii="Calibri" w:hAnsi="Calibri" w:cs="Calibri"/>
          <w:sz w:val="20"/>
        </w:rPr>
      </w:pPr>
    </w:p>
    <w:p w:rsidR="00650445" w:rsidRPr="005B33B0" w:rsidRDefault="00650445" w:rsidP="00650445">
      <w:pPr>
        <w:ind w:firstLine="3"/>
        <w:jc w:val="both"/>
        <w:rPr>
          <w:rFonts w:ascii="Calibri" w:hAnsi="Calibri" w:cs="Calibri"/>
          <w:sz w:val="20"/>
        </w:rPr>
      </w:pPr>
      <w:r w:rsidRPr="005B33B0">
        <w:rPr>
          <w:rFonts w:ascii="Calibri" w:hAnsi="Calibri" w:cs="Calibri"/>
          <w:sz w:val="20"/>
        </w:rPr>
        <w:t>M</w:t>
      </w:r>
      <w:r w:rsidRPr="005B33B0">
        <w:rPr>
          <w:rFonts w:ascii="Calibri" w:hAnsi="Calibri" w:cs="Calibri"/>
          <w:sz w:val="20"/>
          <w:vertAlign w:val="subscript"/>
        </w:rPr>
        <w:t>c</w:t>
      </w:r>
      <w:r w:rsidRPr="005B33B0">
        <w:rPr>
          <w:rFonts w:ascii="Calibri" w:hAnsi="Calibri" w:cs="Calibri"/>
          <w:sz w:val="20"/>
        </w:rPr>
        <w:t>=0</w:t>
      </w:r>
    </w:p>
    <w:p w:rsidR="005B33B0" w:rsidRDefault="005B33B0" w:rsidP="00650445">
      <w:pPr>
        <w:ind w:firstLine="3"/>
        <w:jc w:val="both"/>
        <w:rPr>
          <w:rFonts w:ascii="Calibri" w:hAnsi="Calibri" w:cs="Calibri"/>
          <w:sz w:val="20"/>
        </w:rPr>
      </w:pPr>
    </w:p>
    <w:p w:rsidR="00650445" w:rsidRPr="005B33B0" w:rsidRDefault="00650445" w:rsidP="00650445">
      <w:pPr>
        <w:ind w:firstLine="3"/>
        <w:jc w:val="both"/>
        <w:rPr>
          <w:rFonts w:ascii="Calibri" w:hAnsi="Calibri" w:cs="Calibri"/>
          <w:sz w:val="20"/>
        </w:rPr>
      </w:pPr>
      <w:r w:rsidRPr="005B33B0">
        <w:rPr>
          <w:rFonts w:ascii="Calibri" w:hAnsi="Calibri" w:cs="Calibri"/>
          <w:sz w:val="20"/>
        </w:rPr>
        <w:t>S obmedzenou kondenzáciou vodnej pary v konštrukcií, ktorá sa určí bez uvažovania vplyvu slnečného žiarenia, možno navrhnúť strechy, stropy a steny, v ktorých sa splnili tieto podmienky:</w:t>
      </w:r>
    </w:p>
    <w:p w:rsidR="00650445" w:rsidRPr="005B33B0" w:rsidRDefault="00650445" w:rsidP="00650445">
      <w:pPr>
        <w:jc w:val="both"/>
        <w:rPr>
          <w:rFonts w:ascii="Calibri" w:hAnsi="Calibri" w:cs="Calibri"/>
          <w:sz w:val="20"/>
        </w:rPr>
      </w:pPr>
      <w:r w:rsidRPr="005B33B0">
        <w:rPr>
          <w:rFonts w:ascii="Calibri" w:hAnsi="Calibri" w:cs="Calibri"/>
          <w:sz w:val="20"/>
        </w:rPr>
        <w:t>- Skondenzovaná vodná para neohrozí požadovanú funkciu konštrukcie</w:t>
      </w:r>
    </w:p>
    <w:p w:rsidR="00650445" w:rsidRPr="005B33B0" w:rsidRDefault="00650445" w:rsidP="00650445">
      <w:pPr>
        <w:jc w:val="both"/>
        <w:rPr>
          <w:rFonts w:ascii="Calibri" w:hAnsi="Calibri" w:cs="Calibri"/>
          <w:sz w:val="20"/>
        </w:rPr>
      </w:pPr>
      <w:r w:rsidRPr="005B33B0">
        <w:rPr>
          <w:rFonts w:ascii="Calibri" w:hAnsi="Calibri" w:cs="Calibri"/>
          <w:sz w:val="20"/>
        </w:rPr>
        <w:t>- Prípustné celoročné množstvo skondenzovanej vodnej pary je:</w:t>
      </w:r>
    </w:p>
    <w:p w:rsidR="005B33B0" w:rsidRDefault="005B33B0" w:rsidP="00650445">
      <w:pPr>
        <w:ind w:left="2124" w:firstLine="708"/>
        <w:jc w:val="both"/>
        <w:rPr>
          <w:rFonts w:ascii="Calibri" w:hAnsi="Calibri" w:cs="Calibri"/>
          <w:sz w:val="20"/>
        </w:rPr>
      </w:pPr>
    </w:p>
    <w:p w:rsidR="00650445" w:rsidRPr="005B33B0" w:rsidRDefault="00650445" w:rsidP="00650445">
      <w:pPr>
        <w:ind w:left="2124" w:firstLine="708"/>
        <w:jc w:val="both"/>
        <w:rPr>
          <w:rFonts w:ascii="Calibri" w:hAnsi="Calibri" w:cs="Calibri"/>
          <w:sz w:val="20"/>
        </w:rPr>
      </w:pPr>
      <w:r w:rsidRPr="005B33B0">
        <w:rPr>
          <w:rFonts w:ascii="Calibri" w:hAnsi="Calibri" w:cs="Calibri"/>
          <w:sz w:val="20"/>
        </w:rPr>
        <w:t xml:space="preserve">Pre jednopláštové strechy </w:t>
      </w:r>
    </w:p>
    <w:p w:rsidR="00650445" w:rsidRPr="005B33B0" w:rsidRDefault="00650445" w:rsidP="00650445">
      <w:pPr>
        <w:pStyle w:val="Odsekzoznamu"/>
        <w:ind w:left="2832" w:firstLine="708"/>
        <w:jc w:val="both"/>
        <w:rPr>
          <w:rFonts w:ascii="Calibri" w:hAnsi="Calibri" w:cs="Calibri"/>
          <w:sz w:val="20"/>
          <w:szCs w:val="20"/>
        </w:rPr>
      </w:pPr>
      <w:r w:rsidRPr="005B33B0">
        <w:rPr>
          <w:rFonts w:ascii="Calibri" w:hAnsi="Calibri" w:cs="Calibri"/>
          <w:sz w:val="20"/>
          <w:szCs w:val="20"/>
        </w:rPr>
        <w:t>M</w:t>
      </w:r>
      <w:r w:rsidRPr="005B33B0">
        <w:rPr>
          <w:rFonts w:ascii="Calibri" w:hAnsi="Calibri" w:cs="Calibri"/>
          <w:sz w:val="20"/>
          <w:szCs w:val="20"/>
          <w:vertAlign w:val="subscript"/>
        </w:rPr>
        <w:t>c</w:t>
      </w:r>
      <w:r w:rsidRPr="005B33B0">
        <w:rPr>
          <w:rFonts w:ascii="Calibri" w:hAnsi="Calibri" w:cs="Calibri"/>
          <w:sz w:val="20"/>
          <w:szCs w:val="20"/>
        </w:rPr>
        <w:t>≤0,1kg/(m</w:t>
      </w:r>
      <w:r w:rsidRPr="005B33B0">
        <w:rPr>
          <w:rFonts w:ascii="Calibri" w:hAnsi="Calibri" w:cs="Calibri"/>
          <w:sz w:val="20"/>
          <w:szCs w:val="20"/>
          <w:vertAlign w:val="superscript"/>
        </w:rPr>
        <w:t>2</w:t>
      </w:r>
      <w:r w:rsidRPr="005B33B0">
        <w:rPr>
          <w:rFonts w:ascii="Calibri" w:hAnsi="Calibri" w:cs="Calibri"/>
          <w:sz w:val="20"/>
          <w:szCs w:val="20"/>
        </w:rPr>
        <w:t>.a)</w:t>
      </w:r>
    </w:p>
    <w:p w:rsidR="005B33B0" w:rsidRDefault="005B33B0" w:rsidP="00650445">
      <w:pPr>
        <w:ind w:left="2832"/>
        <w:jc w:val="both"/>
        <w:rPr>
          <w:rFonts w:ascii="Calibri" w:hAnsi="Calibri" w:cs="Calibri"/>
          <w:sz w:val="20"/>
        </w:rPr>
      </w:pPr>
    </w:p>
    <w:p w:rsidR="00650445" w:rsidRPr="005B33B0" w:rsidRDefault="00650445" w:rsidP="00650445">
      <w:pPr>
        <w:ind w:left="2832"/>
        <w:jc w:val="both"/>
        <w:rPr>
          <w:rFonts w:ascii="Calibri" w:hAnsi="Calibri" w:cs="Calibri"/>
          <w:sz w:val="20"/>
        </w:rPr>
      </w:pPr>
      <w:r w:rsidRPr="005B33B0">
        <w:rPr>
          <w:rFonts w:ascii="Calibri" w:hAnsi="Calibri" w:cs="Calibri"/>
          <w:sz w:val="20"/>
        </w:rPr>
        <w:t>Pre ostatné konštrukcie</w:t>
      </w:r>
    </w:p>
    <w:p w:rsidR="00650445" w:rsidRDefault="00650445" w:rsidP="00650445">
      <w:pPr>
        <w:pStyle w:val="Odsekzoznamu"/>
        <w:ind w:left="2832" w:firstLine="708"/>
        <w:jc w:val="both"/>
        <w:rPr>
          <w:rFonts w:ascii="Calibri" w:hAnsi="Calibri" w:cs="Calibri"/>
          <w:sz w:val="20"/>
          <w:szCs w:val="20"/>
        </w:rPr>
      </w:pPr>
      <w:r w:rsidRPr="005B33B0">
        <w:rPr>
          <w:rFonts w:ascii="Calibri" w:hAnsi="Calibri" w:cs="Calibri"/>
          <w:sz w:val="20"/>
          <w:szCs w:val="20"/>
        </w:rPr>
        <w:t>M</w:t>
      </w:r>
      <w:r w:rsidRPr="005B33B0">
        <w:rPr>
          <w:rFonts w:ascii="Calibri" w:hAnsi="Calibri" w:cs="Calibri"/>
          <w:sz w:val="20"/>
          <w:szCs w:val="20"/>
          <w:vertAlign w:val="subscript"/>
        </w:rPr>
        <w:t>c</w:t>
      </w:r>
      <w:r w:rsidRPr="005B33B0">
        <w:rPr>
          <w:rFonts w:ascii="Calibri" w:hAnsi="Calibri" w:cs="Calibri"/>
          <w:sz w:val="20"/>
          <w:szCs w:val="20"/>
        </w:rPr>
        <w:t>≤0,5kg/(m</w:t>
      </w:r>
      <w:r w:rsidRPr="005B33B0">
        <w:rPr>
          <w:rFonts w:ascii="Calibri" w:hAnsi="Calibri" w:cs="Calibri"/>
          <w:sz w:val="20"/>
          <w:szCs w:val="20"/>
          <w:vertAlign w:val="superscript"/>
        </w:rPr>
        <w:t>2</w:t>
      </w:r>
      <w:r w:rsidRPr="005B33B0">
        <w:rPr>
          <w:rFonts w:ascii="Calibri" w:hAnsi="Calibri" w:cs="Calibri"/>
          <w:sz w:val="20"/>
          <w:szCs w:val="20"/>
        </w:rPr>
        <w:t>.a)</w:t>
      </w:r>
    </w:p>
    <w:p w:rsidR="005B33B0" w:rsidRPr="005B33B0" w:rsidRDefault="005B33B0" w:rsidP="00650445">
      <w:pPr>
        <w:pStyle w:val="Odsekzoznamu"/>
        <w:ind w:left="2832" w:firstLine="708"/>
        <w:jc w:val="both"/>
        <w:rPr>
          <w:rFonts w:ascii="Calibri" w:hAnsi="Calibri" w:cs="Calibri"/>
          <w:sz w:val="20"/>
          <w:szCs w:val="20"/>
        </w:rPr>
      </w:pPr>
    </w:p>
    <w:p w:rsidR="00650445" w:rsidRPr="005B33B0" w:rsidRDefault="00650445" w:rsidP="00650445">
      <w:pPr>
        <w:jc w:val="both"/>
        <w:rPr>
          <w:rFonts w:ascii="Calibri" w:hAnsi="Calibri" w:cs="Calibri"/>
          <w:i/>
          <w:sz w:val="20"/>
        </w:rPr>
      </w:pPr>
      <w:r w:rsidRPr="005B33B0">
        <w:rPr>
          <w:rFonts w:ascii="Calibri" w:hAnsi="Calibri" w:cs="Calibri"/>
          <w:i/>
          <w:sz w:val="20"/>
        </w:rPr>
        <w:t>Celoročná bilancia skondenzovanej a vyparenej vodnej pary vo vnútri konštrukcie</w:t>
      </w:r>
    </w:p>
    <w:p w:rsidR="00650445" w:rsidRPr="005B33B0" w:rsidRDefault="00650445" w:rsidP="00650445">
      <w:pPr>
        <w:jc w:val="both"/>
        <w:rPr>
          <w:rFonts w:ascii="Calibri" w:hAnsi="Calibri" w:cs="Calibri"/>
          <w:sz w:val="20"/>
        </w:rPr>
      </w:pPr>
      <w:r w:rsidRPr="005B33B0">
        <w:rPr>
          <w:rFonts w:ascii="Calibri" w:hAnsi="Calibri" w:cs="Calibri"/>
          <w:sz w:val="20"/>
        </w:rPr>
        <w:t>V stavebnej konštrukcií s prípustnou obmedzenou kondenzáciou vodnej pary vo vnútri konštrukcie sa nesmie ročnou bilanciou skondenzovanej a vyparenej vodnej pary preukázať žiadne zostávajúce skondenzované množstvo vodnej pary, ktoré by dlhodobo zvyšovalo vlhkosť konštrukcie:</w:t>
      </w:r>
    </w:p>
    <w:p w:rsidR="005B33B0" w:rsidRDefault="005B33B0" w:rsidP="00650445">
      <w:pPr>
        <w:jc w:val="both"/>
        <w:rPr>
          <w:rFonts w:ascii="Calibri" w:hAnsi="Calibri" w:cs="Calibri"/>
          <w:sz w:val="20"/>
        </w:rPr>
      </w:pPr>
    </w:p>
    <w:p w:rsidR="00650445" w:rsidRPr="005B33B0" w:rsidRDefault="00650445" w:rsidP="00650445">
      <w:pPr>
        <w:jc w:val="both"/>
        <w:rPr>
          <w:rFonts w:ascii="Calibri" w:hAnsi="Calibri" w:cs="Calibri"/>
          <w:sz w:val="20"/>
        </w:rPr>
      </w:pPr>
      <w:r w:rsidRPr="005B33B0">
        <w:rPr>
          <w:rFonts w:ascii="Calibri" w:hAnsi="Calibri" w:cs="Calibri"/>
          <w:sz w:val="20"/>
        </w:rPr>
        <w:t>M</w:t>
      </w:r>
      <w:r w:rsidRPr="005B33B0">
        <w:rPr>
          <w:rFonts w:ascii="Calibri" w:hAnsi="Calibri" w:cs="Calibri"/>
          <w:sz w:val="20"/>
          <w:vertAlign w:val="subscript"/>
        </w:rPr>
        <w:t>c</w:t>
      </w:r>
      <w:r w:rsidRPr="005B33B0">
        <w:rPr>
          <w:rFonts w:ascii="Calibri" w:hAnsi="Calibri" w:cs="Calibri"/>
          <w:sz w:val="20"/>
        </w:rPr>
        <w:t>˂M</w:t>
      </w:r>
      <w:r w:rsidRPr="005B33B0">
        <w:rPr>
          <w:rFonts w:ascii="Calibri" w:hAnsi="Calibri" w:cs="Calibri"/>
          <w:sz w:val="20"/>
          <w:vertAlign w:val="subscript"/>
        </w:rPr>
        <w:t>ev</w:t>
      </w:r>
    </w:p>
    <w:p w:rsidR="00650445" w:rsidRPr="005B33B0" w:rsidRDefault="00650445" w:rsidP="00650445">
      <w:pPr>
        <w:ind w:left="705" w:hanging="705"/>
        <w:jc w:val="both"/>
        <w:rPr>
          <w:rFonts w:ascii="Calibri" w:hAnsi="Calibri" w:cs="Calibri"/>
          <w:sz w:val="20"/>
        </w:rPr>
      </w:pPr>
      <w:r w:rsidRPr="005B33B0">
        <w:rPr>
          <w:rFonts w:ascii="Calibri" w:hAnsi="Calibri" w:cs="Calibri"/>
          <w:sz w:val="20"/>
        </w:rPr>
        <w:t xml:space="preserve">Kde </w:t>
      </w:r>
      <w:r w:rsidRPr="005B33B0">
        <w:rPr>
          <w:rFonts w:ascii="Calibri" w:hAnsi="Calibri" w:cs="Calibri"/>
          <w:sz w:val="20"/>
        </w:rPr>
        <w:tab/>
        <w:t>M</w:t>
      </w:r>
      <w:r w:rsidRPr="005B33B0">
        <w:rPr>
          <w:rFonts w:ascii="Calibri" w:hAnsi="Calibri" w:cs="Calibri"/>
          <w:sz w:val="20"/>
          <w:vertAlign w:val="subscript"/>
        </w:rPr>
        <w:t>c</w:t>
      </w:r>
      <w:r w:rsidRPr="005B33B0">
        <w:rPr>
          <w:rFonts w:ascii="Calibri" w:hAnsi="Calibri" w:cs="Calibri"/>
          <w:sz w:val="20"/>
        </w:rPr>
        <w:t xml:space="preserve"> je celoročné množstvo skondenzovanej vodnej pary v konštrukcií</w:t>
      </w:r>
    </w:p>
    <w:p w:rsidR="00650445" w:rsidRPr="005B33B0" w:rsidRDefault="00650445" w:rsidP="00650445">
      <w:pPr>
        <w:pStyle w:val="Nadpis2"/>
        <w:numPr>
          <w:ilvl w:val="0"/>
          <w:numId w:val="0"/>
        </w:numPr>
        <w:jc w:val="both"/>
        <w:rPr>
          <w:rFonts w:ascii="Calibri" w:hAnsi="Calibri" w:cs="Calibri"/>
          <w:szCs w:val="20"/>
        </w:rPr>
      </w:pPr>
    </w:p>
    <w:p w:rsidR="00650445" w:rsidRPr="005B33B0" w:rsidRDefault="00650445" w:rsidP="00650445">
      <w:pPr>
        <w:jc w:val="both"/>
        <w:rPr>
          <w:rFonts w:ascii="Calibri" w:hAnsi="Calibri" w:cs="Calibri"/>
          <w:sz w:val="20"/>
        </w:rPr>
      </w:pPr>
    </w:p>
    <w:p w:rsidR="00650445" w:rsidRPr="005B33B0" w:rsidRDefault="00650445" w:rsidP="00650445">
      <w:pPr>
        <w:jc w:val="both"/>
        <w:rPr>
          <w:rFonts w:ascii="Calibri" w:hAnsi="Calibri" w:cs="Calibri"/>
          <w:sz w:val="20"/>
        </w:rPr>
      </w:pPr>
    </w:p>
    <w:p w:rsidR="00650445" w:rsidRPr="005B33B0" w:rsidRDefault="00650445" w:rsidP="00650445">
      <w:pPr>
        <w:pStyle w:val="Nadpis2"/>
        <w:numPr>
          <w:ilvl w:val="0"/>
          <w:numId w:val="0"/>
        </w:numPr>
        <w:jc w:val="both"/>
        <w:rPr>
          <w:rFonts w:ascii="Calibri" w:hAnsi="Calibri" w:cs="Calibri"/>
          <w:szCs w:val="20"/>
        </w:rPr>
      </w:pPr>
      <w:bookmarkStart w:id="160" w:name="_Toc1897617"/>
      <w:r w:rsidRPr="005B33B0">
        <w:rPr>
          <w:rFonts w:ascii="Calibri" w:hAnsi="Calibri" w:cs="Calibri"/>
          <w:szCs w:val="20"/>
        </w:rPr>
        <w:lastRenderedPageBreak/>
        <w:t>3.2 Kritérium výmeny vzduchu</w:t>
      </w:r>
      <w:bookmarkEnd w:id="160"/>
    </w:p>
    <w:p w:rsidR="00650445" w:rsidRPr="005B33B0" w:rsidRDefault="00650445" w:rsidP="00650445">
      <w:pPr>
        <w:jc w:val="both"/>
        <w:rPr>
          <w:rFonts w:ascii="Calibri" w:hAnsi="Calibri" w:cs="Calibri"/>
          <w:sz w:val="20"/>
          <w:u w:val="single"/>
        </w:rPr>
      </w:pPr>
      <w:r w:rsidRPr="005B33B0">
        <w:rPr>
          <w:rFonts w:ascii="Calibri" w:hAnsi="Calibri" w:cs="Calibri"/>
          <w:sz w:val="20"/>
          <w:u w:val="single"/>
        </w:rPr>
        <w:t>Priemerná výmena vzduchu v miestnosti</w:t>
      </w:r>
    </w:p>
    <w:p w:rsidR="00650445" w:rsidRPr="005B33B0" w:rsidRDefault="00650445" w:rsidP="00650445">
      <w:pPr>
        <w:jc w:val="both"/>
        <w:rPr>
          <w:rFonts w:ascii="Calibri" w:hAnsi="Calibri" w:cs="Calibri"/>
          <w:sz w:val="20"/>
        </w:rPr>
      </w:pPr>
      <w:r w:rsidRPr="005B33B0">
        <w:rPr>
          <w:rFonts w:ascii="Calibri" w:hAnsi="Calibri" w:cs="Calibri"/>
          <w:sz w:val="20"/>
        </w:rPr>
        <w:t>Priemerná výmena vzduchu v miestnosti n vyhovuje, ak sa škárovou prievzdušnostou stykov  a škár vyplní otvorov (prirodzenou infiltráciou) splní podmienka:</w:t>
      </w:r>
    </w:p>
    <w:p w:rsidR="00AD76E7" w:rsidRDefault="00AD76E7" w:rsidP="00650445">
      <w:pPr>
        <w:jc w:val="both"/>
        <w:rPr>
          <w:rFonts w:ascii="Calibri" w:hAnsi="Calibri" w:cs="Calibri"/>
          <w:sz w:val="20"/>
        </w:rPr>
      </w:pPr>
    </w:p>
    <w:p w:rsidR="00650445" w:rsidRPr="005B33B0" w:rsidRDefault="00650445" w:rsidP="00650445">
      <w:pPr>
        <w:jc w:val="both"/>
        <w:rPr>
          <w:rFonts w:ascii="Calibri" w:hAnsi="Calibri" w:cs="Calibri"/>
          <w:sz w:val="20"/>
        </w:rPr>
      </w:pPr>
      <w:r w:rsidRPr="005B33B0">
        <w:rPr>
          <w:rFonts w:ascii="Calibri" w:hAnsi="Calibri" w:cs="Calibri"/>
          <w:sz w:val="20"/>
        </w:rPr>
        <w:t>n≥n</w:t>
      </w:r>
      <w:r w:rsidRPr="005B33B0">
        <w:rPr>
          <w:rFonts w:ascii="Calibri" w:hAnsi="Calibri" w:cs="Calibri"/>
          <w:sz w:val="20"/>
          <w:vertAlign w:val="subscript"/>
        </w:rPr>
        <w:t>N</w:t>
      </w:r>
    </w:p>
    <w:p w:rsidR="00650445" w:rsidRPr="005B33B0" w:rsidRDefault="00650445" w:rsidP="00650445">
      <w:pPr>
        <w:jc w:val="both"/>
        <w:rPr>
          <w:rFonts w:ascii="Calibri" w:hAnsi="Calibri" w:cs="Calibri"/>
          <w:sz w:val="20"/>
        </w:rPr>
      </w:pPr>
      <w:r w:rsidRPr="005B33B0">
        <w:rPr>
          <w:rFonts w:ascii="Calibri" w:hAnsi="Calibri" w:cs="Calibri"/>
          <w:sz w:val="20"/>
        </w:rPr>
        <w:t xml:space="preserve">Kde </w:t>
      </w:r>
      <w:r w:rsidRPr="005B33B0">
        <w:rPr>
          <w:rFonts w:ascii="Calibri" w:hAnsi="Calibri" w:cs="Calibri"/>
          <w:sz w:val="20"/>
        </w:rPr>
        <w:tab/>
        <w:t>n</w:t>
      </w:r>
      <w:r w:rsidRPr="005B33B0">
        <w:rPr>
          <w:rFonts w:ascii="Calibri" w:hAnsi="Calibri" w:cs="Calibri"/>
          <w:sz w:val="20"/>
          <w:vertAlign w:val="subscript"/>
        </w:rPr>
        <w:t>N</w:t>
      </w:r>
      <w:r w:rsidRPr="005B33B0">
        <w:rPr>
          <w:rFonts w:ascii="Calibri" w:hAnsi="Calibri" w:cs="Calibri"/>
          <w:sz w:val="20"/>
        </w:rPr>
        <w:t xml:space="preserve"> je požadovaná priemerná intenzita výmeny vzduchu, v 1/h</w:t>
      </w:r>
    </w:p>
    <w:p w:rsidR="00650445" w:rsidRPr="005B33B0" w:rsidRDefault="00650445" w:rsidP="00650445">
      <w:pPr>
        <w:jc w:val="both"/>
        <w:rPr>
          <w:rFonts w:ascii="Calibri" w:hAnsi="Calibri" w:cs="Calibri"/>
          <w:sz w:val="20"/>
        </w:rPr>
      </w:pPr>
    </w:p>
    <w:p w:rsidR="00650445" w:rsidRPr="00AD76E7" w:rsidRDefault="00650445" w:rsidP="00650445">
      <w:pPr>
        <w:pStyle w:val="Nadpis2"/>
        <w:numPr>
          <w:ilvl w:val="0"/>
          <w:numId w:val="0"/>
        </w:numPr>
        <w:ind w:left="397" w:hanging="397"/>
        <w:jc w:val="both"/>
        <w:rPr>
          <w:rFonts w:ascii="Calibri" w:hAnsi="Calibri" w:cs="Calibri"/>
          <w:szCs w:val="20"/>
        </w:rPr>
      </w:pPr>
      <w:bookmarkStart w:id="161" w:name="_Toc1897618"/>
      <w:r w:rsidRPr="00AD76E7">
        <w:rPr>
          <w:rFonts w:ascii="Calibri" w:hAnsi="Calibri" w:cs="Calibri"/>
          <w:szCs w:val="20"/>
        </w:rPr>
        <w:t>3.3 Hygienické kritérium</w:t>
      </w:r>
      <w:bookmarkEnd w:id="161"/>
    </w:p>
    <w:p w:rsidR="00650445" w:rsidRPr="00AD76E7" w:rsidRDefault="00650445" w:rsidP="00650445">
      <w:pPr>
        <w:jc w:val="both"/>
        <w:rPr>
          <w:rFonts w:ascii="Calibri" w:hAnsi="Calibri" w:cs="Calibri"/>
          <w:sz w:val="20"/>
          <w:u w:val="single"/>
        </w:rPr>
      </w:pPr>
      <w:r w:rsidRPr="00AD76E7">
        <w:rPr>
          <w:rFonts w:ascii="Calibri" w:hAnsi="Calibri" w:cs="Calibri"/>
          <w:sz w:val="20"/>
          <w:u w:val="single"/>
        </w:rPr>
        <w:t>Najnižšia povrchová teplota konštrukcie</w:t>
      </w:r>
    </w:p>
    <w:p w:rsidR="00650445" w:rsidRPr="00AD76E7" w:rsidRDefault="00650445" w:rsidP="00650445">
      <w:pPr>
        <w:jc w:val="both"/>
        <w:rPr>
          <w:rFonts w:ascii="Calibri" w:hAnsi="Calibri" w:cs="Calibri"/>
          <w:sz w:val="20"/>
        </w:rPr>
      </w:pPr>
      <w:r w:rsidRPr="00AD76E7">
        <w:rPr>
          <w:rFonts w:ascii="Calibri" w:hAnsi="Calibri" w:cs="Calibri"/>
          <w:sz w:val="20"/>
        </w:rPr>
        <w:t>Steny, stropy a podlahy v priestoroch s relatívnou vlhkosťou vzduchu ϕi≤80% musia mať na každom mieste vnútorného povrchu teplotu θsi, vyjadrenú v °C, ktorá je bezpečne nad teplotou rosného bodu a vylučuje riziko vzniku plesní</w:t>
      </w:r>
    </w:p>
    <w:p w:rsidR="00AD76E7" w:rsidRPr="00AD76E7" w:rsidRDefault="00AD76E7" w:rsidP="00650445">
      <w:pPr>
        <w:jc w:val="both"/>
        <w:rPr>
          <w:rFonts w:ascii="Calibri" w:hAnsi="Calibri" w:cs="Calibri"/>
          <w:sz w:val="20"/>
        </w:rPr>
      </w:pPr>
    </w:p>
    <w:p w:rsidR="00650445" w:rsidRPr="00AD76E7" w:rsidRDefault="00650445" w:rsidP="00650445">
      <w:pPr>
        <w:jc w:val="both"/>
        <w:rPr>
          <w:rFonts w:ascii="Calibri" w:hAnsi="Calibri" w:cs="Calibri"/>
          <w:sz w:val="20"/>
        </w:rPr>
      </w:pPr>
      <w:r w:rsidRPr="00AD76E7">
        <w:rPr>
          <w:rFonts w:ascii="Calibri" w:hAnsi="Calibri" w:cs="Calibri"/>
          <w:sz w:val="20"/>
        </w:rPr>
        <w:t>θ</w:t>
      </w:r>
      <w:r w:rsidRPr="00AD76E7">
        <w:rPr>
          <w:rFonts w:ascii="Calibri" w:hAnsi="Calibri" w:cs="Calibri"/>
          <w:sz w:val="20"/>
          <w:vertAlign w:val="subscript"/>
        </w:rPr>
        <w:t>si</w:t>
      </w:r>
      <w:r w:rsidRPr="00AD76E7">
        <w:rPr>
          <w:rFonts w:ascii="Calibri" w:hAnsi="Calibri" w:cs="Calibri"/>
          <w:sz w:val="20"/>
        </w:rPr>
        <w:t>≥θ</w:t>
      </w:r>
      <w:r w:rsidRPr="00AD76E7">
        <w:rPr>
          <w:rFonts w:ascii="Calibri" w:hAnsi="Calibri" w:cs="Calibri"/>
          <w:sz w:val="20"/>
          <w:vertAlign w:val="subscript"/>
        </w:rPr>
        <w:t>si,N</w:t>
      </w:r>
      <w:r w:rsidRPr="00AD76E7">
        <w:rPr>
          <w:rFonts w:ascii="Calibri" w:hAnsi="Calibri" w:cs="Calibri"/>
          <w:sz w:val="20"/>
        </w:rPr>
        <w:t>=θ</w:t>
      </w:r>
      <w:r w:rsidRPr="00AD76E7">
        <w:rPr>
          <w:rFonts w:ascii="Calibri" w:hAnsi="Calibri" w:cs="Calibri"/>
          <w:sz w:val="20"/>
          <w:vertAlign w:val="subscript"/>
        </w:rPr>
        <w:t>si,80</w:t>
      </w:r>
      <w:r w:rsidRPr="00AD76E7">
        <w:rPr>
          <w:rFonts w:ascii="Calibri" w:hAnsi="Calibri" w:cs="Calibri"/>
          <w:sz w:val="20"/>
        </w:rPr>
        <w:t>+Δθsi</w:t>
      </w:r>
    </w:p>
    <w:p w:rsidR="00650445" w:rsidRPr="00AD76E7" w:rsidRDefault="00650445" w:rsidP="00650445">
      <w:pPr>
        <w:ind w:left="720" w:hanging="720"/>
        <w:jc w:val="both"/>
        <w:rPr>
          <w:rFonts w:ascii="Calibri" w:hAnsi="Calibri" w:cs="Calibri"/>
          <w:sz w:val="20"/>
        </w:rPr>
      </w:pPr>
      <w:r w:rsidRPr="00AD76E7">
        <w:rPr>
          <w:rFonts w:ascii="Calibri" w:hAnsi="Calibri" w:cs="Calibri"/>
          <w:sz w:val="20"/>
        </w:rPr>
        <w:t>kde</w:t>
      </w:r>
      <w:r w:rsidRPr="00AD76E7">
        <w:rPr>
          <w:rFonts w:ascii="Calibri" w:hAnsi="Calibri" w:cs="Calibri"/>
          <w:sz w:val="20"/>
        </w:rPr>
        <w:tab/>
        <w:t>θ</w:t>
      </w:r>
      <w:r w:rsidRPr="00AD76E7">
        <w:rPr>
          <w:rFonts w:ascii="Calibri" w:hAnsi="Calibri" w:cs="Calibri"/>
          <w:sz w:val="20"/>
          <w:vertAlign w:val="subscript"/>
        </w:rPr>
        <w:t xml:space="preserve">si,N </w:t>
      </w:r>
      <w:r w:rsidRPr="00AD76E7">
        <w:rPr>
          <w:rFonts w:ascii="Calibri" w:hAnsi="Calibri" w:cs="Calibri"/>
          <w:sz w:val="20"/>
        </w:rPr>
        <w:t>je najnižšia vnútorná teplota, ktorá sa určí pre najmenej priaznivé miesto stavebnej konštrukcie</w:t>
      </w:r>
    </w:p>
    <w:p w:rsidR="00650445" w:rsidRPr="00AD76E7" w:rsidRDefault="00650445" w:rsidP="00650445">
      <w:pPr>
        <w:jc w:val="both"/>
        <w:rPr>
          <w:rFonts w:ascii="Calibri" w:hAnsi="Calibri" w:cs="Calibri"/>
          <w:sz w:val="20"/>
        </w:rPr>
      </w:pPr>
      <w:r w:rsidRPr="00AD76E7">
        <w:rPr>
          <w:rFonts w:ascii="Calibri" w:hAnsi="Calibri" w:cs="Calibri"/>
          <w:sz w:val="20"/>
        </w:rPr>
        <w:tab/>
        <w:t>θ</w:t>
      </w:r>
      <w:r w:rsidRPr="00AD76E7">
        <w:rPr>
          <w:rFonts w:ascii="Calibri" w:hAnsi="Calibri" w:cs="Calibri"/>
          <w:sz w:val="20"/>
          <w:vertAlign w:val="subscript"/>
        </w:rPr>
        <w:t>si,80</w:t>
      </w:r>
      <w:r w:rsidRPr="00AD76E7">
        <w:rPr>
          <w:rFonts w:ascii="Calibri" w:hAnsi="Calibri" w:cs="Calibri"/>
          <w:sz w:val="20"/>
        </w:rPr>
        <w:t xml:space="preserve"> je kritická povrchová teplota na vznik plesní</w:t>
      </w:r>
    </w:p>
    <w:p w:rsidR="00650445" w:rsidRPr="00AD76E7" w:rsidRDefault="00650445" w:rsidP="00650445">
      <w:pPr>
        <w:jc w:val="both"/>
        <w:rPr>
          <w:rFonts w:ascii="Calibri" w:hAnsi="Calibri" w:cs="Calibri"/>
          <w:sz w:val="20"/>
        </w:rPr>
      </w:pPr>
      <w:r w:rsidRPr="00AD76E7">
        <w:rPr>
          <w:rFonts w:ascii="Calibri" w:hAnsi="Calibri" w:cs="Calibri"/>
          <w:sz w:val="20"/>
        </w:rPr>
        <w:tab/>
        <w:t>Δθ</w:t>
      </w:r>
      <w:r w:rsidRPr="00AD76E7">
        <w:rPr>
          <w:rFonts w:ascii="Calibri" w:hAnsi="Calibri" w:cs="Calibri"/>
          <w:sz w:val="20"/>
          <w:vertAlign w:val="subscript"/>
        </w:rPr>
        <w:t>si</w:t>
      </w:r>
      <w:r w:rsidRPr="00AD76E7">
        <w:rPr>
          <w:rFonts w:ascii="Calibri" w:hAnsi="Calibri" w:cs="Calibri"/>
          <w:sz w:val="20"/>
        </w:rPr>
        <w:t xml:space="preserve"> je bezpečnostná prirážka zohľadňujúca spôsob vykurovania miestností </w:t>
      </w:r>
    </w:p>
    <w:p w:rsidR="00AD76E7" w:rsidRPr="00AD76E7" w:rsidRDefault="00AD76E7" w:rsidP="00650445">
      <w:pPr>
        <w:jc w:val="both"/>
        <w:rPr>
          <w:rFonts w:ascii="Calibri" w:hAnsi="Calibri" w:cs="Calibri"/>
          <w:sz w:val="20"/>
        </w:rPr>
      </w:pPr>
    </w:p>
    <w:p w:rsidR="00650445" w:rsidRPr="00AD76E7" w:rsidRDefault="00650445" w:rsidP="00650445">
      <w:pPr>
        <w:jc w:val="both"/>
        <w:rPr>
          <w:rFonts w:ascii="Calibri" w:hAnsi="Calibri" w:cs="Calibri"/>
          <w:sz w:val="20"/>
        </w:rPr>
      </w:pPr>
      <w:r w:rsidRPr="00AD76E7">
        <w:rPr>
          <w:rFonts w:ascii="Calibri" w:hAnsi="Calibri" w:cs="Calibri"/>
          <w:sz w:val="20"/>
        </w:rPr>
        <w:t>Rámy, nepriesvitné a priesvitné výplne otvorov v priestoroch s relatívnou vlhkosťou vzduchu ϕi≤50% musia mať na každom mieste povrchovú teplotu θsi,w, vyjadrenú v °C, nad teplotou rosného bodu θdp:</w:t>
      </w:r>
    </w:p>
    <w:p w:rsidR="00AD76E7" w:rsidRPr="00AD76E7" w:rsidRDefault="00AD76E7" w:rsidP="00650445">
      <w:pPr>
        <w:jc w:val="both"/>
        <w:rPr>
          <w:rFonts w:ascii="Calibri" w:hAnsi="Calibri" w:cs="Calibri"/>
          <w:sz w:val="20"/>
        </w:rPr>
      </w:pPr>
    </w:p>
    <w:p w:rsidR="00650445" w:rsidRPr="00AD76E7" w:rsidRDefault="00650445" w:rsidP="00650445">
      <w:pPr>
        <w:jc w:val="both"/>
        <w:rPr>
          <w:rFonts w:ascii="Calibri" w:hAnsi="Calibri" w:cs="Calibri"/>
          <w:sz w:val="20"/>
        </w:rPr>
      </w:pPr>
      <w:r w:rsidRPr="00AD76E7">
        <w:rPr>
          <w:rFonts w:ascii="Calibri" w:hAnsi="Calibri" w:cs="Calibri"/>
          <w:sz w:val="20"/>
        </w:rPr>
        <w:t>θ</w:t>
      </w:r>
      <w:r w:rsidRPr="00AD76E7">
        <w:rPr>
          <w:rFonts w:ascii="Calibri" w:hAnsi="Calibri" w:cs="Calibri"/>
          <w:sz w:val="20"/>
          <w:vertAlign w:val="subscript"/>
        </w:rPr>
        <w:t>si,w</w:t>
      </w:r>
      <w:r w:rsidRPr="00AD76E7">
        <w:rPr>
          <w:rFonts w:ascii="Calibri" w:hAnsi="Calibri" w:cs="Calibri"/>
          <w:sz w:val="20"/>
        </w:rPr>
        <w:t>≥θ</w:t>
      </w:r>
      <w:r w:rsidRPr="00AD76E7">
        <w:rPr>
          <w:rFonts w:ascii="Calibri" w:hAnsi="Calibri" w:cs="Calibri"/>
          <w:sz w:val="20"/>
          <w:vertAlign w:val="subscript"/>
        </w:rPr>
        <w:t>si,w,N</w:t>
      </w:r>
      <w:r w:rsidRPr="00AD76E7">
        <w:rPr>
          <w:rFonts w:ascii="Calibri" w:hAnsi="Calibri" w:cs="Calibri"/>
          <w:sz w:val="20"/>
        </w:rPr>
        <w:t>=θ</w:t>
      </w:r>
      <w:r w:rsidRPr="00AD76E7">
        <w:rPr>
          <w:rFonts w:ascii="Calibri" w:hAnsi="Calibri" w:cs="Calibri"/>
          <w:sz w:val="20"/>
          <w:vertAlign w:val="subscript"/>
        </w:rPr>
        <w:t>dp</w:t>
      </w:r>
    </w:p>
    <w:p w:rsidR="00650445" w:rsidRPr="00AD76E7" w:rsidRDefault="00650445" w:rsidP="00650445">
      <w:pPr>
        <w:ind w:left="720" w:hanging="720"/>
        <w:jc w:val="both"/>
        <w:rPr>
          <w:rFonts w:ascii="Calibri" w:hAnsi="Calibri" w:cs="Calibri"/>
          <w:sz w:val="20"/>
        </w:rPr>
      </w:pPr>
      <w:r w:rsidRPr="00AD76E7">
        <w:rPr>
          <w:rFonts w:ascii="Calibri" w:hAnsi="Calibri" w:cs="Calibri"/>
          <w:sz w:val="20"/>
        </w:rPr>
        <w:t>kde</w:t>
      </w:r>
      <w:r w:rsidRPr="00AD76E7">
        <w:rPr>
          <w:rFonts w:ascii="Calibri" w:hAnsi="Calibri" w:cs="Calibri"/>
          <w:sz w:val="20"/>
        </w:rPr>
        <w:tab/>
        <w:t>θ</w:t>
      </w:r>
      <w:r w:rsidRPr="00AD76E7">
        <w:rPr>
          <w:rFonts w:ascii="Calibri" w:hAnsi="Calibri" w:cs="Calibri"/>
          <w:sz w:val="20"/>
          <w:vertAlign w:val="subscript"/>
        </w:rPr>
        <w:t xml:space="preserve">si,w,N </w:t>
      </w:r>
      <w:r w:rsidRPr="00AD76E7">
        <w:rPr>
          <w:rFonts w:ascii="Calibri" w:hAnsi="Calibri" w:cs="Calibri"/>
          <w:sz w:val="20"/>
        </w:rPr>
        <w:t>je požadovaná normalizovaná hodnota vnútornej povrchovej teploty výplne otvoru,      v °C</w:t>
      </w:r>
    </w:p>
    <w:p w:rsidR="00650445" w:rsidRPr="00AD76E7" w:rsidRDefault="00650445" w:rsidP="00650445">
      <w:pPr>
        <w:jc w:val="both"/>
        <w:rPr>
          <w:rFonts w:ascii="Calibri" w:hAnsi="Calibri" w:cs="Calibri"/>
          <w:sz w:val="20"/>
        </w:rPr>
      </w:pPr>
      <w:r w:rsidRPr="00AD76E7">
        <w:rPr>
          <w:rFonts w:ascii="Calibri" w:hAnsi="Calibri" w:cs="Calibri"/>
          <w:sz w:val="20"/>
        </w:rPr>
        <w:tab/>
        <w:t>θ</w:t>
      </w:r>
      <w:r w:rsidRPr="00AD76E7">
        <w:rPr>
          <w:rFonts w:ascii="Calibri" w:hAnsi="Calibri" w:cs="Calibri"/>
          <w:sz w:val="20"/>
          <w:vertAlign w:val="subscript"/>
        </w:rPr>
        <w:t>dp</w:t>
      </w:r>
      <w:r w:rsidRPr="00AD76E7">
        <w:rPr>
          <w:rFonts w:ascii="Calibri" w:hAnsi="Calibri" w:cs="Calibri"/>
          <w:sz w:val="20"/>
        </w:rPr>
        <w:t xml:space="preserve"> je teplota rosného bodu</w:t>
      </w:r>
    </w:p>
    <w:p w:rsidR="00650445" w:rsidRDefault="00650445" w:rsidP="00650445">
      <w:pPr>
        <w:jc w:val="both"/>
        <w:rPr>
          <w:rFonts w:ascii="Calibri" w:hAnsi="Calibri" w:cs="Calibri"/>
          <w:sz w:val="20"/>
        </w:rPr>
      </w:pPr>
    </w:p>
    <w:p w:rsidR="00D717DF" w:rsidRPr="00AD76E7" w:rsidRDefault="00D717DF" w:rsidP="00650445">
      <w:pPr>
        <w:jc w:val="both"/>
        <w:rPr>
          <w:rFonts w:ascii="Calibri" w:hAnsi="Calibri" w:cs="Calibri"/>
          <w:sz w:val="20"/>
        </w:rPr>
      </w:pPr>
    </w:p>
    <w:p w:rsidR="00650445" w:rsidRPr="00AD76E7" w:rsidRDefault="00650445" w:rsidP="00650445">
      <w:pPr>
        <w:pStyle w:val="Nadpis2"/>
        <w:numPr>
          <w:ilvl w:val="0"/>
          <w:numId w:val="0"/>
        </w:numPr>
        <w:ind w:left="397" w:hanging="397"/>
        <w:jc w:val="both"/>
        <w:rPr>
          <w:rFonts w:ascii="Calibri" w:hAnsi="Calibri" w:cs="Calibri"/>
          <w:szCs w:val="20"/>
        </w:rPr>
      </w:pPr>
      <w:bookmarkStart w:id="162" w:name="_Toc1897619"/>
      <w:r w:rsidRPr="00AD76E7">
        <w:rPr>
          <w:rFonts w:ascii="Calibri" w:hAnsi="Calibri" w:cs="Calibri"/>
          <w:szCs w:val="20"/>
        </w:rPr>
        <w:t>3.4 Energetické kritérium</w:t>
      </w:r>
      <w:bookmarkEnd w:id="162"/>
    </w:p>
    <w:p w:rsidR="00650445" w:rsidRPr="00AD76E7" w:rsidRDefault="00650445" w:rsidP="00650445">
      <w:pPr>
        <w:jc w:val="both"/>
        <w:rPr>
          <w:rFonts w:ascii="Calibri" w:hAnsi="Calibri" w:cs="Calibri"/>
          <w:sz w:val="20"/>
          <w:u w:val="single"/>
        </w:rPr>
      </w:pPr>
      <w:r w:rsidRPr="00AD76E7">
        <w:rPr>
          <w:rFonts w:ascii="Calibri" w:hAnsi="Calibri" w:cs="Calibri"/>
          <w:sz w:val="20"/>
          <w:u w:val="single"/>
        </w:rPr>
        <w:t xml:space="preserve">Výpočet mernej potreby tepla </w:t>
      </w:r>
    </w:p>
    <w:p w:rsidR="00650445" w:rsidRPr="00AD76E7" w:rsidRDefault="00650445" w:rsidP="00650445">
      <w:pPr>
        <w:jc w:val="both"/>
        <w:rPr>
          <w:rFonts w:ascii="Calibri" w:hAnsi="Calibri" w:cs="Calibri"/>
          <w:sz w:val="20"/>
        </w:rPr>
      </w:pPr>
      <w:r w:rsidRPr="00AD76E7">
        <w:rPr>
          <w:rFonts w:ascii="Calibri" w:hAnsi="Calibri" w:cs="Calibri"/>
          <w:sz w:val="20"/>
        </w:rPr>
        <w:t>Výpočet mernej potreby tepla Q</w:t>
      </w:r>
      <w:r w:rsidRPr="00AD76E7">
        <w:rPr>
          <w:rFonts w:ascii="Calibri" w:hAnsi="Calibri" w:cs="Calibri"/>
          <w:sz w:val="20"/>
          <w:vertAlign w:val="subscript"/>
        </w:rPr>
        <w:t xml:space="preserve">H,nd </w:t>
      </w:r>
      <w:r w:rsidRPr="00AD76E7">
        <w:rPr>
          <w:rFonts w:ascii="Calibri" w:hAnsi="Calibri" w:cs="Calibri"/>
          <w:sz w:val="20"/>
        </w:rPr>
        <w:t>pri uvažovaní neprerušovaného vykurovania je hodnotením energetického kritéria, ktoré zohľadňuje vplyv stavebných konštrukcií na maximálnu potrebu tepla bez zohľadnenia kategórie budovy podľa účelu jej užívania.</w:t>
      </w:r>
    </w:p>
    <w:p w:rsidR="00AD76E7" w:rsidRDefault="00AD76E7" w:rsidP="00650445">
      <w:pPr>
        <w:jc w:val="both"/>
        <w:rPr>
          <w:rFonts w:ascii="Calibri" w:hAnsi="Calibri" w:cs="Calibri"/>
          <w:sz w:val="20"/>
        </w:rPr>
      </w:pPr>
    </w:p>
    <w:p w:rsidR="00650445" w:rsidRPr="00AD76E7" w:rsidRDefault="00650445" w:rsidP="00650445">
      <w:pPr>
        <w:jc w:val="both"/>
        <w:rPr>
          <w:rFonts w:ascii="Calibri" w:hAnsi="Calibri" w:cs="Calibri"/>
          <w:sz w:val="20"/>
        </w:rPr>
      </w:pPr>
      <w:r w:rsidRPr="00AD76E7">
        <w:rPr>
          <w:rFonts w:ascii="Calibri" w:hAnsi="Calibri" w:cs="Calibri"/>
          <w:sz w:val="20"/>
        </w:rPr>
        <w:t>Q</w:t>
      </w:r>
      <w:r w:rsidRPr="00AD76E7">
        <w:rPr>
          <w:rFonts w:ascii="Calibri" w:hAnsi="Calibri" w:cs="Calibri"/>
          <w:sz w:val="20"/>
          <w:vertAlign w:val="subscript"/>
        </w:rPr>
        <w:t>H,nd</w:t>
      </w:r>
      <w:r w:rsidRPr="00AD76E7">
        <w:rPr>
          <w:rFonts w:ascii="Calibri" w:hAnsi="Calibri" w:cs="Calibri"/>
          <w:sz w:val="20"/>
        </w:rPr>
        <w:t xml:space="preserve"> ≤ Q</w:t>
      </w:r>
      <w:r w:rsidRPr="00AD76E7">
        <w:rPr>
          <w:rFonts w:ascii="Calibri" w:hAnsi="Calibri" w:cs="Calibri"/>
          <w:sz w:val="20"/>
          <w:vertAlign w:val="subscript"/>
        </w:rPr>
        <w:t>H,nd,N</w:t>
      </w:r>
    </w:p>
    <w:p w:rsidR="00650445" w:rsidRPr="00AD76E7" w:rsidRDefault="00650445" w:rsidP="00650445">
      <w:pPr>
        <w:ind w:left="720" w:hanging="720"/>
        <w:jc w:val="both"/>
        <w:rPr>
          <w:rFonts w:ascii="Calibri" w:hAnsi="Calibri" w:cs="Calibri"/>
          <w:sz w:val="20"/>
        </w:rPr>
      </w:pPr>
      <w:r w:rsidRPr="00AD76E7">
        <w:rPr>
          <w:rFonts w:ascii="Calibri" w:hAnsi="Calibri" w:cs="Calibri"/>
          <w:sz w:val="20"/>
        </w:rPr>
        <w:t xml:space="preserve">kde </w:t>
      </w:r>
      <w:r w:rsidRPr="00AD76E7">
        <w:rPr>
          <w:rFonts w:ascii="Calibri" w:hAnsi="Calibri" w:cs="Calibri"/>
          <w:sz w:val="20"/>
        </w:rPr>
        <w:tab/>
        <w:t>Q</w:t>
      </w:r>
      <w:r w:rsidRPr="00AD76E7">
        <w:rPr>
          <w:rFonts w:ascii="Calibri" w:hAnsi="Calibri" w:cs="Calibri"/>
          <w:sz w:val="20"/>
          <w:vertAlign w:val="subscript"/>
        </w:rPr>
        <w:t xml:space="preserve">H,nd,N </w:t>
      </w:r>
      <w:r w:rsidRPr="00AD76E7">
        <w:rPr>
          <w:rFonts w:ascii="Calibri" w:hAnsi="Calibri" w:cs="Calibri"/>
          <w:sz w:val="20"/>
        </w:rPr>
        <w:t>je normalizovaná hodnota mernej potreby tepla, stanovená v kWh/(m</w:t>
      </w:r>
      <w:r w:rsidRPr="00AD76E7">
        <w:rPr>
          <w:rFonts w:ascii="Calibri" w:hAnsi="Calibri" w:cs="Calibri"/>
          <w:sz w:val="20"/>
          <w:vertAlign w:val="superscript"/>
        </w:rPr>
        <w:t>2</w:t>
      </w:r>
      <w:r w:rsidRPr="00AD76E7">
        <w:rPr>
          <w:rFonts w:ascii="Calibri" w:hAnsi="Calibri" w:cs="Calibri"/>
          <w:sz w:val="20"/>
        </w:rPr>
        <w:t>.a) pre bytové a nebytové budovy a je stanovená pre nebytové budovy s konštrukčnou výškou viac ako 2,8 m, ktoré nespĺňajú prvú požiadavku, v kWh/(m</w:t>
      </w:r>
      <w:r w:rsidRPr="00AD76E7">
        <w:rPr>
          <w:rFonts w:ascii="Calibri" w:hAnsi="Calibri" w:cs="Calibri"/>
          <w:sz w:val="20"/>
          <w:vertAlign w:val="superscript"/>
        </w:rPr>
        <w:t>3</w:t>
      </w:r>
      <w:r w:rsidRPr="00AD76E7">
        <w:rPr>
          <w:rFonts w:ascii="Calibri" w:hAnsi="Calibri" w:cs="Calibri"/>
          <w:sz w:val="20"/>
        </w:rPr>
        <w:t>.a)</w:t>
      </w:r>
    </w:p>
    <w:p w:rsidR="00650445" w:rsidRPr="00AD76E7" w:rsidRDefault="00650445" w:rsidP="00650445">
      <w:pPr>
        <w:ind w:firstLine="720"/>
        <w:jc w:val="both"/>
        <w:rPr>
          <w:rFonts w:ascii="Calibri" w:hAnsi="Calibri" w:cs="Calibri"/>
          <w:sz w:val="20"/>
        </w:rPr>
      </w:pPr>
      <w:r w:rsidRPr="00AD76E7">
        <w:rPr>
          <w:rFonts w:ascii="Calibri" w:hAnsi="Calibri" w:cs="Calibri"/>
          <w:sz w:val="20"/>
        </w:rPr>
        <w:t>Q</w:t>
      </w:r>
      <w:r w:rsidRPr="00AD76E7">
        <w:rPr>
          <w:rFonts w:ascii="Calibri" w:hAnsi="Calibri" w:cs="Calibri"/>
          <w:sz w:val="20"/>
          <w:vertAlign w:val="subscript"/>
        </w:rPr>
        <w:t xml:space="preserve">H,nd </w:t>
      </w:r>
      <w:r w:rsidRPr="00AD76E7">
        <w:rPr>
          <w:rFonts w:ascii="Calibri" w:hAnsi="Calibri" w:cs="Calibri"/>
          <w:sz w:val="20"/>
        </w:rPr>
        <w:t>je merná potreba tepla, v kWh/(m</w:t>
      </w:r>
      <w:r w:rsidRPr="00AD76E7">
        <w:rPr>
          <w:rFonts w:ascii="Calibri" w:hAnsi="Calibri" w:cs="Calibri"/>
          <w:sz w:val="20"/>
          <w:vertAlign w:val="superscript"/>
        </w:rPr>
        <w:t>2</w:t>
      </w:r>
      <w:r w:rsidRPr="00AD76E7">
        <w:rPr>
          <w:rFonts w:ascii="Calibri" w:hAnsi="Calibri" w:cs="Calibri"/>
          <w:sz w:val="20"/>
        </w:rPr>
        <w:t>.a) alebo v kWh/(m</w:t>
      </w:r>
      <w:r w:rsidRPr="00AD76E7">
        <w:rPr>
          <w:rFonts w:ascii="Calibri" w:hAnsi="Calibri" w:cs="Calibri"/>
          <w:sz w:val="20"/>
          <w:vertAlign w:val="superscript"/>
        </w:rPr>
        <w:t>3</w:t>
      </w:r>
      <w:r w:rsidRPr="00AD76E7">
        <w:rPr>
          <w:rFonts w:ascii="Calibri" w:hAnsi="Calibri" w:cs="Calibri"/>
          <w:sz w:val="20"/>
        </w:rPr>
        <w:t>.a).</w:t>
      </w:r>
    </w:p>
    <w:p w:rsidR="00650445" w:rsidRPr="00AD76E7" w:rsidRDefault="00650445" w:rsidP="00650445">
      <w:pPr>
        <w:jc w:val="both"/>
        <w:rPr>
          <w:rFonts w:ascii="Calibri" w:hAnsi="Calibri" w:cs="Calibri"/>
          <w:sz w:val="20"/>
        </w:rPr>
      </w:pPr>
    </w:p>
    <w:p w:rsidR="00650445" w:rsidRPr="00AD76E7" w:rsidRDefault="00650445" w:rsidP="00165ED7">
      <w:pPr>
        <w:pStyle w:val="Nadpis1"/>
      </w:pPr>
      <w:bookmarkStart w:id="163" w:name="_Toc1897620"/>
      <w:r w:rsidRPr="00AD76E7">
        <w:t>4. Vyhodnotenie</w:t>
      </w:r>
      <w:bookmarkEnd w:id="163"/>
    </w:p>
    <w:p w:rsidR="00650445" w:rsidRPr="00AD76E7" w:rsidRDefault="00650445" w:rsidP="00650445">
      <w:pPr>
        <w:pStyle w:val="Nadpis2"/>
        <w:numPr>
          <w:ilvl w:val="0"/>
          <w:numId w:val="0"/>
        </w:numPr>
        <w:ind w:left="397" w:hanging="397"/>
        <w:jc w:val="both"/>
        <w:rPr>
          <w:rFonts w:ascii="Calibri" w:hAnsi="Calibri" w:cs="Calibri"/>
          <w:szCs w:val="20"/>
        </w:rPr>
      </w:pPr>
      <w:bookmarkStart w:id="164" w:name="_Toc1897621"/>
      <w:r w:rsidRPr="00AD76E7">
        <w:rPr>
          <w:rFonts w:ascii="Calibri" w:hAnsi="Calibri" w:cs="Calibri"/>
          <w:szCs w:val="20"/>
        </w:rPr>
        <w:t>4.1 Vyhodnotenie tepelnoizolačných vlastností stavebných konštrukcií podľa STN EN 73 0540</w:t>
      </w:r>
      <w:bookmarkEnd w:id="164"/>
    </w:p>
    <w:p w:rsidR="00650445" w:rsidRPr="00AD76E7" w:rsidRDefault="00650445" w:rsidP="00650445">
      <w:pPr>
        <w:pStyle w:val="Nadpis3"/>
        <w:numPr>
          <w:ilvl w:val="0"/>
          <w:numId w:val="0"/>
        </w:numPr>
        <w:ind w:left="397" w:hanging="397"/>
        <w:jc w:val="both"/>
        <w:rPr>
          <w:rFonts w:ascii="Calibri" w:hAnsi="Calibri" w:cs="Calibri"/>
        </w:rPr>
      </w:pPr>
      <w:bookmarkStart w:id="165" w:name="_Toc1897622"/>
      <w:r w:rsidRPr="00AD76E7">
        <w:rPr>
          <w:rFonts w:ascii="Calibri" w:hAnsi="Calibri" w:cs="Calibri"/>
        </w:rPr>
        <w:t>4.1.1 Súčiniteľ prechodu tepla</w:t>
      </w:r>
      <w:bookmarkEnd w:id="165"/>
      <w:r w:rsidRPr="00AD76E7">
        <w:rPr>
          <w:rFonts w:ascii="Calibri" w:hAnsi="Calibri" w:cs="Calibri"/>
        </w:rPr>
        <w:t xml:space="preserve">  </w:t>
      </w:r>
    </w:p>
    <w:p w:rsidR="00650445" w:rsidRPr="00AD76E7" w:rsidRDefault="00650445" w:rsidP="00650445">
      <w:pPr>
        <w:autoSpaceDE w:val="0"/>
        <w:autoSpaceDN w:val="0"/>
        <w:adjustRightInd w:val="0"/>
        <w:ind w:firstLine="708"/>
        <w:jc w:val="both"/>
        <w:rPr>
          <w:rFonts w:ascii="Calibri" w:hAnsi="Calibri" w:cs="Calibri"/>
          <w:sz w:val="20"/>
        </w:rPr>
      </w:pPr>
    </w:p>
    <w:tbl>
      <w:tblPr>
        <w:tblStyle w:val="Mriekatabuky"/>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3104"/>
        <w:gridCol w:w="2055"/>
        <w:gridCol w:w="418"/>
        <w:gridCol w:w="2048"/>
        <w:gridCol w:w="1401"/>
      </w:tblGrid>
      <w:tr w:rsidR="00650445" w:rsidRPr="00AD76E7" w:rsidTr="00616A16">
        <w:tc>
          <w:tcPr>
            <w:tcW w:w="3227" w:type="dxa"/>
            <w:tcBorders>
              <w:top w:val="single" w:sz="18" w:space="0" w:color="auto"/>
              <w:bottom w:val="single" w:sz="18" w:space="0" w:color="auto"/>
            </w:tcBorders>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Posudzované fragmenty</w:t>
            </w:r>
          </w:p>
        </w:tc>
        <w:tc>
          <w:tcPr>
            <w:tcW w:w="2126" w:type="dxa"/>
            <w:tcBorders>
              <w:top w:val="single" w:sz="18" w:space="0" w:color="auto"/>
              <w:bottom w:val="single" w:sz="18" w:space="0" w:color="auto"/>
            </w:tcBorders>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Súčiniteľ prechodu tepla U</w:t>
            </w:r>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[W/m2K]</w:t>
            </w:r>
          </w:p>
        </w:tc>
        <w:tc>
          <w:tcPr>
            <w:tcW w:w="425" w:type="dxa"/>
            <w:tcBorders>
              <w:top w:val="single" w:sz="18" w:space="0" w:color="auto"/>
              <w:bottom w:val="single" w:sz="18" w:space="0" w:color="auto"/>
            </w:tcBorders>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tc>
        <w:tc>
          <w:tcPr>
            <w:tcW w:w="2088" w:type="dxa"/>
            <w:tcBorders>
              <w:top w:val="single" w:sz="18" w:space="0" w:color="auto"/>
              <w:bottom w:val="single" w:sz="18" w:space="0" w:color="auto"/>
            </w:tcBorders>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Normalizovaný súčiniteľ prechodu tepla U</w:t>
            </w:r>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[W/m2K]]</w:t>
            </w:r>
          </w:p>
        </w:tc>
        <w:tc>
          <w:tcPr>
            <w:tcW w:w="1422" w:type="dxa"/>
            <w:tcBorders>
              <w:top w:val="single" w:sz="18" w:space="0" w:color="auto"/>
              <w:bottom w:val="single" w:sz="18" w:space="0" w:color="auto"/>
            </w:tcBorders>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Posúdenie</w:t>
            </w:r>
          </w:p>
        </w:tc>
      </w:tr>
      <w:tr w:rsidR="00650445" w:rsidRPr="00AD76E7" w:rsidTr="00616A16">
        <w:tc>
          <w:tcPr>
            <w:tcW w:w="3227" w:type="dxa"/>
            <w:tcBorders>
              <w:top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sz w:val="20"/>
              </w:rPr>
              <w:t>Strecha- šikmá</w:t>
            </w:r>
          </w:p>
        </w:tc>
        <w:tc>
          <w:tcPr>
            <w:tcW w:w="2126" w:type="dxa"/>
            <w:tcBorders>
              <w:top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0,12</w:t>
            </w:r>
          </w:p>
        </w:tc>
        <w:tc>
          <w:tcPr>
            <w:tcW w:w="425" w:type="dxa"/>
            <w:tcBorders>
              <w:top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bCs/>
                <w:sz w:val="20"/>
              </w:rPr>
              <w:t>&lt;</w:t>
            </w:r>
          </w:p>
        </w:tc>
        <w:tc>
          <w:tcPr>
            <w:tcW w:w="2088" w:type="dxa"/>
            <w:tcBorders>
              <w:top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0,15</w:t>
            </w:r>
          </w:p>
        </w:tc>
        <w:tc>
          <w:tcPr>
            <w:tcW w:w="1422" w:type="dxa"/>
            <w:tcBorders>
              <w:top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AD76E7">
              <w:rPr>
                <w:rFonts w:ascii="Calibri" w:hAnsi="Calibri" w:cs="Calibri"/>
                <w:bCs/>
                <w:i/>
                <w:sz w:val="20"/>
              </w:rPr>
              <w:t>VYHOVUJE</w:t>
            </w:r>
          </w:p>
        </w:tc>
      </w:tr>
      <w:tr w:rsidR="00650445" w:rsidRPr="00AD76E7" w:rsidTr="00616A16">
        <w:tc>
          <w:tcPr>
            <w:tcW w:w="3227"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sz w:val="20"/>
              </w:rPr>
              <w:t>Strecha - plochá</w:t>
            </w:r>
          </w:p>
        </w:tc>
        <w:tc>
          <w:tcPr>
            <w:tcW w:w="2126"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0,12</w:t>
            </w:r>
          </w:p>
        </w:tc>
        <w:tc>
          <w:tcPr>
            <w:tcW w:w="425"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bCs/>
                <w:sz w:val="20"/>
              </w:rPr>
              <w:t>&lt;</w:t>
            </w:r>
          </w:p>
        </w:tc>
        <w:tc>
          <w:tcPr>
            <w:tcW w:w="2088"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0,15</w:t>
            </w:r>
          </w:p>
        </w:tc>
        <w:tc>
          <w:tcPr>
            <w:tcW w:w="1422"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AD76E7">
              <w:rPr>
                <w:rFonts w:ascii="Calibri" w:hAnsi="Calibri" w:cs="Calibri"/>
                <w:bCs/>
                <w:i/>
                <w:sz w:val="20"/>
              </w:rPr>
              <w:t>VYHOVUJE</w:t>
            </w:r>
          </w:p>
        </w:tc>
      </w:tr>
      <w:tr w:rsidR="00650445" w:rsidRPr="00AD76E7" w:rsidTr="00616A16">
        <w:tc>
          <w:tcPr>
            <w:tcW w:w="3227"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sz w:val="20"/>
              </w:rPr>
              <w:t>Obvodová stena</w:t>
            </w:r>
          </w:p>
        </w:tc>
        <w:tc>
          <w:tcPr>
            <w:tcW w:w="2126"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0,14</w:t>
            </w:r>
          </w:p>
        </w:tc>
        <w:tc>
          <w:tcPr>
            <w:tcW w:w="425"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bCs/>
                <w:sz w:val="20"/>
              </w:rPr>
              <w:t>&lt;</w:t>
            </w:r>
          </w:p>
        </w:tc>
        <w:tc>
          <w:tcPr>
            <w:tcW w:w="2088"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0,22</w:t>
            </w:r>
          </w:p>
        </w:tc>
        <w:tc>
          <w:tcPr>
            <w:tcW w:w="1422"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AD76E7">
              <w:rPr>
                <w:rFonts w:ascii="Calibri" w:hAnsi="Calibri" w:cs="Calibri"/>
                <w:bCs/>
                <w:i/>
                <w:sz w:val="20"/>
              </w:rPr>
              <w:t>VYHOVUJE</w:t>
            </w:r>
          </w:p>
        </w:tc>
      </w:tr>
      <w:tr w:rsidR="00650445" w:rsidRPr="00AD76E7" w:rsidTr="00616A16">
        <w:tc>
          <w:tcPr>
            <w:tcW w:w="3227"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sz w:val="20"/>
              </w:rPr>
            </w:pPr>
            <w:r w:rsidRPr="00AD76E7">
              <w:rPr>
                <w:rFonts w:ascii="Calibri" w:hAnsi="Calibri" w:cs="Calibri"/>
                <w:sz w:val="20"/>
              </w:rPr>
              <w:t>Strop nad suterénom</w:t>
            </w:r>
          </w:p>
        </w:tc>
        <w:tc>
          <w:tcPr>
            <w:tcW w:w="2126"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0,37</w:t>
            </w:r>
          </w:p>
        </w:tc>
        <w:tc>
          <w:tcPr>
            <w:tcW w:w="425"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bCs/>
                <w:sz w:val="20"/>
              </w:rPr>
              <w:t>&lt;</w:t>
            </w:r>
          </w:p>
        </w:tc>
        <w:tc>
          <w:tcPr>
            <w:tcW w:w="2088"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0,60</w:t>
            </w:r>
          </w:p>
        </w:tc>
        <w:tc>
          <w:tcPr>
            <w:tcW w:w="1422"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AD76E7">
              <w:rPr>
                <w:rFonts w:ascii="Calibri" w:hAnsi="Calibri" w:cs="Calibri"/>
                <w:bCs/>
                <w:i/>
                <w:sz w:val="20"/>
              </w:rPr>
              <w:t>VYHOVUJE</w:t>
            </w:r>
          </w:p>
        </w:tc>
      </w:tr>
      <w:tr w:rsidR="00650445" w:rsidRPr="00AD76E7" w:rsidTr="00616A16">
        <w:tc>
          <w:tcPr>
            <w:tcW w:w="3227"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sz w:val="20"/>
              </w:rPr>
            </w:pPr>
            <w:r w:rsidRPr="00AD76E7">
              <w:rPr>
                <w:rFonts w:ascii="Calibri" w:hAnsi="Calibri" w:cs="Calibri"/>
                <w:sz w:val="20"/>
              </w:rPr>
              <w:t>Vnútorná stena</w:t>
            </w:r>
          </w:p>
        </w:tc>
        <w:tc>
          <w:tcPr>
            <w:tcW w:w="2126"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0,81</w:t>
            </w:r>
          </w:p>
        </w:tc>
        <w:tc>
          <w:tcPr>
            <w:tcW w:w="425"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bCs/>
                <w:sz w:val="20"/>
              </w:rPr>
              <w:t>&lt;</w:t>
            </w:r>
          </w:p>
        </w:tc>
        <w:tc>
          <w:tcPr>
            <w:tcW w:w="2088"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1,20</w:t>
            </w:r>
          </w:p>
        </w:tc>
        <w:tc>
          <w:tcPr>
            <w:tcW w:w="1422"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AD76E7">
              <w:rPr>
                <w:rFonts w:ascii="Calibri" w:hAnsi="Calibri" w:cs="Calibri"/>
                <w:bCs/>
                <w:i/>
                <w:sz w:val="20"/>
              </w:rPr>
              <w:t>VYHOVUJE</w:t>
            </w:r>
          </w:p>
        </w:tc>
      </w:tr>
      <w:tr w:rsidR="00650445" w:rsidRPr="00AD76E7" w:rsidTr="00616A16">
        <w:tc>
          <w:tcPr>
            <w:tcW w:w="3227" w:type="dxa"/>
            <w:tcBorders>
              <w:bottom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sz w:val="20"/>
              </w:rPr>
            </w:pPr>
            <w:r w:rsidRPr="00AD76E7">
              <w:rPr>
                <w:rFonts w:ascii="Calibri" w:hAnsi="Calibri" w:cs="Calibri"/>
                <w:sz w:val="20"/>
              </w:rPr>
              <w:lastRenderedPageBreak/>
              <w:t>Okná</w:t>
            </w:r>
          </w:p>
        </w:tc>
        <w:tc>
          <w:tcPr>
            <w:tcW w:w="2126" w:type="dxa"/>
            <w:tcBorders>
              <w:bottom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0,69</w:t>
            </w:r>
          </w:p>
        </w:tc>
        <w:tc>
          <w:tcPr>
            <w:tcW w:w="425" w:type="dxa"/>
            <w:tcBorders>
              <w:bottom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bCs/>
                <w:sz w:val="20"/>
              </w:rPr>
              <w:t>&lt;</w:t>
            </w:r>
          </w:p>
        </w:tc>
        <w:tc>
          <w:tcPr>
            <w:tcW w:w="2088" w:type="dxa"/>
            <w:tcBorders>
              <w:bottom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1,00</w:t>
            </w:r>
          </w:p>
        </w:tc>
        <w:tc>
          <w:tcPr>
            <w:tcW w:w="1422" w:type="dxa"/>
            <w:tcBorders>
              <w:bottom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AD76E7">
              <w:rPr>
                <w:rFonts w:ascii="Calibri" w:hAnsi="Calibri" w:cs="Calibri"/>
                <w:bCs/>
                <w:i/>
                <w:sz w:val="20"/>
              </w:rPr>
              <w:t>VYHOVUJE</w:t>
            </w:r>
          </w:p>
        </w:tc>
      </w:tr>
    </w:tbl>
    <w:p w:rsidR="00650445" w:rsidRPr="00AD76E7" w:rsidRDefault="00650445" w:rsidP="00650445">
      <w:pPr>
        <w:pStyle w:val="Nadpis3"/>
        <w:numPr>
          <w:ilvl w:val="0"/>
          <w:numId w:val="0"/>
        </w:numPr>
        <w:ind w:left="397" w:hanging="397"/>
        <w:jc w:val="both"/>
        <w:rPr>
          <w:rFonts w:ascii="Calibri" w:hAnsi="Calibri" w:cs="Calibri"/>
        </w:rPr>
      </w:pPr>
      <w:bookmarkStart w:id="166" w:name="_Toc1897623"/>
      <w:r w:rsidRPr="00AD76E7">
        <w:rPr>
          <w:rFonts w:ascii="Calibri" w:hAnsi="Calibri" w:cs="Calibri"/>
        </w:rPr>
        <w:t>4.1.2 Tepelný odpor</w:t>
      </w:r>
      <w:bookmarkEnd w:id="166"/>
      <w:r w:rsidRPr="00AD76E7">
        <w:rPr>
          <w:rFonts w:ascii="Calibri" w:hAnsi="Calibri" w:cs="Calibri"/>
        </w:rPr>
        <w:t xml:space="preserve">  </w:t>
      </w:r>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tbl>
      <w:tblPr>
        <w:tblStyle w:val="Mriekatabuky"/>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3104"/>
        <w:gridCol w:w="2054"/>
        <w:gridCol w:w="418"/>
        <w:gridCol w:w="2049"/>
        <w:gridCol w:w="1401"/>
      </w:tblGrid>
      <w:tr w:rsidR="00650445" w:rsidRPr="00AD76E7" w:rsidTr="00616A16">
        <w:tc>
          <w:tcPr>
            <w:tcW w:w="3227" w:type="dxa"/>
            <w:tcBorders>
              <w:top w:val="single" w:sz="18" w:space="0" w:color="auto"/>
              <w:bottom w:val="single" w:sz="18" w:space="0" w:color="auto"/>
            </w:tcBorders>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Posudzované fragmenty</w:t>
            </w:r>
          </w:p>
        </w:tc>
        <w:tc>
          <w:tcPr>
            <w:tcW w:w="2126" w:type="dxa"/>
            <w:tcBorders>
              <w:top w:val="single" w:sz="18" w:space="0" w:color="auto"/>
              <w:bottom w:val="single" w:sz="18" w:space="0" w:color="auto"/>
            </w:tcBorders>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Tepelný odpor R</w:t>
            </w:r>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[m2K/W]</w:t>
            </w:r>
          </w:p>
        </w:tc>
        <w:tc>
          <w:tcPr>
            <w:tcW w:w="425" w:type="dxa"/>
            <w:tcBorders>
              <w:top w:val="single" w:sz="18" w:space="0" w:color="auto"/>
              <w:bottom w:val="single" w:sz="18" w:space="0" w:color="auto"/>
            </w:tcBorders>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tc>
        <w:tc>
          <w:tcPr>
            <w:tcW w:w="2088" w:type="dxa"/>
            <w:tcBorders>
              <w:top w:val="single" w:sz="18" w:space="0" w:color="auto"/>
              <w:bottom w:val="single" w:sz="18" w:space="0" w:color="auto"/>
            </w:tcBorders>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Normalizovaný tepelný odpor</w:t>
            </w:r>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[m2K/W]</w:t>
            </w:r>
          </w:p>
        </w:tc>
        <w:tc>
          <w:tcPr>
            <w:tcW w:w="1422" w:type="dxa"/>
            <w:tcBorders>
              <w:top w:val="single" w:sz="18" w:space="0" w:color="auto"/>
              <w:bottom w:val="single" w:sz="18" w:space="0" w:color="auto"/>
            </w:tcBorders>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Posúdenie</w:t>
            </w:r>
          </w:p>
        </w:tc>
      </w:tr>
      <w:tr w:rsidR="00650445" w:rsidRPr="00AD76E7" w:rsidTr="00616A16">
        <w:tc>
          <w:tcPr>
            <w:tcW w:w="3227" w:type="dxa"/>
            <w:tcBorders>
              <w:top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sz w:val="20"/>
              </w:rPr>
              <w:t>Strecha- šikmá</w:t>
            </w:r>
          </w:p>
        </w:tc>
        <w:tc>
          <w:tcPr>
            <w:tcW w:w="2126" w:type="dxa"/>
            <w:tcBorders>
              <w:top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8,04</w:t>
            </w:r>
          </w:p>
        </w:tc>
        <w:tc>
          <w:tcPr>
            <w:tcW w:w="425" w:type="dxa"/>
            <w:tcBorders>
              <w:top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bCs/>
                <w:sz w:val="20"/>
              </w:rPr>
              <w:t>&gt;</w:t>
            </w:r>
          </w:p>
        </w:tc>
        <w:tc>
          <w:tcPr>
            <w:tcW w:w="2088" w:type="dxa"/>
            <w:tcBorders>
              <w:top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6,50</w:t>
            </w:r>
          </w:p>
        </w:tc>
        <w:tc>
          <w:tcPr>
            <w:tcW w:w="1422" w:type="dxa"/>
            <w:tcBorders>
              <w:top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AD76E7">
              <w:rPr>
                <w:rFonts w:ascii="Calibri" w:hAnsi="Calibri" w:cs="Calibri"/>
                <w:bCs/>
                <w:i/>
                <w:sz w:val="20"/>
              </w:rPr>
              <w:t>VYHOVUJE</w:t>
            </w:r>
          </w:p>
        </w:tc>
      </w:tr>
      <w:tr w:rsidR="00650445" w:rsidRPr="00AD76E7" w:rsidTr="00616A16">
        <w:tc>
          <w:tcPr>
            <w:tcW w:w="3227"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sz w:val="20"/>
              </w:rPr>
              <w:t>Strecha - plochá</w:t>
            </w:r>
          </w:p>
        </w:tc>
        <w:tc>
          <w:tcPr>
            <w:tcW w:w="2126"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8,47</w:t>
            </w:r>
          </w:p>
        </w:tc>
        <w:tc>
          <w:tcPr>
            <w:tcW w:w="425"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bCs/>
                <w:sz w:val="20"/>
              </w:rPr>
              <w:t>&gt;</w:t>
            </w:r>
          </w:p>
        </w:tc>
        <w:tc>
          <w:tcPr>
            <w:tcW w:w="2088"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6,50</w:t>
            </w:r>
          </w:p>
        </w:tc>
        <w:tc>
          <w:tcPr>
            <w:tcW w:w="1422"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AD76E7">
              <w:rPr>
                <w:rFonts w:ascii="Calibri" w:hAnsi="Calibri" w:cs="Calibri"/>
                <w:bCs/>
                <w:i/>
                <w:sz w:val="20"/>
              </w:rPr>
              <w:t>VYHOVUJE</w:t>
            </w:r>
          </w:p>
        </w:tc>
      </w:tr>
      <w:tr w:rsidR="00650445" w:rsidRPr="00AD76E7" w:rsidTr="00616A16">
        <w:tc>
          <w:tcPr>
            <w:tcW w:w="3227"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sz w:val="20"/>
              </w:rPr>
              <w:t>Obvodová stena</w:t>
            </w:r>
          </w:p>
        </w:tc>
        <w:tc>
          <w:tcPr>
            <w:tcW w:w="2126"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6,83</w:t>
            </w:r>
          </w:p>
        </w:tc>
        <w:tc>
          <w:tcPr>
            <w:tcW w:w="425"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bCs/>
                <w:sz w:val="20"/>
              </w:rPr>
              <w:t>&gt;</w:t>
            </w:r>
          </w:p>
        </w:tc>
        <w:tc>
          <w:tcPr>
            <w:tcW w:w="2088"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4,40</w:t>
            </w:r>
          </w:p>
        </w:tc>
        <w:tc>
          <w:tcPr>
            <w:tcW w:w="1422"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AD76E7">
              <w:rPr>
                <w:rFonts w:ascii="Calibri" w:hAnsi="Calibri" w:cs="Calibri"/>
                <w:bCs/>
                <w:i/>
                <w:sz w:val="20"/>
              </w:rPr>
              <w:t>VYHOVUJE</w:t>
            </w:r>
          </w:p>
        </w:tc>
      </w:tr>
      <w:tr w:rsidR="00650445" w:rsidRPr="00AD76E7" w:rsidTr="00616A16">
        <w:tc>
          <w:tcPr>
            <w:tcW w:w="3227"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sz w:val="20"/>
              </w:rPr>
            </w:pPr>
            <w:r w:rsidRPr="00AD76E7">
              <w:rPr>
                <w:rFonts w:ascii="Calibri" w:hAnsi="Calibri" w:cs="Calibri"/>
                <w:sz w:val="20"/>
              </w:rPr>
              <w:t>Strop nad suterénom</w:t>
            </w:r>
          </w:p>
        </w:tc>
        <w:tc>
          <w:tcPr>
            <w:tcW w:w="2126"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2,56</w:t>
            </w:r>
          </w:p>
        </w:tc>
        <w:tc>
          <w:tcPr>
            <w:tcW w:w="425"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bCs/>
                <w:sz w:val="20"/>
              </w:rPr>
              <w:t>&gt;</w:t>
            </w:r>
          </w:p>
        </w:tc>
        <w:tc>
          <w:tcPr>
            <w:tcW w:w="2088"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1,50</w:t>
            </w:r>
          </w:p>
        </w:tc>
        <w:tc>
          <w:tcPr>
            <w:tcW w:w="1422" w:type="dxa"/>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AD76E7">
              <w:rPr>
                <w:rFonts w:ascii="Calibri" w:hAnsi="Calibri" w:cs="Calibri"/>
                <w:bCs/>
                <w:i/>
                <w:sz w:val="20"/>
              </w:rPr>
              <w:t>VYHOVUJE</w:t>
            </w:r>
          </w:p>
        </w:tc>
      </w:tr>
      <w:tr w:rsidR="00650445" w:rsidRPr="00AD76E7" w:rsidTr="00616A16">
        <w:tc>
          <w:tcPr>
            <w:tcW w:w="3227" w:type="dxa"/>
            <w:tcBorders>
              <w:bottom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sz w:val="20"/>
              </w:rPr>
            </w:pPr>
            <w:r w:rsidRPr="00AD76E7">
              <w:rPr>
                <w:rFonts w:ascii="Calibri" w:hAnsi="Calibri" w:cs="Calibri"/>
                <w:sz w:val="20"/>
              </w:rPr>
              <w:t>Vnútorná stena</w:t>
            </w:r>
          </w:p>
        </w:tc>
        <w:tc>
          <w:tcPr>
            <w:tcW w:w="2126" w:type="dxa"/>
            <w:tcBorders>
              <w:bottom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1,06</w:t>
            </w:r>
          </w:p>
        </w:tc>
        <w:tc>
          <w:tcPr>
            <w:tcW w:w="425" w:type="dxa"/>
            <w:tcBorders>
              <w:bottom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sz w:val="20"/>
              </w:rPr>
            </w:pPr>
            <w:r w:rsidRPr="00AD76E7">
              <w:rPr>
                <w:rFonts w:ascii="Calibri" w:hAnsi="Calibri" w:cs="Calibri"/>
                <w:bCs/>
                <w:sz w:val="20"/>
              </w:rPr>
              <w:t>&gt;</w:t>
            </w:r>
          </w:p>
        </w:tc>
        <w:tc>
          <w:tcPr>
            <w:tcW w:w="2088" w:type="dxa"/>
            <w:tcBorders>
              <w:bottom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0,60</w:t>
            </w:r>
          </w:p>
        </w:tc>
        <w:tc>
          <w:tcPr>
            <w:tcW w:w="1422" w:type="dxa"/>
            <w:tcBorders>
              <w:bottom w:val="single" w:sz="18" w:space="0" w:color="auto"/>
            </w:tcBorders>
            <w:vAlign w:val="center"/>
          </w:tcPr>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Cs/>
                <w:i/>
                <w:sz w:val="20"/>
              </w:rPr>
            </w:pPr>
            <w:r w:rsidRPr="00AD76E7">
              <w:rPr>
                <w:rFonts w:ascii="Calibri" w:hAnsi="Calibri" w:cs="Calibri"/>
                <w:bCs/>
                <w:i/>
                <w:sz w:val="20"/>
              </w:rPr>
              <w:t>VYHOVUJE</w:t>
            </w:r>
          </w:p>
        </w:tc>
      </w:tr>
    </w:tbl>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p w:rsidR="00650445" w:rsidRPr="00AD76E7" w:rsidRDefault="00650445" w:rsidP="00650445">
      <w:pPr>
        <w:autoSpaceDE w:val="0"/>
        <w:autoSpaceDN w:val="0"/>
        <w:adjustRightInd w:val="0"/>
        <w:jc w:val="both"/>
        <w:rPr>
          <w:rFonts w:ascii="Calibri" w:hAnsi="Calibri" w:cs="Calibri"/>
          <w:b/>
          <w:sz w:val="20"/>
        </w:rPr>
      </w:pPr>
      <w:r w:rsidRPr="00AD76E7">
        <w:rPr>
          <w:rFonts w:ascii="Calibri" w:hAnsi="Calibri" w:cs="Calibri"/>
          <w:b/>
          <w:sz w:val="20"/>
        </w:rPr>
        <w:t>Záverom možno konštatovať, že pri dodržaní technologických predpisov a materiálov popísaných v projektovej dokumentácii sa na streche, na obvodovej stene a na podlahe na teréne SPLNIA podmienky podľa STN 73 0540.</w:t>
      </w:r>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color w:val="FF0000"/>
          <w:sz w:val="20"/>
        </w:rPr>
      </w:pPr>
    </w:p>
    <w:p w:rsidR="00650445" w:rsidRPr="00AD76E7" w:rsidRDefault="00650445" w:rsidP="00650445">
      <w:pPr>
        <w:pStyle w:val="Nadpis2"/>
        <w:numPr>
          <w:ilvl w:val="0"/>
          <w:numId w:val="0"/>
        </w:numPr>
        <w:ind w:left="397" w:hanging="397"/>
        <w:jc w:val="both"/>
        <w:rPr>
          <w:rFonts w:ascii="Calibri" w:hAnsi="Calibri" w:cs="Calibri"/>
          <w:szCs w:val="20"/>
        </w:rPr>
      </w:pPr>
      <w:bookmarkStart w:id="167" w:name="_Toc1897624"/>
      <w:r w:rsidRPr="00AD76E7">
        <w:rPr>
          <w:rFonts w:ascii="Calibri" w:hAnsi="Calibri" w:cs="Calibri"/>
          <w:szCs w:val="20"/>
        </w:rPr>
        <w:t>4.2 Vyhodnotenie kritéria výmeny vzduchu podľa STN EN 73 0540</w:t>
      </w:r>
      <w:bookmarkEnd w:id="167"/>
    </w:p>
    <w:tbl>
      <w:tblPr>
        <w:tblW w:w="9224" w:type="dxa"/>
        <w:tblInd w:w="60" w:type="dxa"/>
        <w:tblCellMar>
          <w:left w:w="70" w:type="dxa"/>
          <w:right w:w="70" w:type="dxa"/>
        </w:tblCellMar>
        <w:tblLook w:val="04A0" w:firstRow="1" w:lastRow="0" w:firstColumn="1" w:lastColumn="0" w:noHBand="0" w:noVBand="1"/>
      </w:tblPr>
      <w:tblGrid>
        <w:gridCol w:w="1629"/>
        <w:gridCol w:w="1358"/>
        <w:gridCol w:w="1418"/>
        <w:gridCol w:w="1417"/>
        <w:gridCol w:w="709"/>
        <w:gridCol w:w="1276"/>
        <w:gridCol w:w="1417"/>
      </w:tblGrid>
      <w:tr w:rsidR="00650445" w:rsidRPr="00AD76E7" w:rsidTr="00616A16">
        <w:trPr>
          <w:trHeight w:val="300"/>
        </w:trPr>
        <w:tc>
          <w:tcPr>
            <w:tcW w:w="6531" w:type="dxa"/>
            <w:gridSpan w:val="5"/>
            <w:tcBorders>
              <w:top w:val="single" w:sz="18" w:space="0" w:color="auto"/>
              <w:left w:val="single" w:sz="18" w:space="0" w:color="auto"/>
              <w:bottom w:val="single" w:sz="4" w:space="0" w:color="auto"/>
              <w:right w:val="single" w:sz="4" w:space="0" w:color="000000"/>
            </w:tcBorders>
            <w:vAlign w:val="center"/>
            <w:hideMark/>
          </w:tcPr>
          <w:p w:rsidR="00650445" w:rsidRPr="00AD76E7" w:rsidRDefault="00650445" w:rsidP="00650445">
            <w:pPr>
              <w:jc w:val="both"/>
              <w:rPr>
                <w:rFonts w:ascii="Calibri" w:hAnsi="Calibri" w:cs="Calibri"/>
                <w:b/>
                <w:bCs/>
                <w:sz w:val="20"/>
              </w:rPr>
            </w:pPr>
            <w:r w:rsidRPr="00AD76E7">
              <w:rPr>
                <w:rFonts w:ascii="Calibri" w:hAnsi="Calibri" w:cs="Calibri"/>
                <w:b/>
                <w:bCs/>
                <w:sz w:val="20"/>
              </w:rPr>
              <w:t xml:space="preserve">Priemerná intenzita výmeny vzduchu [1/h]:  </w:t>
            </w:r>
          </w:p>
        </w:tc>
        <w:tc>
          <w:tcPr>
            <w:tcW w:w="1276" w:type="dxa"/>
            <w:tcBorders>
              <w:top w:val="single" w:sz="18" w:space="0" w:color="auto"/>
              <w:left w:val="nil"/>
              <w:bottom w:val="single" w:sz="4" w:space="0" w:color="auto"/>
              <w:right w:val="single" w:sz="4" w:space="0" w:color="000000"/>
            </w:tcBorders>
            <w:noWrap/>
            <w:vAlign w:val="center"/>
            <w:hideMark/>
          </w:tcPr>
          <w:p w:rsidR="00650445" w:rsidRPr="00AD76E7" w:rsidRDefault="00650445" w:rsidP="00650445">
            <w:pPr>
              <w:jc w:val="both"/>
              <w:rPr>
                <w:rFonts w:ascii="Calibri" w:hAnsi="Calibri" w:cs="Calibri"/>
                <w:i/>
                <w:iCs/>
                <w:sz w:val="20"/>
              </w:rPr>
            </w:pPr>
            <w:r w:rsidRPr="00AD76E7">
              <w:rPr>
                <w:rFonts w:ascii="Calibri" w:hAnsi="Calibri" w:cs="Calibri"/>
                <w:i/>
                <w:iCs/>
                <w:sz w:val="20"/>
              </w:rPr>
              <w:t>n</w:t>
            </w:r>
            <w:r w:rsidRPr="00AD76E7">
              <w:rPr>
                <w:rFonts w:ascii="Calibri" w:hAnsi="Calibri" w:cs="Calibri"/>
                <w:sz w:val="20"/>
              </w:rPr>
              <w:t xml:space="preserve"> = </w:t>
            </w:r>
          </w:p>
        </w:tc>
        <w:tc>
          <w:tcPr>
            <w:tcW w:w="1417" w:type="dxa"/>
            <w:tcBorders>
              <w:top w:val="single" w:sz="18" w:space="0" w:color="auto"/>
              <w:left w:val="nil"/>
              <w:bottom w:val="single" w:sz="4" w:space="0" w:color="auto"/>
              <w:right w:val="single" w:sz="18" w:space="0" w:color="auto"/>
            </w:tcBorders>
            <w:noWrap/>
            <w:vAlign w:val="bottom"/>
            <w:hideMark/>
          </w:tcPr>
          <w:p w:rsidR="00650445" w:rsidRPr="00AD76E7" w:rsidRDefault="00650445" w:rsidP="00650445">
            <w:pPr>
              <w:jc w:val="both"/>
              <w:rPr>
                <w:rFonts w:ascii="Calibri" w:hAnsi="Calibri" w:cs="Calibri"/>
                <w:sz w:val="20"/>
              </w:rPr>
            </w:pPr>
            <w:r w:rsidRPr="00AD76E7">
              <w:rPr>
                <w:rFonts w:ascii="Calibri" w:hAnsi="Calibri" w:cs="Calibri"/>
                <w:sz w:val="20"/>
              </w:rPr>
              <w:t>0,07</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center"/>
            <w:hideMark/>
          </w:tcPr>
          <w:p w:rsidR="00650445" w:rsidRPr="00AD76E7" w:rsidRDefault="00650445" w:rsidP="00650445">
            <w:pPr>
              <w:jc w:val="both"/>
              <w:rPr>
                <w:rFonts w:ascii="Calibri" w:hAnsi="Calibri" w:cs="Calibri"/>
                <w:b/>
                <w:bCs/>
                <w:sz w:val="20"/>
              </w:rPr>
            </w:pPr>
            <w:r w:rsidRPr="00AD76E7">
              <w:rPr>
                <w:rFonts w:ascii="Calibri" w:hAnsi="Calibri" w:cs="Calibri"/>
                <w:b/>
                <w:bCs/>
                <w:sz w:val="20"/>
              </w:rPr>
              <w:t xml:space="preserve">Požadovaná priemerná intenzita výmeny vzduchu [1/h]:  </w:t>
            </w:r>
          </w:p>
        </w:tc>
        <w:tc>
          <w:tcPr>
            <w:tcW w:w="1276" w:type="dxa"/>
            <w:tcBorders>
              <w:top w:val="single" w:sz="4" w:space="0" w:color="auto"/>
              <w:left w:val="nil"/>
              <w:bottom w:val="single" w:sz="4" w:space="0" w:color="auto"/>
              <w:right w:val="single" w:sz="4" w:space="0" w:color="000000"/>
            </w:tcBorders>
            <w:noWrap/>
            <w:vAlign w:val="bottom"/>
            <w:hideMark/>
          </w:tcPr>
          <w:p w:rsidR="00650445" w:rsidRPr="00AD76E7" w:rsidRDefault="00650445" w:rsidP="00650445">
            <w:pPr>
              <w:jc w:val="both"/>
              <w:rPr>
                <w:rFonts w:ascii="Calibri" w:hAnsi="Calibri" w:cs="Calibri"/>
                <w:sz w:val="20"/>
              </w:rPr>
            </w:pPr>
            <w:r w:rsidRPr="00AD76E7">
              <w:rPr>
                <w:rFonts w:ascii="Calibri" w:hAnsi="Calibri" w:cs="Calibri"/>
                <w:sz w:val="20"/>
              </w:rPr>
              <w:t>n</w:t>
            </w:r>
            <w:r w:rsidRPr="00AD76E7">
              <w:rPr>
                <w:rFonts w:ascii="Calibri" w:hAnsi="Calibri" w:cs="Calibri"/>
                <w:sz w:val="20"/>
                <w:vertAlign w:val="subscript"/>
              </w:rPr>
              <w:t>N</w:t>
            </w:r>
            <w:r w:rsidRPr="00AD76E7">
              <w:rPr>
                <w:rFonts w:ascii="Calibri" w:hAnsi="Calibri" w:cs="Calibri"/>
                <w:sz w:val="20"/>
              </w:rPr>
              <w:t xml:space="preserve"> =   </w:t>
            </w:r>
          </w:p>
        </w:tc>
        <w:tc>
          <w:tcPr>
            <w:tcW w:w="1417" w:type="dxa"/>
            <w:tcBorders>
              <w:top w:val="single" w:sz="4" w:space="0" w:color="auto"/>
              <w:left w:val="nil"/>
              <w:bottom w:val="single" w:sz="4" w:space="0" w:color="auto"/>
              <w:right w:val="single" w:sz="18" w:space="0" w:color="auto"/>
            </w:tcBorders>
            <w:noWrap/>
            <w:vAlign w:val="bottom"/>
            <w:hideMark/>
          </w:tcPr>
          <w:p w:rsidR="00650445" w:rsidRPr="00AD76E7" w:rsidRDefault="00650445" w:rsidP="00650445">
            <w:pPr>
              <w:jc w:val="both"/>
              <w:rPr>
                <w:rFonts w:ascii="Calibri" w:hAnsi="Calibri" w:cs="Calibri"/>
                <w:sz w:val="20"/>
              </w:rPr>
            </w:pPr>
            <w:r w:rsidRPr="00AD76E7">
              <w:rPr>
                <w:rFonts w:ascii="Calibri" w:hAnsi="Calibri" w:cs="Calibri"/>
                <w:sz w:val="20"/>
              </w:rPr>
              <w:t>0,50</w:t>
            </w:r>
          </w:p>
        </w:tc>
      </w:tr>
      <w:tr w:rsidR="00650445" w:rsidRPr="00AD76E7" w:rsidTr="00616A16">
        <w:trPr>
          <w:trHeight w:val="300"/>
        </w:trPr>
        <w:tc>
          <w:tcPr>
            <w:tcW w:w="9224" w:type="dxa"/>
            <w:gridSpan w:val="7"/>
            <w:tcBorders>
              <w:top w:val="single" w:sz="18" w:space="0" w:color="auto"/>
              <w:left w:val="single" w:sz="18" w:space="0" w:color="auto"/>
              <w:bottom w:val="single" w:sz="4" w:space="0" w:color="auto"/>
              <w:right w:val="single" w:sz="18" w:space="0" w:color="auto"/>
            </w:tcBorders>
            <w:noWrap/>
            <w:vAlign w:val="center"/>
          </w:tcPr>
          <w:p w:rsidR="00650445" w:rsidRPr="00AD76E7" w:rsidRDefault="00650445" w:rsidP="00650445">
            <w:pPr>
              <w:jc w:val="both"/>
              <w:rPr>
                <w:rFonts w:ascii="Calibri" w:hAnsi="Calibri" w:cs="Calibri"/>
                <w:sz w:val="20"/>
              </w:rPr>
            </w:pPr>
            <w:r w:rsidRPr="00AD76E7">
              <w:rPr>
                <w:rFonts w:ascii="Calibri" w:hAnsi="Calibri" w:cs="Calibri"/>
                <w:b/>
                <w:bCs/>
                <w:sz w:val="20"/>
              </w:rPr>
              <w:t>Hodnotenie potreby tepla na vykurovanie [kWh/(m2.rok)]</w:t>
            </w:r>
          </w:p>
        </w:tc>
      </w:tr>
      <w:tr w:rsidR="00650445" w:rsidRPr="00AD76E7" w:rsidTr="00616A16">
        <w:trPr>
          <w:trHeight w:val="300"/>
        </w:trPr>
        <w:tc>
          <w:tcPr>
            <w:tcW w:w="1629" w:type="dxa"/>
            <w:tcBorders>
              <w:top w:val="single" w:sz="4" w:space="0" w:color="auto"/>
              <w:left w:val="single" w:sz="18" w:space="0" w:color="auto"/>
              <w:bottom w:val="single" w:sz="18" w:space="0" w:color="auto"/>
              <w:right w:val="single" w:sz="8" w:space="0" w:color="000000"/>
            </w:tcBorders>
            <w:noWrap/>
            <w:vAlign w:val="center"/>
          </w:tcPr>
          <w:p w:rsidR="00650445" w:rsidRPr="00AD76E7" w:rsidRDefault="00650445" w:rsidP="00650445">
            <w:pPr>
              <w:jc w:val="both"/>
              <w:rPr>
                <w:rFonts w:ascii="Calibri" w:hAnsi="Calibri" w:cs="Calibri"/>
                <w:sz w:val="20"/>
              </w:rPr>
            </w:pPr>
            <w:r w:rsidRPr="00AD76E7">
              <w:rPr>
                <w:rFonts w:ascii="Calibri" w:hAnsi="Calibri" w:cs="Calibri"/>
                <w:i/>
                <w:iCs/>
                <w:sz w:val="20"/>
              </w:rPr>
              <w:t>n</w:t>
            </w:r>
            <w:r w:rsidRPr="00AD76E7">
              <w:rPr>
                <w:rFonts w:ascii="Calibri" w:hAnsi="Calibri" w:cs="Calibri"/>
                <w:sz w:val="20"/>
              </w:rPr>
              <w:t xml:space="preserve"> =</w:t>
            </w:r>
          </w:p>
        </w:tc>
        <w:tc>
          <w:tcPr>
            <w:tcW w:w="1358" w:type="dxa"/>
            <w:tcBorders>
              <w:top w:val="single" w:sz="4" w:space="0" w:color="auto"/>
              <w:left w:val="single" w:sz="8" w:space="0" w:color="auto"/>
              <w:bottom w:val="single" w:sz="18" w:space="0" w:color="auto"/>
              <w:right w:val="single" w:sz="8" w:space="0" w:color="000000"/>
            </w:tcBorders>
            <w:vAlign w:val="center"/>
          </w:tcPr>
          <w:p w:rsidR="00650445" w:rsidRPr="00AD76E7" w:rsidRDefault="00650445" w:rsidP="00650445">
            <w:pPr>
              <w:jc w:val="both"/>
              <w:rPr>
                <w:rFonts w:ascii="Calibri" w:hAnsi="Calibri" w:cs="Calibri"/>
                <w:sz w:val="20"/>
              </w:rPr>
            </w:pPr>
            <w:r w:rsidRPr="00AD76E7">
              <w:rPr>
                <w:rFonts w:ascii="Calibri" w:hAnsi="Calibri" w:cs="Calibri"/>
                <w:sz w:val="20"/>
              </w:rPr>
              <w:t>0,07</w:t>
            </w:r>
          </w:p>
        </w:tc>
        <w:tc>
          <w:tcPr>
            <w:tcW w:w="1418" w:type="dxa"/>
            <w:tcBorders>
              <w:top w:val="single" w:sz="4" w:space="0" w:color="auto"/>
              <w:left w:val="single" w:sz="8" w:space="0" w:color="auto"/>
              <w:bottom w:val="single" w:sz="18" w:space="0" w:color="auto"/>
              <w:right w:val="single" w:sz="8" w:space="0" w:color="000000"/>
            </w:tcBorders>
            <w:vAlign w:val="center"/>
          </w:tcPr>
          <w:p w:rsidR="00650445" w:rsidRPr="00AD76E7" w:rsidRDefault="00650445" w:rsidP="00650445">
            <w:pPr>
              <w:jc w:val="both"/>
              <w:rPr>
                <w:rFonts w:ascii="Calibri" w:hAnsi="Calibri" w:cs="Calibri"/>
                <w:sz w:val="20"/>
              </w:rPr>
            </w:pPr>
            <w:r w:rsidRPr="00AD76E7">
              <w:rPr>
                <w:rFonts w:ascii="Calibri" w:hAnsi="Calibri" w:cs="Calibri"/>
                <w:bCs/>
                <w:sz w:val="20"/>
              </w:rPr>
              <w:t>&lt;</w:t>
            </w:r>
          </w:p>
        </w:tc>
        <w:tc>
          <w:tcPr>
            <w:tcW w:w="1417" w:type="dxa"/>
            <w:tcBorders>
              <w:top w:val="single" w:sz="4" w:space="0" w:color="auto"/>
              <w:left w:val="single" w:sz="8" w:space="0" w:color="auto"/>
              <w:bottom w:val="single" w:sz="18" w:space="0" w:color="auto"/>
              <w:right w:val="single" w:sz="8" w:space="0" w:color="000000"/>
            </w:tcBorders>
            <w:vAlign w:val="center"/>
          </w:tcPr>
          <w:p w:rsidR="00650445" w:rsidRPr="00AD76E7" w:rsidRDefault="00650445" w:rsidP="00650445">
            <w:pPr>
              <w:jc w:val="both"/>
              <w:rPr>
                <w:rFonts w:ascii="Calibri" w:hAnsi="Calibri" w:cs="Calibri"/>
                <w:sz w:val="20"/>
              </w:rPr>
            </w:pPr>
            <w:r w:rsidRPr="00AD76E7">
              <w:rPr>
                <w:rFonts w:ascii="Calibri" w:hAnsi="Calibri" w:cs="Calibri"/>
                <w:sz w:val="20"/>
              </w:rPr>
              <w:t>n</w:t>
            </w:r>
            <w:r w:rsidRPr="00AD76E7">
              <w:rPr>
                <w:rFonts w:ascii="Calibri" w:hAnsi="Calibri" w:cs="Calibri"/>
                <w:sz w:val="20"/>
                <w:vertAlign w:val="subscript"/>
              </w:rPr>
              <w:t>N</w:t>
            </w:r>
            <w:r w:rsidRPr="00AD76E7">
              <w:rPr>
                <w:rFonts w:ascii="Calibri" w:hAnsi="Calibri" w:cs="Calibri"/>
                <w:sz w:val="20"/>
              </w:rPr>
              <w:t xml:space="preserve"> =</w:t>
            </w:r>
          </w:p>
        </w:tc>
        <w:tc>
          <w:tcPr>
            <w:tcW w:w="1985" w:type="dxa"/>
            <w:gridSpan w:val="2"/>
            <w:tcBorders>
              <w:top w:val="single" w:sz="4" w:space="0" w:color="auto"/>
              <w:left w:val="single" w:sz="8" w:space="0" w:color="auto"/>
              <w:bottom w:val="single" w:sz="18" w:space="0" w:color="auto"/>
              <w:right w:val="single" w:sz="8" w:space="0" w:color="000000"/>
            </w:tcBorders>
            <w:vAlign w:val="center"/>
          </w:tcPr>
          <w:p w:rsidR="00650445" w:rsidRPr="00AD76E7" w:rsidRDefault="00650445" w:rsidP="00650445">
            <w:pPr>
              <w:jc w:val="both"/>
              <w:rPr>
                <w:rFonts w:ascii="Calibri" w:hAnsi="Calibri" w:cs="Calibri"/>
                <w:sz w:val="20"/>
              </w:rPr>
            </w:pPr>
            <w:r w:rsidRPr="00AD76E7">
              <w:rPr>
                <w:rFonts w:ascii="Calibri" w:hAnsi="Calibri" w:cs="Calibri"/>
                <w:sz w:val="20"/>
              </w:rPr>
              <w:t>0,50</w:t>
            </w:r>
          </w:p>
        </w:tc>
        <w:tc>
          <w:tcPr>
            <w:tcW w:w="1417" w:type="dxa"/>
            <w:tcBorders>
              <w:top w:val="single" w:sz="4" w:space="0" w:color="auto"/>
              <w:left w:val="single" w:sz="8" w:space="0" w:color="auto"/>
              <w:bottom w:val="single" w:sz="18" w:space="0" w:color="auto"/>
              <w:right w:val="single" w:sz="18" w:space="0" w:color="auto"/>
            </w:tcBorders>
            <w:vAlign w:val="center"/>
          </w:tcPr>
          <w:p w:rsidR="00650445" w:rsidRPr="00AD76E7" w:rsidRDefault="00650445" w:rsidP="00650445">
            <w:pPr>
              <w:jc w:val="both"/>
              <w:rPr>
                <w:rFonts w:ascii="Calibri" w:hAnsi="Calibri" w:cs="Calibri"/>
                <w:sz w:val="20"/>
              </w:rPr>
            </w:pPr>
            <w:r w:rsidRPr="00AD76E7">
              <w:rPr>
                <w:rFonts w:ascii="Calibri" w:hAnsi="Calibri" w:cs="Calibri"/>
                <w:bCs/>
                <w:i/>
                <w:sz w:val="20"/>
              </w:rPr>
              <w:t>NEVYHOVUJE</w:t>
            </w:r>
          </w:p>
        </w:tc>
      </w:tr>
    </w:tbl>
    <w:p w:rsidR="00650445" w:rsidRPr="00AD76E7" w:rsidRDefault="00650445" w:rsidP="00650445">
      <w:pPr>
        <w:jc w:val="both"/>
        <w:rPr>
          <w:rFonts w:ascii="Calibri" w:hAnsi="Calibri" w:cs="Calibri"/>
          <w:sz w:val="20"/>
        </w:rPr>
      </w:pPr>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sz w:val="20"/>
        </w:rPr>
      </w:pPr>
      <w:r w:rsidRPr="00AD76E7">
        <w:rPr>
          <w:rFonts w:ascii="Calibri" w:hAnsi="Calibri" w:cs="Calibri"/>
          <w:sz w:val="20"/>
        </w:rPr>
        <w:tab/>
      </w:r>
      <w:r w:rsidRPr="00AD76E7">
        <w:rPr>
          <w:rFonts w:ascii="Calibri" w:hAnsi="Calibri" w:cs="Calibri"/>
          <w:sz w:val="20"/>
        </w:rPr>
        <w:tab/>
      </w:r>
      <w:r w:rsidRPr="00AD76E7">
        <w:rPr>
          <w:rFonts w:ascii="Calibri" w:hAnsi="Calibri" w:cs="Calibri"/>
          <w:b/>
          <w:sz w:val="20"/>
        </w:rPr>
        <w:t xml:space="preserve">Požiadavka NIE JE SPLNENÁ. Kritérium výmeny vzduchu je potrebne zabezpečiť pomocou vetrania tak aby spĺňalo normy STN 73 0540. </w:t>
      </w:r>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sz w:val="20"/>
        </w:rPr>
      </w:pPr>
      <w:r w:rsidRPr="00AD76E7">
        <w:rPr>
          <w:rFonts w:ascii="Calibri" w:hAnsi="Calibri" w:cs="Calibri"/>
          <w:b/>
          <w:sz w:val="20"/>
        </w:rPr>
        <w:tab/>
      </w:r>
      <w:r w:rsidRPr="00AD76E7">
        <w:rPr>
          <w:rFonts w:ascii="Calibri" w:hAnsi="Calibri" w:cs="Calibri"/>
          <w:b/>
          <w:sz w:val="20"/>
        </w:rPr>
        <w:tab/>
        <w:t xml:space="preserve">V projekte sa uvažuje s prirodzeným vetraním, ktoré ZABEZPEČÍ potrebnú výmenu vzduchu n </w:t>
      </w:r>
      <w:r w:rsidRPr="00AD76E7">
        <w:rPr>
          <w:rFonts w:ascii="Calibri" w:hAnsi="Calibri" w:cs="Calibri"/>
          <w:b/>
          <w:bCs/>
          <w:sz w:val="20"/>
        </w:rPr>
        <w:t xml:space="preserve">&gt; </w:t>
      </w:r>
      <w:r w:rsidRPr="00AD76E7">
        <w:rPr>
          <w:rFonts w:ascii="Calibri" w:hAnsi="Calibri" w:cs="Calibri"/>
          <w:b/>
          <w:sz w:val="20"/>
        </w:rPr>
        <w:t>n</w:t>
      </w:r>
      <w:r w:rsidRPr="00AD76E7">
        <w:rPr>
          <w:rFonts w:ascii="Calibri" w:hAnsi="Calibri" w:cs="Calibri"/>
          <w:b/>
          <w:sz w:val="20"/>
          <w:vertAlign w:val="subscript"/>
        </w:rPr>
        <w:t>N</w:t>
      </w:r>
      <w:r w:rsidRPr="00AD76E7">
        <w:rPr>
          <w:rFonts w:ascii="Calibri" w:hAnsi="Calibri" w:cs="Calibri"/>
          <w:b/>
          <w:sz w:val="20"/>
        </w:rPr>
        <w:t xml:space="preserve"> = 0,50 1/h.</w:t>
      </w:r>
      <w:r w:rsidRPr="00AD76E7">
        <w:rPr>
          <w:rFonts w:ascii="Calibri" w:hAnsi="Calibri" w:cs="Calibri"/>
          <w:b/>
          <w:sz w:val="20"/>
        </w:rPr>
        <w:tab/>
        <w:t xml:space="preserve"> </w:t>
      </w:r>
    </w:p>
    <w:p w:rsidR="00650445" w:rsidRPr="00AD76E7" w:rsidRDefault="00650445" w:rsidP="00650445">
      <w:pPr>
        <w:pStyle w:val="Nadpis2"/>
        <w:numPr>
          <w:ilvl w:val="0"/>
          <w:numId w:val="0"/>
        </w:numPr>
        <w:jc w:val="both"/>
        <w:rPr>
          <w:rFonts w:ascii="Calibri" w:hAnsi="Calibri" w:cs="Calibri"/>
          <w:szCs w:val="20"/>
        </w:rPr>
      </w:pPr>
      <w:bookmarkStart w:id="168" w:name="_Toc1897625"/>
      <w:r w:rsidRPr="00AD76E7">
        <w:rPr>
          <w:rFonts w:ascii="Calibri" w:hAnsi="Calibri" w:cs="Calibri"/>
          <w:szCs w:val="20"/>
        </w:rPr>
        <w:t>4.3 Vyhodnotenie energetického kritéria podľa STN EN 73 0540</w:t>
      </w:r>
      <w:bookmarkEnd w:id="168"/>
    </w:p>
    <w:tbl>
      <w:tblPr>
        <w:tblW w:w="9224" w:type="dxa"/>
        <w:tblInd w:w="60" w:type="dxa"/>
        <w:tblCellMar>
          <w:left w:w="70" w:type="dxa"/>
          <w:right w:w="70" w:type="dxa"/>
        </w:tblCellMar>
        <w:tblLook w:val="04A0" w:firstRow="1" w:lastRow="0" w:firstColumn="1" w:lastColumn="0" w:noHBand="0" w:noVBand="1"/>
      </w:tblPr>
      <w:tblGrid>
        <w:gridCol w:w="1629"/>
        <w:gridCol w:w="1358"/>
        <w:gridCol w:w="1418"/>
        <w:gridCol w:w="1417"/>
        <w:gridCol w:w="709"/>
        <w:gridCol w:w="1276"/>
        <w:gridCol w:w="1417"/>
      </w:tblGrid>
      <w:tr w:rsidR="00650445" w:rsidRPr="00AD76E7" w:rsidTr="00616A16">
        <w:trPr>
          <w:trHeight w:val="620"/>
        </w:trPr>
        <w:tc>
          <w:tcPr>
            <w:tcW w:w="9224" w:type="dxa"/>
            <w:gridSpan w:val="7"/>
            <w:tcBorders>
              <w:top w:val="single" w:sz="18" w:space="0" w:color="auto"/>
              <w:left w:val="single" w:sz="18" w:space="0" w:color="auto"/>
              <w:bottom w:val="single" w:sz="18" w:space="0" w:color="auto"/>
              <w:right w:val="single" w:sz="18" w:space="0" w:color="auto"/>
            </w:tcBorders>
            <w:hideMark/>
          </w:tcPr>
          <w:p w:rsidR="00650445" w:rsidRPr="00AD76E7" w:rsidRDefault="00650445" w:rsidP="00650445">
            <w:pPr>
              <w:jc w:val="both"/>
              <w:rPr>
                <w:rFonts w:ascii="Calibri" w:hAnsi="Calibri" w:cs="Calibri"/>
                <w:b/>
                <w:bCs/>
                <w:sz w:val="20"/>
              </w:rPr>
            </w:pPr>
            <w:r w:rsidRPr="00AD76E7">
              <w:rPr>
                <w:rFonts w:ascii="Calibri" w:hAnsi="Calibri" w:cs="Calibri"/>
                <w:b/>
                <w:bCs/>
                <w:sz w:val="20"/>
              </w:rPr>
              <w:t xml:space="preserve">Energetické hodnotenie budov </w:t>
            </w:r>
            <w:r w:rsidRPr="00AD76E7">
              <w:rPr>
                <w:rFonts w:ascii="Calibri" w:hAnsi="Calibri" w:cs="Calibri"/>
                <w:b/>
                <w:bCs/>
                <w:sz w:val="20"/>
              </w:rPr>
              <w:br/>
              <w:t xml:space="preserve">STN 73 0540-2: 2012, STN EN ISO 13 790:2009 </w:t>
            </w:r>
          </w:p>
        </w:tc>
      </w:tr>
      <w:tr w:rsidR="00650445" w:rsidRPr="00AD76E7" w:rsidTr="00616A16">
        <w:trPr>
          <w:trHeight w:val="300"/>
        </w:trPr>
        <w:tc>
          <w:tcPr>
            <w:tcW w:w="6531" w:type="dxa"/>
            <w:gridSpan w:val="5"/>
            <w:tcBorders>
              <w:top w:val="single" w:sz="18" w:space="0" w:color="auto"/>
              <w:left w:val="single" w:sz="18" w:space="0" w:color="auto"/>
              <w:bottom w:val="single" w:sz="4" w:space="0" w:color="auto"/>
              <w:right w:val="single" w:sz="4" w:space="0" w:color="000000"/>
            </w:tcBorders>
            <w:vAlign w:val="center"/>
            <w:hideMark/>
          </w:tcPr>
          <w:p w:rsidR="00650445" w:rsidRPr="00AD76E7" w:rsidRDefault="00650445" w:rsidP="00650445">
            <w:pPr>
              <w:jc w:val="both"/>
              <w:rPr>
                <w:rFonts w:ascii="Calibri" w:hAnsi="Calibri" w:cs="Calibri"/>
                <w:b/>
                <w:bCs/>
                <w:sz w:val="20"/>
              </w:rPr>
            </w:pPr>
            <w:r w:rsidRPr="00AD76E7">
              <w:rPr>
                <w:rFonts w:ascii="Calibri" w:hAnsi="Calibri" w:cs="Calibri"/>
                <w:b/>
                <w:bCs/>
                <w:sz w:val="20"/>
              </w:rPr>
              <w:t xml:space="preserve">Obostavaný objem [m³]:  </w:t>
            </w:r>
          </w:p>
        </w:tc>
        <w:tc>
          <w:tcPr>
            <w:tcW w:w="1276" w:type="dxa"/>
            <w:tcBorders>
              <w:top w:val="single" w:sz="18" w:space="0" w:color="auto"/>
              <w:left w:val="nil"/>
              <w:bottom w:val="single" w:sz="4" w:space="0" w:color="auto"/>
              <w:right w:val="single" w:sz="4" w:space="0" w:color="000000"/>
            </w:tcBorders>
            <w:noWrap/>
            <w:vAlign w:val="center"/>
            <w:hideMark/>
          </w:tcPr>
          <w:p w:rsidR="00650445" w:rsidRPr="00AD76E7" w:rsidRDefault="00650445" w:rsidP="00650445">
            <w:pPr>
              <w:jc w:val="both"/>
              <w:rPr>
                <w:rFonts w:ascii="Calibri" w:hAnsi="Calibri" w:cs="Calibri"/>
                <w:i/>
                <w:iCs/>
                <w:sz w:val="20"/>
              </w:rPr>
            </w:pPr>
            <w:r w:rsidRPr="00AD76E7">
              <w:rPr>
                <w:rFonts w:ascii="Calibri" w:hAnsi="Calibri" w:cs="Calibri"/>
                <w:i/>
                <w:iCs/>
                <w:sz w:val="20"/>
              </w:rPr>
              <w:t>V</w:t>
            </w:r>
            <w:r w:rsidRPr="00AD76E7">
              <w:rPr>
                <w:rFonts w:ascii="Calibri" w:hAnsi="Calibri" w:cs="Calibri"/>
                <w:sz w:val="20"/>
                <w:vertAlign w:val="subscript"/>
              </w:rPr>
              <w:t>b</w:t>
            </w:r>
            <w:r w:rsidRPr="00AD76E7">
              <w:rPr>
                <w:rFonts w:ascii="Calibri" w:hAnsi="Calibri" w:cs="Calibri"/>
                <w:sz w:val="20"/>
              </w:rPr>
              <w:t xml:space="preserve"> = </w:t>
            </w:r>
          </w:p>
        </w:tc>
        <w:tc>
          <w:tcPr>
            <w:tcW w:w="1417" w:type="dxa"/>
            <w:tcBorders>
              <w:top w:val="single" w:sz="18" w:space="0" w:color="auto"/>
              <w:left w:val="nil"/>
              <w:bottom w:val="single" w:sz="4" w:space="0" w:color="auto"/>
              <w:right w:val="single" w:sz="18" w:space="0" w:color="auto"/>
            </w:tcBorders>
            <w:noWrap/>
            <w:vAlign w:val="bottom"/>
            <w:hideMark/>
          </w:tcPr>
          <w:p w:rsidR="00650445" w:rsidRPr="00AD76E7" w:rsidRDefault="00650445" w:rsidP="00650445">
            <w:pPr>
              <w:jc w:val="both"/>
              <w:rPr>
                <w:rFonts w:ascii="Calibri" w:hAnsi="Calibri" w:cs="Calibri"/>
                <w:sz w:val="20"/>
              </w:rPr>
            </w:pPr>
            <w:r w:rsidRPr="00AD76E7">
              <w:rPr>
                <w:rFonts w:ascii="Calibri" w:hAnsi="Calibri" w:cs="Calibri"/>
                <w:sz w:val="20"/>
              </w:rPr>
              <w:t>1335,03</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center"/>
            <w:hideMark/>
          </w:tcPr>
          <w:p w:rsidR="00650445" w:rsidRPr="00AD76E7" w:rsidRDefault="00650445" w:rsidP="00650445">
            <w:pPr>
              <w:jc w:val="both"/>
              <w:rPr>
                <w:rFonts w:ascii="Calibri" w:hAnsi="Calibri" w:cs="Calibri"/>
                <w:b/>
                <w:bCs/>
                <w:sz w:val="20"/>
              </w:rPr>
            </w:pPr>
            <w:r w:rsidRPr="00AD76E7">
              <w:rPr>
                <w:rFonts w:ascii="Calibri" w:hAnsi="Calibri" w:cs="Calibri"/>
                <w:b/>
                <w:bCs/>
                <w:sz w:val="20"/>
              </w:rPr>
              <w:t>Podlahová plocha [m</w:t>
            </w:r>
            <w:r w:rsidRPr="00AD76E7">
              <w:rPr>
                <w:rFonts w:ascii="Calibri" w:hAnsi="Calibri" w:cs="Calibri"/>
                <w:b/>
                <w:bCs/>
                <w:sz w:val="20"/>
                <w:vertAlign w:val="superscript"/>
              </w:rPr>
              <w:t>2</w:t>
            </w:r>
            <w:r w:rsidRPr="00AD76E7">
              <w:rPr>
                <w:rFonts w:ascii="Calibri" w:hAnsi="Calibri" w:cs="Calibri"/>
                <w:b/>
                <w:bCs/>
                <w:sz w:val="20"/>
              </w:rPr>
              <w:t xml:space="preserve">]:  </w:t>
            </w:r>
          </w:p>
        </w:tc>
        <w:tc>
          <w:tcPr>
            <w:tcW w:w="1276" w:type="dxa"/>
            <w:tcBorders>
              <w:top w:val="single" w:sz="4" w:space="0" w:color="auto"/>
              <w:left w:val="nil"/>
              <w:bottom w:val="single" w:sz="4" w:space="0" w:color="auto"/>
              <w:right w:val="single" w:sz="4" w:space="0" w:color="000000"/>
            </w:tcBorders>
            <w:noWrap/>
            <w:vAlign w:val="bottom"/>
            <w:hideMark/>
          </w:tcPr>
          <w:p w:rsidR="00650445" w:rsidRPr="00AD76E7" w:rsidRDefault="00650445" w:rsidP="00650445">
            <w:pPr>
              <w:jc w:val="both"/>
              <w:rPr>
                <w:rFonts w:ascii="Calibri" w:hAnsi="Calibri" w:cs="Calibri"/>
                <w:sz w:val="20"/>
              </w:rPr>
            </w:pPr>
            <w:r w:rsidRPr="00AD76E7">
              <w:rPr>
                <w:rFonts w:ascii="Calibri" w:hAnsi="Calibri" w:cs="Calibri"/>
                <w:sz w:val="20"/>
              </w:rPr>
              <w:t>A</w:t>
            </w:r>
            <w:r w:rsidRPr="00AD76E7">
              <w:rPr>
                <w:rFonts w:ascii="Calibri" w:hAnsi="Calibri" w:cs="Calibri"/>
                <w:sz w:val="20"/>
                <w:vertAlign w:val="subscript"/>
              </w:rPr>
              <w:t>b</w:t>
            </w:r>
            <w:r w:rsidRPr="00AD76E7">
              <w:rPr>
                <w:rFonts w:ascii="Calibri" w:hAnsi="Calibri" w:cs="Calibri"/>
                <w:sz w:val="20"/>
              </w:rPr>
              <w:t xml:space="preserve"> =   </w:t>
            </w:r>
          </w:p>
        </w:tc>
        <w:tc>
          <w:tcPr>
            <w:tcW w:w="1417" w:type="dxa"/>
            <w:tcBorders>
              <w:top w:val="single" w:sz="4" w:space="0" w:color="auto"/>
              <w:left w:val="nil"/>
              <w:bottom w:val="single" w:sz="4" w:space="0" w:color="auto"/>
              <w:right w:val="single" w:sz="18" w:space="0" w:color="auto"/>
            </w:tcBorders>
            <w:noWrap/>
            <w:vAlign w:val="bottom"/>
            <w:hideMark/>
          </w:tcPr>
          <w:p w:rsidR="00650445" w:rsidRPr="00AD76E7" w:rsidRDefault="00650445" w:rsidP="00650445">
            <w:pPr>
              <w:jc w:val="both"/>
              <w:rPr>
                <w:rFonts w:ascii="Calibri" w:hAnsi="Calibri" w:cs="Calibri"/>
                <w:sz w:val="20"/>
              </w:rPr>
            </w:pPr>
            <w:r w:rsidRPr="00AD76E7">
              <w:rPr>
                <w:rFonts w:ascii="Calibri" w:hAnsi="Calibri" w:cs="Calibri"/>
                <w:sz w:val="20"/>
              </w:rPr>
              <w:t>330,64</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hideMark/>
          </w:tcPr>
          <w:p w:rsidR="00650445" w:rsidRPr="00AD76E7" w:rsidRDefault="00650445" w:rsidP="00650445">
            <w:pPr>
              <w:jc w:val="both"/>
              <w:rPr>
                <w:rFonts w:ascii="Calibri" w:hAnsi="Calibri" w:cs="Calibri"/>
                <w:b/>
                <w:bCs/>
                <w:sz w:val="20"/>
              </w:rPr>
            </w:pPr>
            <w:r w:rsidRPr="00AD76E7">
              <w:rPr>
                <w:rFonts w:ascii="Calibri" w:hAnsi="Calibri" w:cs="Calibri"/>
                <w:b/>
                <w:bCs/>
                <w:sz w:val="20"/>
              </w:rPr>
              <w:t xml:space="preserve">Priemerná konštrukčná výška vykurovaných podľaží  [m]: </w:t>
            </w:r>
          </w:p>
        </w:tc>
        <w:tc>
          <w:tcPr>
            <w:tcW w:w="1276" w:type="dxa"/>
            <w:tcBorders>
              <w:top w:val="single" w:sz="4" w:space="0" w:color="auto"/>
              <w:left w:val="nil"/>
              <w:bottom w:val="single" w:sz="4" w:space="0" w:color="auto"/>
              <w:right w:val="single" w:sz="4" w:space="0" w:color="000000"/>
            </w:tcBorders>
            <w:noWrap/>
            <w:vAlign w:val="bottom"/>
            <w:hideMark/>
          </w:tcPr>
          <w:p w:rsidR="00650445" w:rsidRPr="00AD76E7" w:rsidRDefault="00650445" w:rsidP="00650445">
            <w:pPr>
              <w:jc w:val="both"/>
              <w:rPr>
                <w:rFonts w:ascii="Calibri" w:hAnsi="Calibri" w:cs="Calibri"/>
                <w:sz w:val="20"/>
              </w:rPr>
            </w:pPr>
            <w:r w:rsidRPr="00AD76E7">
              <w:rPr>
                <w:rFonts w:ascii="Calibri" w:hAnsi="Calibri" w:cs="Calibri"/>
                <w:sz w:val="20"/>
              </w:rPr>
              <w:t>h</w:t>
            </w:r>
            <w:r w:rsidRPr="00AD76E7">
              <w:rPr>
                <w:rFonts w:ascii="Calibri" w:hAnsi="Calibri" w:cs="Calibri"/>
                <w:sz w:val="20"/>
                <w:vertAlign w:val="subscript"/>
              </w:rPr>
              <w:t>k,m</w:t>
            </w:r>
            <w:r w:rsidRPr="00AD76E7">
              <w:rPr>
                <w:rFonts w:ascii="Calibri" w:hAnsi="Calibri" w:cs="Calibri"/>
                <w:sz w:val="20"/>
              </w:rPr>
              <w:t xml:space="preserve"> =  </w:t>
            </w:r>
          </w:p>
        </w:tc>
        <w:tc>
          <w:tcPr>
            <w:tcW w:w="1417" w:type="dxa"/>
            <w:tcBorders>
              <w:top w:val="single" w:sz="4" w:space="0" w:color="auto"/>
              <w:left w:val="nil"/>
              <w:bottom w:val="single" w:sz="4" w:space="0" w:color="auto"/>
              <w:right w:val="single" w:sz="18" w:space="0" w:color="auto"/>
            </w:tcBorders>
            <w:noWrap/>
            <w:vAlign w:val="bottom"/>
            <w:hideMark/>
          </w:tcPr>
          <w:p w:rsidR="00650445" w:rsidRPr="00AD76E7" w:rsidRDefault="00650445" w:rsidP="00650445">
            <w:pPr>
              <w:jc w:val="both"/>
              <w:rPr>
                <w:rFonts w:ascii="Calibri" w:hAnsi="Calibri" w:cs="Calibri"/>
                <w:sz w:val="20"/>
              </w:rPr>
            </w:pPr>
            <w:r w:rsidRPr="00AD76E7">
              <w:rPr>
                <w:rFonts w:ascii="Calibri" w:hAnsi="Calibri" w:cs="Calibri"/>
                <w:sz w:val="20"/>
              </w:rPr>
              <w:t>4,04</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650445" w:rsidRPr="00AD76E7" w:rsidRDefault="00650445" w:rsidP="00650445">
            <w:pPr>
              <w:jc w:val="both"/>
              <w:rPr>
                <w:rFonts w:ascii="Calibri" w:hAnsi="Calibri" w:cs="Calibri"/>
                <w:b/>
                <w:bCs/>
                <w:sz w:val="20"/>
              </w:rPr>
            </w:pPr>
            <w:r w:rsidRPr="00AD76E7">
              <w:rPr>
                <w:rFonts w:ascii="Calibri" w:hAnsi="Calibri" w:cs="Calibri"/>
                <w:b/>
                <w:bCs/>
                <w:sz w:val="20"/>
              </w:rPr>
              <w:t>Merná tepelná strata [W/K]:</w:t>
            </w:r>
          </w:p>
        </w:tc>
        <w:tc>
          <w:tcPr>
            <w:tcW w:w="1276" w:type="dxa"/>
            <w:tcBorders>
              <w:top w:val="single" w:sz="4" w:space="0" w:color="auto"/>
              <w:left w:val="nil"/>
              <w:bottom w:val="single" w:sz="4" w:space="0" w:color="auto"/>
              <w:right w:val="single" w:sz="4" w:space="0" w:color="000000"/>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H</w:t>
            </w:r>
            <w:r w:rsidRPr="00AD76E7">
              <w:rPr>
                <w:rFonts w:ascii="Calibri" w:hAnsi="Calibri" w:cs="Calibri"/>
                <w:sz w:val="20"/>
                <w:vertAlign w:val="subscript"/>
              </w:rPr>
              <w:t>T</w:t>
            </w:r>
            <w:r w:rsidRPr="00AD76E7">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160,90</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650445" w:rsidRPr="00AD76E7" w:rsidRDefault="00650445" w:rsidP="00650445">
            <w:pPr>
              <w:jc w:val="both"/>
              <w:rPr>
                <w:rFonts w:ascii="Calibri" w:hAnsi="Calibri" w:cs="Calibri"/>
                <w:b/>
                <w:bCs/>
                <w:sz w:val="20"/>
              </w:rPr>
            </w:pPr>
            <w:r w:rsidRPr="00AD76E7">
              <w:rPr>
                <w:rFonts w:ascii="Calibri" w:hAnsi="Calibri" w:cs="Calibri"/>
                <w:b/>
                <w:bCs/>
                <w:sz w:val="20"/>
              </w:rPr>
              <w:t>Merná tepelná strata vetraním [W/K]:</w:t>
            </w:r>
          </w:p>
        </w:tc>
        <w:tc>
          <w:tcPr>
            <w:tcW w:w="1276" w:type="dxa"/>
            <w:tcBorders>
              <w:top w:val="single" w:sz="4" w:space="0" w:color="auto"/>
              <w:left w:val="nil"/>
              <w:bottom w:val="single" w:sz="4" w:space="0" w:color="auto"/>
              <w:right w:val="single" w:sz="4" w:space="0" w:color="000000"/>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H</w:t>
            </w:r>
            <w:r w:rsidRPr="00AD76E7">
              <w:rPr>
                <w:rFonts w:ascii="Calibri" w:hAnsi="Calibri" w:cs="Calibri"/>
                <w:sz w:val="20"/>
                <w:vertAlign w:val="subscript"/>
              </w:rPr>
              <w:t>V</w:t>
            </w:r>
            <w:r w:rsidRPr="00AD76E7">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132,17</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650445" w:rsidRPr="00AD76E7" w:rsidRDefault="00650445" w:rsidP="00650445">
            <w:pPr>
              <w:jc w:val="both"/>
              <w:rPr>
                <w:rFonts w:ascii="Calibri" w:hAnsi="Calibri" w:cs="Calibri"/>
                <w:b/>
                <w:bCs/>
                <w:sz w:val="20"/>
              </w:rPr>
            </w:pPr>
            <w:r w:rsidRPr="00AD76E7">
              <w:rPr>
                <w:rFonts w:ascii="Calibri" w:hAnsi="Calibri" w:cs="Calibri"/>
                <w:b/>
                <w:bCs/>
                <w:sz w:val="20"/>
              </w:rPr>
              <w:t xml:space="preserve">Merná tepelná strata [W/K]:  </w:t>
            </w:r>
          </w:p>
        </w:tc>
        <w:tc>
          <w:tcPr>
            <w:tcW w:w="1276" w:type="dxa"/>
            <w:tcBorders>
              <w:top w:val="single" w:sz="4" w:space="0" w:color="auto"/>
              <w:left w:val="nil"/>
              <w:bottom w:val="single" w:sz="4" w:space="0" w:color="auto"/>
              <w:right w:val="single" w:sz="4" w:space="0" w:color="000000"/>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H =</w:t>
            </w:r>
          </w:p>
        </w:tc>
        <w:tc>
          <w:tcPr>
            <w:tcW w:w="1417" w:type="dxa"/>
            <w:tcBorders>
              <w:top w:val="single" w:sz="4" w:space="0" w:color="auto"/>
              <w:left w:val="nil"/>
              <w:bottom w:val="single" w:sz="4" w:space="0" w:color="auto"/>
              <w:right w:val="single" w:sz="18" w:space="0" w:color="auto"/>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293,07</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650445" w:rsidRPr="00AD76E7" w:rsidRDefault="00650445" w:rsidP="00650445">
            <w:pPr>
              <w:jc w:val="both"/>
              <w:rPr>
                <w:rFonts w:ascii="Calibri" w:hAnsi="Calibri" w:cs="Calibri"/>
                <w:b/>
                <w:bCs/>
                <w:sz w:val="20"/>
              </w:rPr>
            </w:pPr>
            <w:r w:rsidRPr="00AD76E7">
              <w:rPr>
                <w:rFonts w:ascii="Calibri" w:hAnsi="Calibri" w:cs="Calibri"/>
                <w:b/>
                <w:bCs/>
                <w:sz w:val="20"/>
              </w:rPr>
              <w:t>Solárne zisky [ kWh]:</w:t>
            </w:r>
          </w:p>
        </w:tc>
        <w:tc>
          <w:tcPr>
            <w:tcW w:w="1276" w:type="dxa"/>
            <w:tcBorders>
              <w:top w:val="single" w:sz="4" w:space="0" w:color="auto"/>
              <w:left w:val="nil"/>
              <w:bottom w:val="single" w:sz="4" w:space="0" w:color="auto"/>
              <w:right w:val="single" w:sz="4" w:space="0" w:color="000000"/>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Q</w:t>
            </w:r>
            <w:r w:rsidRPr="00AD76E7">
              <w:rPr>
                <w:rFonts w:ascii="Calibri" w:hAnsi="Calibri" w:cs="Calibri"/>
                <w:sz w:val="20"/>
                <w:vertAlign w:val="subscript"/>
              </w:rPr>
              <w:t>S</w:t>
            </w:r>
            <w:r w:rsidRPr="00AD76E7">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2189,26</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650445" w:rsidRPr="00AD76E7" w:rsidRDefault="00650445" w:rsidP="00650445">
            <w:pPr>
              <w:jc w:val="both"/>
              <w:rPr>
                <w:rFonts w:ascii="Calibri" w:hAnsi="Calibri" w:cs="Calibri"/>
                <w:b/>
                <w:bCs/>
                <w:sz w:val="20"/>
              </w:rPr>
            </w:pPr>
            <w:r w:rsidRPr="00AD76E7">
              <w:rPr>
                <w:rFonts w:ascii="Calibri" w:hAnsi="Calibri" w:cs="Calibri"/>
                <w:b/>
                <w:bCs/>
                <w:sz w:val="20"/>
              </w:rPr>
              <w:t>Vnútorné zisky [ kWh]:</w:t>
            </w:r>
          </w:p>
        </w:tc>
        <w:tc>
          <w:tcPr>
            <w:tcW w:w="1276" w:type="dxa"/>
            <w:tcBorders>
              <w:top w:val="single" w:sz="4" w:space="0" w:color="auto"/>
              <w:left w:val="nil"/>
              <w:bottom w:val="single" w:sz="4" w:space="0" w:color="auto"/>
              <w:right w:val="single" w:sz="4" w:space="0" w:color="000000"/>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Q</w:t>
            </w:r>
            <w:r w:rsidRPr="00AD76E7">
              <w:rPr>
                <w:rFonts w:ascii="Calibri" w:hAnsi="Calibri" w:cs="Calibri"/>
                <w:sz w:val="20"/>
                <w:vertAlign w:val="subscript"/>
              </w:rPr>
              <w:t>i</w:t>
            </w:r>
            <w:r w:rsidRPr="00AD76E7">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10093,78</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650445" w:rsidRPr="00AD76E7" w:rsidRDefault="00650445" w:rsidP="00650445">
            <w:pPr>
              <w:jc w:val="both"/>
              <w:rPr>
                <w:rFonts w:ascii="Calibri" w:hAnsi="Calibri" w:cs="Calibri"/>
                <w:b/>
                <w:bCs/>
                <w:sz w:val="20"/>
              </w:rPr>
            </w:pPr>
            <w:r w:rsidRPr="00AD76E7">
              <w:rPr>
                <w:rFonts w:ascii="Calibri" w:hAnsi="Calibri" w:cs="Calibri"/>
                <w:b/>
                <w:bCs/>
                <w:sz w:val="20"/>
              </w:rPr>
              <w:t>Celkové vnútorné zisky [kWh]:</w:t>
            </w:r>
          </w:p>
        </w:tc>
        <w:tc>
          <w:tcPr>
            <w:tcW w:w="1276" w:type="dxa"/>
            <w:tcBorders>
              <w:top w:val="single" w:sz="4" w:space="0" w:color="auto"/>
              <w:left w:val="nil"/>
              <w:bottom w:val="single" w:sz="4" w:space="0" w:color="auto"/>
              <w:right w:val="single" w:sz="4" w:space="0" w:color="000000"/>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Q</w:t>
            </w:r>
            <w:r w:rsidRPr="00AD76E7">
              <w:rPr>
                <w:rFonts w:ascii="Calibri" w:hAnsi="Calibri" w:cs="Calibri"/>
                <w:sz w:val="20"/>
                <w:vertAlign w:val="subscript"/>
              </w:rPr>
              <w:t>i</w:t>
            </w:r>
            <w:r w:rsidRPr="00AD76E7">
              <w:rPr>
                <w:rFonts w:ascii="Calibri" w:hAnsi="Calibri" w:cs="Calibri"/>
                <w:sz w:val="20"/>
              </w:rPr>
              <w:t xml:space="preserve"> + Q</w:t>
            </w:r>
            <w:r w:rsidRPr="00AD76E7">
              <w:rPr>
                <w:rFonts w:ascii="Calibri" w:hAnsi="Calibri" w:cs="Calibri"/>
                <w:sz w:val="20"/>
                <w:vertAlign w:val="subscript"/>
              </w:rPr>
              <w:t>s</w:t>
            </w:r>
            <w:r w:rsidRPr="00AD76E7">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12283,04</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650445" w:rsidRPr="00AD76E7" w:rsidRDefault="00650445" w:rsidP="00650445">
            <w:pPr>
              <w:jc w:val="both"/>
              <w:rPr>
                <w:rFonts w:ascii="Calibri" w:hAnsi="Calibri" w:cs="Calibri"/>
                <w:b/>
                <w:bCs/>
                <w:sz w:val="20"/>
              </w:rPr>
            </w:pPr>
            <w:r w:rsidRPr="00AD76E7">
              <w:rPr>
                <w:rFonts w:ascii="Calibri" w:hAnsi="Calibri" w:cs="Calibri"/>
                <w:b/>
                <w:bCs/>
                <w:sz w:val="20"/>
              </w:rPr>
              <w:t>Potreba tepla na vykurovanie [kWh/rok]:</w:t>
            </w:r>
          </w:p>
        </w:tc>
        <w:tc>
          <w:tcPr>
            <w:tcW w:w="1276" w:type="dxa"/>
            <w:tcBorders>
              <w:top w:val="single" w:sz="4" w:space="0" w:color="auto"/>
              <w:left w:val="nil"/>
              <w:bottom w:val="single" w:sz="4" w:space="0" w:color="auto"/>
              <w:right w:val="single" w:sz="4" w:space="0" w:color="000000"/>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Q</w:t>
            </w:r>
            <w:r w:rsidRPr="00AD76E7">
              <w:rPr>
                <w:rFonts w:ascii="Calibri" w:hAnsi="Calibri" w:cs="Calibri"/>
                <w:sz w:val="20"/>
                <w:vertAlign w:val="subscript"/>
              </w:rPr>
              <w:t>H</w:t>
            </w:r>
            <w:r w:rsidRPr="00AD76E7">
              <w:rPr>
                <w:rFonts w:ascii="Calibri" w:hAnsi="Calibri" w:cs="Calibri"/>
                <w:sz w:val="20"/>
              </w:rPr>
              <w:t xml:space="preserve"> =</w:t>
            </w:r>
          </w:p>
        </w:tc>
        <w:tc>
          <w:tcPr>
            <w:tcW w:w="1417" w:type="dxa"/>
            <w:tcBorders>
              <w:top w:val="single" w:sz="4" w:space="0" w:color="auto"/>
              <w:left w:val="nil"/>
              <w:bottom w:val="single" w:sz="4" w:space="0" w:color="auto"/>
              <w:right w:val="single" w:sz="18" w:space="0" w:color="auto"/>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9883,67</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650445" w:rsidRPr="00AD76E7" w:rsidRDefault="00650445" w:rsidP="00650445">
            <w:pPr>
              <w:jc w:val="both"/>
              <w:rPr>
                <w:rFonts w:ascii="Calibri" w:hAnsi="Calibri" w:cs="Calibri"/>
                <w:b/>
                <w:bCs/>
                <w:sz w:val="20"/>
              </w:rPr>
            </w:pPr>
            <w:r w:rsidRPr="00AD76E7">
              <w:rPr>
                <w:rFonts w:ascii="Calibri" w:hAnsi="Calibri" w:cs="Calibri"/>
                <w:b/>
                <w:bCs/>
                <w:sz w:val="20"/>
              </w:rPr>
              <w:t>Merná potreba tepla na vykurovanie [kWh/(m2.rok)]:</w:t>
            </w:r>
          </w:p>
        </w:tc>
        <w:tc>
          <w:tcPr>
            <w:tcW w:w="1276" w:type="dxa"/>
            <w:tcBorders>
              <w:top w:val="single" w:sz="4" w:space="0" w:color="auto"/>
              <w:left w:val="nil"/>
              <w:bottom w:val="single" w:sz="4" w:space="0" w:color="auto"/>
              <w:right w:val="single" w:sz="4" w:space="0" w:color="000000"/>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Q</w:t>
            </w:r>
            <w:r w:rsidRPr="00AD76E7">
              <w:rPr>
                <w:rFonts w:ascii="Calibri" w:hAnsi="Calibri" w:cs="Calibri"/>
                <w:sz w:val="20"/>
                <w:vertAlign w:val="subscript"/>
              </w:rPr>
              <w:t xml:space="preserve">H,nd1 </w:t>
            </w:r>
            <w:r w:rsidRPr="00AD76E7">
              <w:rPr>
                <w:rFonts w:ascii="Calibri" w:hAnsi="Calibri" w:cs="Calibri"/>
                <w:sz w:val="20"/>
              </w:rPr>
              <w:t>=</w:t>
            </w:r>
          </w:p>
        </w:tc>
        <w:tc>
          <w:tcPr>
            <w:tcW w:w="1417" w:type="dxa"/>
            <w:tcBorders>
              <w:top w:val="single" w:sz="4" w:space="0" w:color="auto"/>
              <w:left w:val="nil"/>
              <w:bottom w:val="single" w:sz="4" w:space="0" w:color="auto"/>
              <w:right w:val="single" w:sz="18" w:space="0" w:color="auto"/>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29,89</w:t>
            </w:r>
          </w:p>
        </w:tc>
      </w:tr>
      <w:tr w:rsidR="00650445" w:rsidRPr="00AD76E7" w:rsidTr="00616A16">
        <w:trPr>
          <w:trHeight w:val="300"/>
        </w:trPr>
        <w:tc>
          <w:tcPr>
            <w:tcW w:w="6531" w:type="dxa"/>
            <w:gridSpan w:val="5"/>
            <w:tcBorders>
              <w:top w:val="single" w:sz="4" w:space="0" w:color="auto"/>
              <w:left w:val="single" w:sz="18" w:space="0" w:color="auto"/>
              <w:bottom w:val="single" w:sz="4" w:space="0" w:color="auto"/>
              <w:right w:val="single" w:sz="4" w:space="0" w:color="000000"/>
            </w:tcBorders>
            <w:noWrap/>
            <w:vAlign w:val="bottom"/>
          </w:tcPr>
          <w:p w:rsidR="00650445" w:rsidRPr="00AD76E7" w:rsidRDefault="00650445" w:rsidP="00650445">
            <w:pPr>
              <w:jc w:val="both"/>
              <w:rPr>
                <w:rFonts w:ascii="Calibri" w:hAnsi="Calibri" w:cs="Calibri"/>
                <w:b/>
                <w:bCs/>
                <w:sz w:val="20"/>
              </w:rPr>
            </w:pPr>
            <w:r w:rsidRPr="00AD76E7">
              <w:rPr>
                <w:rFonts w:ascii="Calibri" w:hAnsi="Calibri" w:cs="Calibri"/>
                <w:b/>
                <w:bCs/>
                <w:sz w:val="20"/>
              </w:rPr>
              <w:t>Normalizovaná hodnota  [kWh/(m2. rok)]:</w:t>
            </w:r>
          </w:p>
        </w:tc>
        <w:tc>
          <w:tcPr>
            <w:tcW w:w="1276" w:type="dxa"/>
            <w:tcBorders>
              <w:top w:val="single" w:sz="4" w:space="0" w:color="auto"/>
              <w:left w:val="nil"/>
              <w:bottom w:val="single" w:sz="4" w:space="0" w:color="auto"/>
              <w:right w:val="single" w:sz="4" w:space="0" w:color="000000"/>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Q</w:t>
            </w:r>
            <w:r w:rsidRPr="00AD76E7">
              <w:rPr>
                <w:rFonts w:ascii="Calibri" w:hAnsi="Calibri" w:cs="Calibri"/>
                <w:sz w:val="20"/>
                <w:vertAlign w:val="subscript"/>
              </w:rPr>
              <w:t xml:space="preserve">H,nd, N1 </w:t>
            </w:r>
            <w:r w:rsidRPr="00AD76E7">
              <w:rPr>
                <w:rFonts w:ascii="Calibri" w:hAnsi="Calibri" w:cs="Calibri"/>
                <w:sz w:val="20"/>
              </w:rPr>
              <w:t>=</w:t>
            </w:r>
          </w:p>
        </w:tc>
        <w:tc>
          <w:tcPr>
            <w:tcW w:w="1417" w:type="dxa"/>
            <w:tcBorders>
              <w:top w:val="single" w:sz="4" w:space="0" w:color="auto"/>
              <w:left w:val="nil"/>
              <w:bottom w:val="single" w:sz="4" w:space="0" w:color="auto"/>
              <w:right w:val="single" w:sz="18" w:space="0" w:color="auto"/>
            </w:tcBorders>
            <w:noWrap/>
            <w:vAlign w:val="bottom"/>
          </w:tcPr>
          <w:p w:rsidR="00650445" w:rsidRPr="00AD76E7" w:rsidRDefault="00650445" w:rsidP="00650445">
            <w:pPr>
              <w:jc w:val="both"/>
              <w:rPr>
                <w:rFonts w:ascii="Calibri" w:hAnsi="Calibri" w:cs="Calibri"/>
                <w:sz w:val="20"/>
              </w:rPr>
            </w:pPr>
            <w:r w:rsidRPr="00AD76E7">
              <w:rPr>
                <w:rFonts w:ascii="Calibri" w:hAnsi="Calibri" w:cs="Calibri"/>
                <w:sz w:val="20"/>
              </w:rPr>
              <w:t>44,10</w:t>
            </w:r>
          </w:p>
        </w:tc>
      </w:tr>
      <w:tr w:rsidR="00650445" w:rsidRPr="00AD76E7" w:rsidTr="00616A16">
        <w:trPr>
          <w:trHeight w:val="300"/>
        </w:trPr>
        <w:tc>
          <w:tcPr>
            <w:tcW w:w="9224" w:type="dxa"/>
            <w:gridSpan w:val="7"/>
            <w:tcBorders>
              <w:top w:val="single" w:sz="18" w:space="0" w:color="auto"/>
              <w:left w:val="single" w:sz="18" w:space="0" w:color="auto"/>
              <w:bottom w:val="single" w:sz="4" w:space="0" w:color="auto"/>
              <w:right w:val="single" w:sz="18" w:space="0" w:color="auto"/>
            </w:tcBorders>
            <w:noWrap/>
            <w:vAlign w:val="center"/>
          </w:tcPr>
          <w:p w:rsidR="00650445" w:rsidRPr="00AD76E7" w:rsidRDefault="00650445" w:rsidP="00650445">
            <w:pPr>
              <w:jc w:val="both"/>
              <w:rPr>
                <w:rFonts w:ascii="Calibri" w:hAnsi="Calibri" w:cs="Calibri"/>
                <w:sz w:val="20"/>
              </w:rPr>
            </w:pPr>
            <w:r w:rsidRPr="00AD76E7">
              <w:rPr>
                <w:rFonts w:ascii="Calibri" w:hAnsi="Calibri" w:cs="Calibri"/>
                <w:b/>
                <w:bCs/>
                <w:sz w:val="20"/>
              </w:rPr>
              <w:t>Hodnotenie potreby tepla na vykurovanie [kWh/(m2.rok)]</w:t>
            </w:r>
          </w:p>
        </w:tc>
      </w:tr>
      <w:tr w:rsidR="00650445" w:rsidRPr="00AD76E7" w:rsidTr="00616A16">
        <w:trPr>
          <w:trHeight w:val="300"/>
        </w:trPr>
        <w:tc>
          <w:tcPr>
            <w:tcW w:w="1629" w:type="dxa"/>
            <w:tcBorders>
              <w:top w:val="single" w:sz="4" w:space="0" w:color="auto"/>
              <w:left w:val="single" w:sz="18" w:space="0" w:color="auto"/>
              <w:bottom w:val="single" w:sz="18" w:space="0" w:color="auto"/>
              <w:right w:val="single" w:sz="8" w:space="0" w:color="000000"/>
            </w:tcBorders>
            <w:noWrap/>
            <w:vAlign w:val="center"/>
          </w:tcPr>
          <w:p w:rsidR="00650445" w:rsidRPr="00AD76E7" w:rsidRDefault="00650445" w:rsidP="00650445">
            <w:pPr>
              <w:jc w:val="both"/>
              <w:rPr>
                <w:rFonts w:ascii="Calibri" w:hAnsi="Calibri" w:cs="Calibri"/>
                <w:sz w:val="20"/>
              </w:rPr>
            </w:pPr>
            <w:r w:rsidRPr="00AD76E7">
              <w:rPr>
                <w:rFonts w:ascii="Calibri" w:hAnsi="Calibri" w:cs="Calibri"/>
                <w:sz w:val="20"/>
              </w:rPr>
              <w:t>Q</w:t>
            </w:r>
            <w:r w:rsidRPr="00AD76E7">
              <w:rPr>
                <w:rFonts w:ascii="Calibri" w:hAnsi="Calibri" w:cs="Calibri"/>
                <w:sz w:val="20"/>
                <w:vertAlign w:val="subscript"/>
              </w:rPr>
              <w:t xml:space="preserve">H,nd1 </w:t>
            </w:r>
            <w:r w:rsidRPr="00AD76E7">
              <w:rPr>
                <w:rFonts w:ascii="Calibri" w:hAnsi="Calibri" w:cs="Calibri"/>
                <w:sz w:val="20"/>
              </w:rPr>
              <w:t>=</w:t>
            </w:r>
          </w:p>
        </w:tc>
        <w:tc>
          <w:tcPr>
            <w:tcW w:w="1358" w:type="dxa"/>
            <w:tcBorders>
              <w:top w:val="single" w:sz="4" w:space="0" w:color="auto"/>
              <w:left w:val="single" w:sz="8" w:space="0" w:color="auto"/>
              <w:bottom w:val="single" w:sz="18" w:space="0" w:color="auto"/>
              <w:right w:val="single" w:sz="8" w:space="0" w:color="000000"/>
            </w:tcBorders>
            <w:vAlign w:val="bottom"/>
          </w:tcPr>
          <w:p w:rsidR="00650445" w:rsidRPr="00AD76E7" w:rsidRDefault="00650445" w:rsidP="00650445">
            <w:pPr>
              <w:jc w:val="both"/>
              <w:rPr>
                <w:rFonts w:ascii="Calibri" w:hAnsi="Calibri" w:cs="Calibri"/>
                <w:sz w:val="20"/>
              </w:rPr>
            </w:pPr>
            <w:r w:rsidRPr="00AD76E7">
              <w:rPr>
                <w:rFonts w:ascii="Calibri" w:hAnsi="Calibri" w:cs="Calibri"/>
                <w:sz w:val="20"/>
              </w:rPr>
              <w:t>29,89</w:t>
            </w:r>
          </w:p>
        </w:tc>
        <w:tc>
          <w:tcPr>
            <w:tcW w:w="1418" w:type="dxa"/>
            <w:tcBorders>
              <w:top w:val="single" w:sz="4" w:space="0" w:color="auto"/>
              <w:left w:val="single" w:sz="8" w:space="0" w:color="auto"/>
              <w:bottom w:val="single" w:sz="18" w:space="0" w:color="auto"/>
              <w:right w:val="single" w:sz="8" w:space="0" w:color="000000"/>
            </w:tcBorders>
            <w:vAlign w:val="center"/>
          </w:tcPr>
          <w:p w:rsidR="00650445" w:rsidRPr="00AD76E7" w:rsidRDefault="00650445" w:rsidP="00650445">
            <w:pPr>
              <w:jc w:val="both"/>
              <w:rPr>
                <w:rFonts w:ascii="Calibri" w:hAnsi="Calibri" w:cs="Calibri"/>
                <w:sz w:val="20"/>
              </w:rPr>
            </w:pPr>
            <w:r w:rsidRPr="00AD76E7">
              <w:rPr>
                <w:rFonts w:ascii="Calibri" w:hAnsi="Calibri" w:cs="Calibri"/>
                <w:bCs/>
                <w:sz w:val="20"/>
              </w:rPr>
              <w:t>&lt;</w:t>
            </w:r>
          </w:p>
        </w:tc>
        <w:tc>
          <w:tcPr>
            <w:tcW w:w="1417" w:type="dxa"/>
            <w:tcBorders>
              <w:top w:val="single" w:sz="4" w:space="0" w:color="auto"/>
              <w:left w:val="single" w:sz="8" w:space="0" w:color="auto"/>
              <w:bottom w:val="single" w:sz="18" w:space="0" w:color="auto"/>
              <w:right w:val="single" w:sz="8" w:space="0" w:color="000000"/>
            </w:tcBorders>
            <w:vAlign w:val="center"/>
          </w:tcPr>
          <w:p w:rsidR="00650445" w:rsidRPr="00AD76E7" w:rsidRDefault="00650445" w:rsidP="00650445">
            <w:pPr>
              <w:jc w:val="both"/>
              <w:rPr>
                <w:rFonts w:ascii="Calibri" w:hAnsi="Calibri" w:cs="Calibri"/>
                <w:sz w:val="20"/>
              </w:rPr>
            </w:pPr>
            <w:r w:rsidRPr="00AD76E7">
              <w:rPr>
                <w:rFonts w:ascii="Calibri" w:hAnsi="Calibri" w:cs="Calibri"/>
                <w:sz w:val="20"/>
              </w:rPr>
              <w:t>Q</w:t>
            </w:r>
            <w:r w:rsidRPr="00AD76E7">
              <w:rPr>
                <w:rFonts w:ascii="Calibri" w:hAnsi="Calibri" w:cs="Calibri"/>
                <w:sz w:val="20"/>
                <w:vertAlign w:val="subscript"/>
              </w:rPr>
              <w:t xml:space="preserve">H,nd, N1 </w:t>
            </w:r>
            <w:r w:rsidRPr="00AD76E7">
              <w:rPr>
                <w:rFonts w:ascii="Calibri" w:hAnsi="Calibri" w:cs="Calibri"/>
                <w:sz w:val="20"/>
              </w:rPr>
              <w:t>=</w:t>
            </w:r>
          </w:p>
        </w:tc>
        <w:tc>
          <w:tcPr>
            <w:tcW w:w="1985" w:type="dxa"/>
            <w:gridSpan w:val="2"/>
            <w:tcBorders>
              <w:top w:val="single" w:sz="4" w:space="0" w:color="auto"/>
              <w:left w:val="single" w:sz="8" w:space="0" w:color="auto"/>
              <w:bottom w:val="single" w:sz="18" w:space="0" w:color="auto"/>
              <w:right w:val="single" w:sz="8" w:space="0" w:color="000000"/>
            </w:tcBorders>
            <w:vAlign w:val="bottom"/>
          </w:tcPr>
          <w:p w:rsidR="00650445" w:rsidRPr="00AD76E7" w:rsidRDefault="00650445" w:rsidP="00650445">
            <w:pPr>
              <w:jc w:val="both"/>
              <w:rPr>
                <w:rFonts w:ascii="Calibri" w:hAnsi="Calibri" w:cs="Calibri"/>
                <w:sz w:val="20"/>
              </w:rPr>
            </w:pPr>
            <w:r w:rsidRPr="00AD76E7">
              <w:rPr>
                <w:rFonts w:ascii="Calibri" w:hAnsi="Calibri" w:cs="Calibri"/>
                <w:sz w:val="20"/>
              </w:rPr>
              <w:t>44,10</w:t>
            </w:r>
          </w:p>
        </w:tc>
        <w:tc>
          <w:tcPr>
            <w:tcW w:w="1417" w:type="dxa"/>
            <w:tcBorders>
              <w:top w:val="single" w:sz="4" w:space="0" w:color="auto"/>
              <w:left w:val="single" w:sz="8" w:space="0" w:color="auto"/>
              <w:bottom w:val="single" w:sz="18" w:space="0" w:color="auto"/>
              <w:right w:val="single" w:sz="18" w:space="0" w:color="auto"/>
            </w:tcBorders>
            <w:vAlign w:val="center"/>
          </w:tcPr>
          <w:p w:rsidR="00650445" w:rsidRPr="00AD76E7" w:rsidRDefault="00650445" w:rsidP="00650445">
            <w:pPr>
              <w:jc w:val="both"/>
              <w:rPr>
                <w:rFonts w:ascii="Calibri" w:hAnsi="Calibri" w:cs="Calibri"/>
                <w:sz w:val="20"/>
              </w:rPr>
            </w:pPr>
            <w:r w:rsidRPr="00AD76E7">
              <w:rPr>
                <w:rFonts w:ascii="Calibri" w:hAnsi="Calibri" w:cs="Calibri"/>
                <w:bCs/>
                <w:i/>
                <w:sz w:val="20"/>
              </w:rPr>
              <w:t>VYHOVUJE</w:t>
            </w:r>
          </w:p>
        </w:tc>
      </w:tr>
    </w:tbl>
    <w:p w:rsidR="00650445" w:rsidRPr="00AD76E7" w:rsidRDefault="00650445" w:rsidP="00650445">
      <w:pPr>
        <w:jc w:val="both"/>
        <w:rPr>
          <w:rFonts w:ascii="Calibri" w:hAnsi="Calibri" w:cs="Calibri"/>
          <w:sz w:val="20"/>
        </w:rPr>
      </w:pPr>
    </w:p>
    <w:p w:rsidR="00650445" w:rsidRPr="00AD76E7" w:rsidRDefault="00650445" w:rsidP="00650445">
      <w:pPr>
        <w:ind w:firstLine="720"/>
        <w:jc w:val="both"/>
        <w:rPr>
          <w:rFonts w:ascii="Calibri" w:hAnsi="Calibri" w:cs="Calibri"/>
          <w:b/>
          <w:noProof/>
          <w:sz w:val="20"/>
        </w:rPr>
      </w:pPr>
      <w:r w:rsidRPr="00AD76E7">
        <w:rPr>
          <w:rFonts w:ascii="Calibri" w:hAnsi="Calibri" w:cs="Calibri"/>
          <w:b/>
          <w:sz w:val="20"/>
        </w:rPr>
        <w:t xml:space="preserve">Na základe hore uvedených výpočtov možno konštatovať, že objekt SPĹŇA energetické kritérium podľa STN 73 0540. </w:t>
      </w:r>
    </w:p>
    <w:p w:rsidR="00650445" w:rsidRPr="00AD76E7" w:rsidRDefault="00650445" w:rsidP="00650445">
      <w:pPr>
        <w:autoSpaceDE w:val="0"/>
        <w:autoSpaceDN w:val="0"/>
        <w:adjustRightInd w:val="0"/>
        <w:ind w:firstLine="708"/>
        <w:jc w:val="both"/>
        <w:rPr>
          <w:rFonts w:ascii="Calibri" w:hAnsi="Calibri" w:cs="Calibri"/>
          <w:sz w:val="20"/>
        </w:rPr>
      </w:pPr>
      <w:r w:rsidRPr="00AD76E7">
        <w:rPr>
          <w:rFonts w:ascii="Calibri" w:hAnsi="Calibri" w:cs="Calibri"/>
          <w:sz w:val="20"/>
        </w:rPr>
        <w:t>Pri stanovení potreby tepla treba upozorniť na rozdiely medzi výpočtovými</w:t>
      </w:r>
    </w:p>
    <w:p w:rsidR="00650445" w:rsidRPr="00AD76E7" w:rsidRDefault="00650445" w:rsidP="00650445">
      <w:pPr>
        <w:autoSpaceDE w:val="0"/>
        <w:autoSpaceDN w:val="0"/>
        <w:adjustRightInd w:val="0"/>
        <w:jc w:val="both"/>
        <w:rPr>
          <w:rFonts w:ascii="Calibri" w:hAnsi="Calibri" w:cs="Calibri"/>
          <w:sz w:val="20"/>
        </w:rPr>
      </w:pPr>
      <w:r w:rsidRPr="00AD76E7">
        <w:rPr>
          <w:rFonts w:ascii="Calibri" w:hAnsi="Calibri" w:cs="Calibri"/>
          <w:sz w:val="20"/>
        </w:rPr>
        <w:lastRenderedPageBreak/>
        <w:t>predpokladmi a skutočnými podmienkami budovy, ktoré môžu vzniknúť vplyvom odlišností medzi</w:t>
      </w:r>
    </w:p>
    <w:p w:rsidR="00650445" w:rsidRPr="00AD76E7" w:rsidRDefault="00650445" w:rsidP="00650445">
      <w:pPr>
        <w:autoSpaceDE w:val="0"/>
        <w:autoSpaceDN w:val="0"/>
        <w:adjustRightInd w:val="0"/>
        <w:jc w:val="both"/>
        <w:rPr>
          <w:rFonts w:ascii="Calibri" w:hAnsi="Calibri" w:cs="Calibri"/>
          <w:sz w:val="20"/>
        </w:rPr>
      </w:pPr>
      <w:r w:rsidRPr="00AD76E7">
        <w:rPr>
          <w:rFonts w:ascii="Calibri" w:hAnsi="Calibri" w:cs="Calibri"/>
          <w:sz w:val="20"/>
        </w:rPr>
        <w:t>projektovou dokumentáciou a realizovanou stavbou, rôznym užívaním objektu užívateľmi a rovnako</w:t>
      </w:r>
    </w:p>
    <w:p w:rsidR="00650445" w:rsidRPr="00AD76E7" w:rsidRDefault="00650445" w:rsidP="00650445">
      <w:pPr>
        <w:autoSpaceDE w:val="0"/>
        <w:autoSpaceDN w:val="0"/>
        <w:adjustRightInd w:val="0"/>
        <w:jc w:val="both"/>
        <w:rPr>
          <w:rFonts w:ascii="Calibri" w:hAnsi="Calibri" w:cs="Calibri"/>
          <w:sz w:val="20"/>
        </w:rPr>
      </w:pPr>
      <w:r w:rsidRPr="00AD76E7">
        <w:rPr>
          <w:rFonts w:ascii="Calibri" w:hAnsi="Calibri" w:cs="Calibri"/>
          <w:sz w:val="20"/>
        </w:rPr>
        <w:t>zjednodušeniami, ktoré sú podmienené výpočtovými postupmi.</w:t>
      </w:r>
    </w:p>
    <w:p w:rsidR="00650445" w:rsidRPr="00AD76E7" w:rsidRDefault="00650445" w:rsidP="00165ED7">
      <w:pPr>
        <w:pStyle w:val="Nadpis1"/>
      </w:pPr>
      <w:bookmarkStart w:id="169" w:name="_Toc1897626"/>
      <w:r w:rsidRPr="00AD76E7">
        <w:t>5. Prílohy</w:t>
      </w:r>
      <w:bookmarkEnd w:id="169"/>
    </w:p>
    <w:p w:rsidR="00650445" w:rsidRPr="00AD76E7" w:rsidRDefault="00650445" w:rsidP="00650445">
      <w:pPr>
        <w:pStyle w:val="Nadpis2"/>
        <w:numPr>
          <w:ilvl w:val="0"/>
          <w:numId w:val="0"/>
        </w:numPr>
        <w:ind w:left="397" w:hanging="397"/>
        <w:jc w:val="both"/>
        <w:rPr>
          <w:rFonts w:ascii="Calibri" w:hAnsi="Calibri" w:cs="Calibri"/>
          <w:szCs w:val="20"/>
        </w:rPr>
      </w:pPr>
      <w:bookmarkStart w:id="170" w:name="_Toc1897627"/>
      <w:r w:rsidRPr="00AD76E7">
        <w:rPr>
          <w:rFonts w:ascii="Calibri" w:hAnsi="Calibri" w:cs="Calibri"/>
          <w:szCs w:val="20"/>
        </w:rPr>
        <w:t>5.1 Výpočet tepelnoizolačných vlastností stavebných konštrukcií</w:t>
      </w:r>
      <w:bookmarkEnd w:id="170"/>
    </w:p>
    <w:p w:rsidR="00650445" w:rsidRPr="00AD76E7" w:rsidRDefault="00650445" w:rsidP="00650445">
      <w:pPr>
        <w:pStyle w:val="Nadpis3"/>
        <w:numPr>
          <w:ilvl w:val="0"/>
          <w:numId w:val="0"/>
        </w:numPr>
        <w:ind w:left="397" w:hanging="397"/>
        <w:jc w:val="both"/>
        <w:rPr>
          <w:rFonts w:ascii="Calibri" w:hAnsi="Calibri" w:cs="Calibri"/>
        </w:rPr>
      </w:pPr>
      <w:bookmarkStart w:id="171" w:name="_Toc1897628"/>
      <w:r w:rsidRPr="00AD76E7">
        <w:rPr>
          <w:rFonts w:ascii="Calibri" w:hAnsi="Calibri" w:cs="Calibri"/>
        </w:rPr>
        <w:t>5.1.1 Strecha - šikmá</w:t>
      </w:r>
      <w:bookmarkEnd w:id="171"/>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VYHODNOTENIE VÝSLEDKOV PODĽA STN 730540-2</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b/>
          <w:bCs/>
          <w:sz w:val="20"/>
        </w:rPr>
        <w:t xml:space="preserve">Názov konštrukcie                   :  </w:t>
      </w:r>
      <w:r w:rsidRPr="00AD76E7">
        <w:rPr>
          <w:rFonts w:ascii="Calibri" w:hAnsi="Calibri" w:cs="Calibri"/>
          <w:b/>
          <w:bCs/>
          <w:sz w:val="20"/>
        </w:rPr>
        <w:tab/>
      </w:r>
      <w:r w:rsidRPr="00AD76E7">
        <w:rPr>
          <w:rFonts w:ascii="Calibri" w:hAnsi="Calibri" w:cs="Calibri"/>
          <w:b/>
          <w:sz w:val="20"/>
          <w:u w:val="single"/>
        </w:rPr>
        <w:t>Strecha SO 02</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r w:rsidR="00D717DF">
        <w:rPr>
          <w:rFonts w:ascii="Calibri" w:hAnsi="Calibri" w:cs="Calibri"/>
          <w:b/>
          <w:bCs/>
          <w:sz w:val="20"/>
          <w:u w:val="single"/>
        </w:rPr>
        <w:t>Rekapitulácia dá</w:t>
      </w:r>
      <w:r w:rsidRPr="00AD76E7">
        <w:rPr>
          <w:rFonts w:ascii="Calibri" w:hAnsi="Calibri" w:cs="Calibri"/>
          <w:b/>
          <w:bCs/>
          <w:sz w:val="20"/>
          <w:u w:val="single"/>
        </w:rPr>
        <w:t>t:</w:t>
      </w: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Teplota vnútorného vzduchu      Tai =  </w:t>
      </w:r>
      <w:r w:rsidRPr="00AD76E7">
        <w:rPr>
          <w:rFonts w:ascii="Calibri" w:hAnsi="Calibri" w:cs="Calibri"/>
          <w:sz w:val="20"/>
        </w:rPr>
        <w:tab/>
        <w:t>20,00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Rel. vlhkosť vnútorného vzduchu Fii =  </w:t>
      </w:r>
      <w:r w:rsidRPr="00AD76E7">
        <w:rPr>
          <w:rFonts w:ascii="Calibri" w:hAnsi="Calibri" w:cs="Calibri"/>
          <w:sz w:val="20"/>
        </w:rPr>
        <w:tab/>
        <w:t>50,00 %</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sz w:val="20"/>
        </w:rPr>
        <w:tab/>
      </w:r>
      <w:r w:rsidRPr="00AD76E7">
        <w:rPr>
          <w:rFonts w:ascii="Calibri" w:hAnsi="Calibri" w:cs="Calibri"/>
          <w:b/>
          <w:bCs/>
          <w:sz w:val="20"/>
        </w:rPr>
        <w:t>Hodnotená konštrukcia:</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Čislo </w:t>
      </w:r>
      <w:r w:rsidRPr="00AD76E7">
        <w:rPr>
          <w:rFonts w:ascii="Calibri" w:hAnsi="Calibri" w:cs="Calibri"/>
          <w:b/>
          <w:bCs/>
          <w:sz w:val="20"/>
        </w:rPr>
        <w:tab/>
        <w:t xml:space="preserve">Názov vrstvy </w:t>
      </w:r>
      <w:r w:rsidRPr="00AD76E7">
        <w:rPr>
          <w:rFonts w:ascii="Calibri" w:hAnsi="Calibri" w:cs="Calibri"/>
          <w:b/>
          <w:bCs/>
          <w:sz w:val="20"/>
        </w:rPr>
        <w:tab/>
        <w:t xml:space="preserve">d [m] </w:t>
      </w:r>
      <w:r w:rsidRPr="00AD76E7">
        <w:rPr>
          <w:rFonts w:ascii="Calibri" w:hAnsi="Calibri" w:cs="Calibri"/>
          <w:b/>
          <w:bCs/>
          <w:sz w:val="20"/>
        </w:rPr>
        <w:tab/>
        <w:t xml:space="preserve">Lambda [W/mK] </w:t>
      </w:r>
      <w:r w:rsidRPr="00AD76E7">
        <w:rPr>
          <w:rFonts w:ascii="Calibri" w:hAnsi="Calibri" w:cs="Calibri"/>
          <w:b/>
          <w:bCs/>
          <w:sz w:val="20"/>
        </w:rPr>
        <w:tab/>
        <w:t>Mi [-]</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1 </w:t>
      </w:r>
      <w:r w:rsidRPr="00AD76E7">
        <w:rPr>
          <w:rFonts w:ascii="Calibri" w:hAnsi="Calibri" w:cs="Calibri"/>
          <w:sz w:val="20"/>
        </w:rPr>
        <w:tab/>
        <w:t xml:space="preserve">Parozábrana </w:t>
      </w:r>
      <w:r w:rsidRPr="00AD76E7">
        <w:rPr>
          <w:rFonts w:ascii="Calibri" w:hAnsi="Calibri" w:cs="Calibri"/>
          <w:sz w:val="20"/>
        </w:rPr>
        <w:tab/>
        <w:t xml:space="preserve">0,0002 </w:t>
      </w:r>
      <w:r w:rsidRPr="00AD76E7">
        <w:rPr>
          <w:rFonts w:ascii="Calibri" w:hAnsi="Calibri" w:cs="Calibri"/>
          <w:sz w:val="20"/>
        </w:rPr>
        <w:tab/>
        <w:t xml:space="preserve">     0,350 </w:t>
      </w:r>
      <w:r w:rsidRPr="00AD76E7">
        <w:rPr>
          <w:rFonts w:ascii="Calibri" w:hAnsi="Calibri" w:cs="Calibri"/>
          <w:sz w:val="20"/>
        </w:rPr>
        <w:tab/>
        <w:t>21000,0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2 </w:t>
      </w:r>
      <w:r w:rsidRPr="00AD76E7">
        <w:rPr>
          <w:rFonts w:ascii="Calibri" w:hAnsi="Calibri" w:cs="Calibri"/>
          <w:sz w:val="20"/>
        </w:rPr>
        <w:tab/>
        <w:t xml:space="preserve">TI - Minerálna vlna </w:t>
      </w:r>
      <w:r w:rsidRPr="00AD76E7">
        <w:rPr>
          <w:rFonts w:ascii="Calibri" w:hAnsi="Calibri" w:cs="Calibri"/>
          <w:sz w:val="20"/>
        </w:rPr>
        <w:tab/>
        <w:t xml:space="preserve">0,200 </w:t>
      </w:r>
      <w:r w:rsidRPr="00AD76E7">
        <w:rPr>
          <w:rFonts w:ascii="Calibri" w:hAnsi="Calibri" w:cs="Calibri"/>
          <w:sz w:val="20"/>
        </w:rPr>
        <w:tab/>
        <w:t xml:space="preserve">     0,038 </w:t>
      </w:r>
      <w:r w:rsidRPr="00AD76E7">
        <w:rPr>
          <w:rFonts w:ascii="Calibri" w:hAnsi="Calibri" w:cs="Calibri"/>
          <w:sz w:val="20"/>
        </w:rPr>
        <w:tab/>
        <w:t>1,0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3 </w:t>
      </w:r>
      <w:r w:rsidRPr="00AD76E7">
        <w:rPr>
          <w:rFonts w:ascii="Calibri" w:hAnsi="Calibri" w:cs="Calibri"/>
          <w:sz w:val="20"/>
        </w:rPr>
        <w:tab/>
        <w:t xml:space="preserve">Drevovlákno STEICO </w:t>
      </w:r>
      <w:r w:rsidRPr="00AD76E7">
        <w:rPr>
          <w:rFonts w:ascii="Calibri" w:hAnsi="Calibri" w:cs="Calibri"/>
          <w:sz w:val="20"/>
        </w:rPr>
        <w:tab/>
        <w:t xml:space="preserve">0,100 </w:t>
      </w:r>
      <w:r w:rsidRPr="00AD76E7">
        <w:rPr>
          <w:rFonts w:ascii="Calibri" w:hAnsi="Calibri" w:cs="Calibri"/>
          <w:sz w:val="20"/>
        </w:rPr>
        <w:tab/>
        <w:t xml:space="preserve">     0,036 </w:t>
      </w:r>
      <w:r w:rsidRPr="00AD76E7">
        <w:rPr>
          <w:rFonts w:ascii="Calibri" w:hAnsi="Calibri" w:cs="Calibri"/>
          <w:sz w:val="20"/>
        </w:rPr>
        <w:tab/>
        <w:t>1,2</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4 </w:t>
      </w:r>
      <w:r w:rsidRPr="00AD76E7">
        <w:rPr>
          <w:rFonts w:ascii="Calibri" w:hAnsi="Calibri" w:cs="Calibri"/>
          <w:sz w:val="20"/>
        </w:rPr>
        <w:tab/>
        <w:t xml:space="preserve">Poistná HI </w:t>
      </w:r>
      <w:r w:rsidRPr="00AD76E7">
        <w:rPr>
          <w:rFonts w:ascii="Calibri" w:hAnsi="Calibri" w:cs="Calibri"/>
          <w:sz w:val="20"/>
        </w:rPr>
        <w:tab/>
        <w:t xml:space="preserve">0,0002 </w:t>
      </w:r>
      <w:r w:rsidRPr="00AD76E7">
        <w:rPr>
          <w:rFonts w:ascii="Calibri" w:hAnsi="Calibri" w:cs="Calibri"/>
          <w:sz w:val="20"/>
        </w:rPr>
        <w:tab/>
        <w:t xml:space="preserve">     0,350 </w:t>
      </w:r>
      <w:r w:rsidRPr="00AD76E7">
        <w:rPr>
          <w:rFonts w:ascii="Calibri" w:hAnsi="Calibri" w:cs="Calibri"/>
          <w:sz w:val="20"/>
        </w:rPr>
        <w:tab/>
        <w:t>87,0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 Požiadavka na vnútornú povrchovú teplotu (čl. 3.1.1)</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Táto požiadavka sa nevzťahuje na presklené výplne.</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Tsi,N = Tsi,80 + dTsi =  </w:t>
      </w:r>
      <w:r w:rsidRPr="00AD76E7">
        <w:rPr>
          <w:rFonts w:ascii="Calibri" w:hAnsi="Calibri" w:cs="Calibri"/>
          <w:sz w:val="20"/>
        </w:rPr>
        <w:tab/>
        <w:t>12,63+0,20 = 12,83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Tsi =  </w:t>
      </w:r>
      <w:r w:rsidRPr="00AD76E7">
        <w:rPr>
          <w:rFonts w:ascii="Calibri" w:hAnsi="Calibri" w:cs="Calibri"/>
          <w:sz w:val="20"/>
        </w:rPr>
        <w:tab/>
        <w:t>19,07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b/>
          <w:bCs/>
          <w:sz w:val="20"/>
        </w:rPr>
        <w:tab/>
        <w:t xml:space="preserve"> Tsi &gt; Tsi,N ... POŽIADAVKA JE SPLNENÁ.</w:t>
      </w: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Pozn.: Povrch. teploty v mieste tepelných mostov v skladbe je nutné určiť riešením teplotného poľa.</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II. Požiadavka na tepelný odpor a súčinitel prechodu tepla (čl. 3.2.1)</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 Rn =  </w:t>
      </w:r>
      <w:r w:rsidRPr="00AD76E7">
        <w:rPr>
          <w:rFonts w:ascii="Calibri" w:hAnsi="Calibri" w:cs="Calibri"/>
          <w:sz w:val="20"/>
        </w:rPr>
        <w:tab/>
        <w:t>6,50 m2K/W</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R  =  </w:t>
      </w:r>
      <w:r w:rsidRPr="00AD76E7">
        <w:rPr>
          <w:rFonts w:ascii="Calibri" w:hAnsi="Calibri" w:cs="Calibri"/>
          <w:sz w:val="20"/>
        </w:rPr>
        <w:tab/>
        <w:t>8,04 m2K/W</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R &gt; Rn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 Un =  </w:t>
      </w:r>
      <w:r w:rsidRPr="00AD76E7">
        <w:rPr>
          <w:rFonts w:ascii="Calibri" w:hAnsi="Calibri" w:cs="Calibri"/>
          <w:sz w:val="20"/>
        </w:rPr>
        <w:tab/>
        <w:t>0,15 W/m2K</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U  =  </w:t>
      </w:r>
      <w:r w:rsidRPr="00AD76E7">
        <w:rPr>
          <w:rFonts w:ascii="Calibri" w:hAnsi="Calibri" w:cs="Calibri"/>
          <w:sz w:val="20"/>
        </w:rPr>
        <w:tab/>
        <w:t>0,12 W/m2K</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U &lt; Un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III. Požiadavky na šírenie vlhkosti konštrukciou (čl. 4.1)</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t xml:space="preserve"> Požiadavky: </w:t>
      </w:r>
      <w:r w:rsidRPr="00AD76E7">
        <w:rPr>
          <w:rFonts w:ascii="Calibri" w:hAnsi="Calibri" w:cs="Calibri"/>
          <w:sz w:val="20"/>
        </w:rPr>
        <w:tab/>
        <w:t xml:space="preserve"> 1. Skondenzovaná vodná para nesmie ohroziť funkciu kcie.</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 xml:space="preserve"> 2. Ročná bilancia vodnej pary musí byť aktívna, tj. Gk&lt;Gv (Ma,vysl=0).</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 xml:space="preserve"> 3. Množstvo kondenzátu musí byť Gk (Ma) &lt; 0,1 kg/m2,rok.</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Vypočítané hodnoty: </w:t>
      </w:r>
      <w:r w:rsidRPr="00AD76E7">
        <w:rPr>
          <w:rFonts w:ascii="Calibri" w:hAnsi="Calibri" w:cs="Calibri"/>
          <w:sz w:val="20"/>
        </w:rPr>
        <w:tab/>
        <w:t xml:space="preserve"> V kci nedochádza pri ext. výpočt. teplote ku kondenzácii.</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Default="00650445" w:rsidP="00650445">
      <w:pPr>
        <w:tabs>
          <w:tab w:val="left" w:pos="0"/>
          <w:tab w:val="left" w:pos="100"/>
          <w:tab w:val="left" w:pos="1800"/>
          <w:tab w:val="left" w:pos="25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POŽIADAVKY SÚ SPLNENÉ.</w:t>
      </w:r>
    </w:p>
    <w:p w:rsidR="00650445" w:rsidRPr="00AD76E7" w:rsidRDefault="00650445" w:rsidP="00650445">
      <w:pPr>
        <w:pStyle w:val="Nadpis3"/>
        <w:numPr>
          <w:ilvl w:val="0"/>
          <w:numId w:val="0"/>
        </w:numPr>
        <w:jc w:val="both"/>
        <w:rPr>
          <w:rFonts w:ascii="Calibri" w:hAnsi="Calibri" w:cs="Calibri"/>
        </w:rPr>
      </w:pPr>
      <w:bookmarkStart w:id="172" w:name="_Toc1897629"/>
      <w:r w:rsidRPr="00AD76E7">
        <w:rPr>
          <w:rFonts w:ascii="Calibri" w:hAnsi="Calibri" w:cs="Calibri"/>
        </w:rPr>
        <w:t>5.1.2 Strecha - plochá</w:t>
      </w:r>
      <w:bookmarkEnd w:id="172"/>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VYHODNOTENIE VÝSLEDKOV PODĽA STN 730540-2</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b/>
          <w:bCs/>
          <w:sz w:val="20"/>
        </w:rPr>
        <w:t xml:space="preserve">Názov konštrukcie                   :  </w:t>
      </w:r>
      <w:r w:rsidRPr="00AD76E7">
        <w:rPr>
          <w:rFonts w:ascii="Calibri" w:hAnsi="Calibri" w:cs="Calibri"/>
          <w:b/>
          <w:bCs/>
          <w:sz w:val="20"/>
        </w:rPr>
        <w:tab/>
      </w:r>
      <w:r w:rsidR="00AD76E7">
        <w:rPr>
          <w:rFonts w:ascii="Calibri" w:hAnsi="Calibri" w:cs="Calibri"/>
          <w:b/>
          <w:sz w:val="20"/>
          <w:u w:val="single"/>
        </w:rPr>
        <w:t>Strecha plochá</w:t>
      </w:r>
      <w:r w:rsidRPr="00AD76E7">
        <w:rPr>
          <w:rFonts w:ascii="Calibri" w:hAnsi="Calibri" w:cs="Calibri"/>
          <w:b/>
          <w:sz w:val="20"/>
          <w:u w:val="single"/>
        </w:rPr>
        <w:t xml:space="preserve"> SO 02</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r w:rsidR="00AD76E7">
        <w:rPr>
          <w:rFonts w:ascii="Calibri" w:hAnsi="Calibri" w:cs="Calibri"/>
          <w:b/>
          <w:bCs/>
          <w:sz w:val="20"/>
          <w:u w:val="single"/>
        </w:rPr>
        <w:t>Rekapitulácia dá</w:t>
      </w:r>
      <w:r w:rsidRPr="00AD76E7">
        <w:rPr>
          <w:rFonts w:ascii="Calibri" w:hAnsi="Calibri" w:cs="Calibri"/>
          <w:b/>
          <w:bCs/>
          <w:sz w:val="20"/>
          <w:u w:val="single"/>
        </w:rPr>
        <w:t>t:</w:t>
      </w: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lastRenderedPageBreak/>
        <w:tab/>
        <w:t xml:space="preserve">Teplota vnútorného vzduchu      Tai =  </w:t>
      </w:r>
      <w:r w:rsidRPr="00AD76E7">
        <w:rPr>
          <w:rFonts w:ascii="Calibri" w:hAnsi="Calibri" w:cs="Calibri"/>
          <w:sz w:val="20"/>
        </w:rPr>
        <w:tab/>
        <w:t>20,00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Rel. vlhkosť vnútorného vzduchu Fii =  </w:t>
      </w:r>
      <w:r w:rsidRPr="00AD76E7">
        <w:rPr>
          <w:rFonts w:ascii="Calibri" w:hAnsi="Calibri" w:cs="Calibri"/>
          <w:sz w:val="20"/>
        </w:rPr>
        <w:tab/>
        <w:t>50,00 %</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sz w:val="20"/>
        </w:rPr>
        <w:tab/>
      </w:r>
      <w:r w:rsidRPr="00AD76E7">
        <w:rPr>
          <w:rFonts w:ascii="Calibri" w:hAnsi="Calibri" w:cs="Calibri"/>
          <w:b/>
          <w:bCs/>
          <w:sz w:val="20"/>
        </w:rPr>
        <w:t>Hodnotená konštrukcia:</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Čislo </w:t>
      </w:r>
      <w:r w:rsidRPr="00AD76E7">
        <w:rPr>
          <w:rFonts w:ascii="Calibri" w:hAnsi="Calibri" w:cs="Calibri"/>
          <w:b/>
          <w:bCs/>
          <w:sz w:val="20"/>
        </w:rPr>
        <w:tab/>
        <w:t xml:space="preserve">Názov vrstvy </w:t>
      </w:r>
      <w:r w:rsidRPr="00AD76E7">
        <w:rPr>
          <w:rFonts w:ascii="Calibri" w:hAnsi="Calibri" w:cs="Calibri"/>
          <w:b/>
          <w:bCs/>
          <w:sz w:val="20"/>
        </w:rPr>
        <w:tab/>
        <w:t xml:space="preserve">d [m] </w:t>
      </w:r>
      <w:r w:rsidRPr="00AD76E7">
        <w:rPr>
          <w:rFonts w:ascii="Calibri" w:hAnsi="Calibri" w:cs="Calibri"/>
          <w:b/>
          <w:bCs/>
          <w:sz w:val="20"/>
        </w:rPr>
        <w:tab/>
        <w:t xml:space="preserve">Lambda [W/mK] </w:t>
      </w:r>
      <w:r w:rsidRPr="00AD76E7">
        <w:rPr>
          <w:rFonts w:ascii="Calibri" w:hAnsi="Calibri" w:cs="Calibri"/>
          <w:b/>
          <w:bCs/>
          <w:sz w:val="20"/>
        </w:rPr>
        <w:tab/>
        <w:t>Mi [-]</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1 </w:t>
      </w:r>
      <w:r w:rsidRPr="00AD76E7">
        <w:rPr>
          <w:rFonts w:ascii="Calibri" w:hAnsi="Calibri" w:cs="Calibri"/>
          <w:sz w:val="20"/>
        </w:rPr>
        <w:tab/>
        <w:t xml:space="preserve">Váp.cem. omietka </w:t>
      </w:r>
      <w:r w:rsidRPr="00AD76E7">
        <w:rPr>
          <w:rFonts w:ascii="Calibri" w:hAnsi="Calibri" w:cs="Calibri"/>
          <w:sz w:val="20"/>
        </w:rPr>
        <w:tab/>
        <w:t xml:space="preserve">0,010 </w:t>
      </w:r>
      <w:r w:rsidRPr="00AD76E7">
        <w:rPr>
          <w:rFonts w:ascii="Calibri" w:hAnsi="Calibri" w:cs="Calibri"/>
          <w:sz w:val="20"/>
        </w:rPr>
        <w:tab/>
        <w:t xml:space="preserve">     0,880 </w:t>
      </w:r>
      <w:r w:rsidRPr="00AD76E7">
        <w:rPr>
          <w:rFonts w:ascii="Calibri" w:hAnsi="Calibri" w:cs="Calibri"/>
          <w:sz w:val="20"/>
        </w:rPr>
        <w:tab/>
        <w:t>19,0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2 </w:t>
      </w:r>
      <w:r w:rsidRPr="00AD76E7">
        <w:rPr>
          <w:rFonts w:ascii="Calibri" w:hAnsi="Calibri" w:cs="Calibri"/>
          <w:sz w:val="20"/>
        </w:rPr>
        <w:tab/>
        <w:t xml:space="preserve">Železobetón </w:t>
      </w:r>
      <w:r w:rsidRPr="00AD76E7">
        <w:rPr>
          <w:rFonts w:ascii="Calibri" w:hAnsi="Calibri" w:cs="Calibri"/>
          <w:sz w:val="20"/>
        </w:rPr>
        <w:tab/>
        <w:t xml:space="preserve">0,200 </w:t>
      </w:r>
      <w:r w:rsidRPr="00AD76E7">
        <w:rPr>
          <w:rFonts w:ascii="Calibri" w:hAnsi="Calibri" w:cs="Calibri"/>
          <w:sz w:val="20"/>
        </w:rPr>
        <w:tab/>
        <w:t xml:space="preserve">     1,740 </w:t>
      </w:r>
      <w:r w:rsidRPr="00AD76E7">
        <w:rPr>
          <w:rFonts w:ascii="Calibri" w:hAnsi="Calibri" w:cs="Calibri"/>
          <w:sz w:val="20"/>
        </w:rPr>
        <w:tab/>
        <w:t>32,0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3 </w:t>
      </w:r>
      <w:r w:rsidRPr="00AD76E7">
        <w:rPr>
          <w:rFonts w:ascii="Calibri" w:hAnsi="Calibri" w:cs="Calibri"/>
          <w:sz w:val="20"/>
        </w:rPr>
        <w:tab/>
        <w:t xml:space="preserve">Fatrapar </w:t>
      </w:r>
      <w:r w:rsidRPr="00AD76E7">
        <w:rPr>
          <w:rFonts w:ascii="Calibri" w:hAnsi="Calibri" w:cs="Calibri"/>
          <w:sz w:val="20"/>
        </w:rPr>
        <w:tab/>
        <w:t xml:space="preserve">0,0002 </w:t>
      </w:r>
      <w:r w:rsidRPr="00AD76E7">
        <w:rPr>
          <w:rFonts w:ascii="Calibri" w:hAnsi="Calibri" w:cs="Calibri"/>
          <w:sz w:val="20"/>
        </w:rPr>
        <w:tab/>
        <w:t xml:space="preserve">     0,350 </w:t>
      </w:r>
      <w:r w:rsidRPr="00AD76E7">
        <w:rPr>
          <w:rFonts w:ascii="Calibri" w:hAnsi="Calibri" w:cs="Calibri"/>
          <w:sz w:val="20"/>
        </w:rPr>
        <w:tab/>
        <w:t>210000,0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4 </w:t>
      </w:r>
      <w:r w:rsidRPr="00AD76E7">
        <w:rPr>
          <w:rFonts w:ascii="Calibri" w:hAnsi="Calibri" w:cs="Calibri"/>
          <w:sz w:val="20"/>
        </w:rPr>
        <w:tab/>
        <w:t xml:space="preserve">Fenolová pena </w:t>
      </w:r>
      <w:r w:rsidRPr="00AD76E7">
        <w:rPr>
          <w:rFonts w:ascii="Calibri" w:hAnsi="Calibri" w:cs="Calibri"/>
          <w:sz w:val="20"/>
        </w:rPr>
        <w:tab/>
        <w:t xml:space="preserve">0,200 </w:t>
      </w:r>
      <w:r w:rsidRPr="00AD76E7">
        <w:rPr>
          <w:rFonts w:ascii="Calibri" w:hAnsi="Calibri" w:cs="Calibri"/>
          <w:sz w:val="20"/>
        </w:rPr>
        <w:tab/>
        <w:t xml:space="preserve">     0,024 </w:t>
      </w:r>
      <w:r w:rsidRPr="00AD76E7">
        <w:rPr>
          <w:rFonts w:ascii="Calibri" w:hAnsi="Calibri" w:cs="Calibri"/>
          <w:sz w:val="20"/>
        </w:rPr>
        <w:tab/>
        <w:t>32,0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5 </w:t>
      </w:r>
      <w:r w:rsidRPr="00AD76E7">
        <w:rPr>
          <w:rFonts w:ascii="Calibri" w:hAnsi="Calibri" w:cs="Calibri"/>
          <w:sz w:val="20"/>
        </w:rPr>
        <w:tab/>
        <w:t xml:space="preserve">Hydroizolácia fólia mPVC </w:t>
      </w:r>
      <w:r w:rsidRPr="00AD76E7">
        <w:rPr>
          <w:rFonts w:ascii="Calibri" w:hAnsi="Calibri" w:cs="Calibri"/>
          <w:sz w:val="20"/>
        </w:rPr>
        <w:tab/>
        <w:t xml:space="preserve">0,001 </w:t>
      </w:r>
      <w:r w:rsidRPr="00AD76E7">
        <w:rPr>
          <w:rFonts w:ascii="Calibri" w:hAnsi="Calibri" w:cs="Calibri"/>
          <w:sz w:val="20"/>
        </w:rPr>
        <w:tab/>
        <w:t xml:space="preserve">     0,160 </w:t>
      </w:r>
      <w:r w:rsidRPr="00AD76E7">
        <w:rPr>
          <w:rFonts w:ascii="Calibri" w:hAnsi="Calibri" w:cs="Calibri"/>
          <w:sz w:val="20"/>
        </w:rPr>
        <w:tab/>
        <w:t>25000,0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 Požiadavka na vnútornú povrchovú teplotu (čl. 3.1.1)</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Táto požiadavka sa nevzťahuje na presklené výplne.</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Tsi,N = Tsi,80 + dTsi =  </w:t>
      </w:r>
      <w:r w:rsidRPr="00AD76E7">
        <w:rPr>
          <w:rFonts w:ascii="Calibri" w:hAnsi="Calibri" w:cs="Calibri"/>
          <w:sz w:val="20"/>
        </w:rPr>
        <w:tab/>
        <w:t>12,63+0,20 = 12,83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Tsi =  </w:t>
      </w:r>
      <w:r w:rsidRPr="00AD76E7">
        <w:rPr>
          <w:rFonts w:ascii="Calibri" w:hAnsi="Calibri" w:cs="Calibri"/>
          <w:sz w:val="20"/>
        </w:rPr>
        <w:tab/>
        <w:t>19,11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Tsi &gt; Tsi,N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Pozn.: Povrch. teploty v mieste tepelných mostov v skladbe je nutné</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určiť riešením teplotného poľa.</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II. Požiadavka na tepelný odpor a súčinitel prechodu tepla (čl. 3.2.1)</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 Rn =  </w:t>
      </w:r>
      <w:r w:rsidRPr="00AD76E7">
        <w:rPr>
          <w:rFonts w:ascii="Calibri" w:hAnsi="Calibri" w:cs="Calibri"/>
          <w:sz w:val="20"/>
        </w:rPr>
        <w:tab/>
        <w:t>6,5 0 m2K/W</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R  =  </w:t>
      </w:r>
      <w:r w:rsidRPr="00AD76E7">
        <w:rPr>
          <w:rFonts w:ascii="Calibri" w:hAnsi="Calibri" w:cs="Calibri"/>
          <w:sz w:val="20"/>
        </w:rPr>
        <w:tab/>
        <w:t>8,47 m2K/W</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R &gt; Rn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 Un =  </w:t>
      </w:r>
      <w:r w:rsidRPr="00AD76E7">
        <w:rPr>
          <w:rFonts w:ascii="Calibri" w:hAnsi="Calibri" w:cs="Calibri"/>
          <w:sz w:val="20"/>
        </w:rPr>
        <w:tab/>
        <w:t>0,15 W/m2K</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U  =  </w:t>
      </w:r>
      <w:r w:rsidRPr="00AD76E7">
        <w:rPr>
          <w:rFonts w:ascii="Calibri" w:hAnsi="Calibri" w:cs="Calibri"/>
          <w:sz w:val="20"/>
        </w:rPr>
        <w:tab/>
        <w:t>0,12 W/m2K</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U &lt; Un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III. Požiadavky na šírenie vlhkosti konštrukciou (čl. 4.1)</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t xml:space="preserve"> Požiadavky: </w:t>
      </w:r>
      <w:r w:rsidRPr="00AD76E7">
        <w:rPr>
          <w:rFonts w:ascii="Calibri" w:hAnsi="Calibri" w:cs="Calibri"/>
          <w:sz w:val="20"/>
        </w:rPr>
        <w:tab/>
        <w:t xml:space="preserve"> 1. Skondenzovaná vodná para nesmie ohroziť funkciu kcie.</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 xml:space="preserve"> 2. Ročná bilancia vodnej pary musí byť aktívna, tj. Gk&lt;Gv (Ma,vysl=0).</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 xml:space="preserve"> 3. Množstvo kondenzátu musí byť Gk (Ma) &lt; 0,5 kg/m2,rok.</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Vypočítané hodnoty: </w:t>
      </w:r>
      <w:r w:rsidRPr="00AD76E7">
        <w:rPr>
          <w:rFonts w:ascii="Calibri" w:hAnsi="Calibri" w:cs="Calibri"/>
          <w:sz w:val="20"/>
        </w:rPr>
        <w:tab/>
        <w:t xml:space="preserve"> V kci dochádza pri ext. výpočt. teplote ku kondenzácii.</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Ročné množstvo zkondenzovanej vodnej pary Gk = 0,0250 kg/m2,rok</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Ročné množstvo vyparitelnej vodnej pary Gv = 0,0902 kg/m2,rok</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Vyhodnotenie 1. požiadavky musí urobiť projektant.</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Gk &lt; Gv ... 2. POŽIADAVKA JE SPLNENÁ.</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b/>
          <w:bCs/>
          <w:color w:val="FF0000"/>
          <w:sz w:val="20"/>
        </w:rPr>
      </w:pPr>
      <w:r w:rsidRPr="00AD76E7">
        <w:rPr>
          <w:rFonts w:ascii="Calibri" w:hAnsi="Calibri" w:cs="Calibri"/>
          <w:b/>
          <w:bCs/>
          <w:sz w:val="20"/>
        </w:rPr>
        <w:tab/>
        <w:t xml:space="preserve"> Gk &lt; 0.5 kg/m2 ... 3. POŽIADAVKA JE SPLNENÁ.</w:t>
      </w:r>
    </w:p>
    <w:p w:rsidR="00650445" w:rsidRPr="00AD76E7" w:rsidRDefault="00650445" w:rsidP="00650445">
      <w:pPr>
        <w:pStyle w:val="Nadpis3"/>
        <w:numPr>
          <w:ilvl w:val="0"/>
          <w:numId w:val="0"/>
        </w:numPr>
        <w:jc w:val="both"/>
        <w:rPr>
          <w:rFonts w:ascii="Calibri" w:hAnsi="Calibri" w:cs="Calibri"/>
        </w:rPr>
      </w:pPr>
      <w:bookmarkStart w:id="173" w:name="_Toc1897630"/>
      <w:r w:rsidRPr="00AD76E7">
        <w:rPr>
          <w:rFonts w:ascii="Calibri" w:hAnsi="Calibri" w:cs="Calibri"/>
        </w:rPr>
        <w:t>5.1.3 Obvodová stena</w:t>
      </w:r>
      <w:bookmarkEnd w:id="173"/>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VYHODNOTENIE VÝSLEDKOV PODĽA STN 730540-2</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b/>
          <w:bCs/>
          <w:sz w:val="20"/>
        </w:rPr>
        <w:t xml:space="preserve">Názov konštrukcie                   :  </w:t>
      </w:r>
      <w:r w:rsidRPr="00AD76E7">
        <w:rPr>
          <w:rFonts w:ascii="Calibri" w:hAnsi="Calibri" w:cs="Calibri"/>
          <w:b/>
          <w:bCs/>
          <w:sz w:val="20"/>
        </w:rPr>
        <w:tab/>
      </w:r>
      <w:r w:rsidRPr="00AD76E7">
        <w:rPr>
          <w:rFonts w:ascii="Calibri" w:hAnsi="Calibri" w:cs="Calibri"/>
          <w:b/>
          <w:sz w:val="20"/>
          <w:u w:val="single"/>
        </w:rPr>
        <w:t>Obvodová stena SO 02</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00AD76E7">
        <w:rPr>
          <w:rFonts w:ascii="Calibri" w:hAnsi="Calibri" w:cs="Calibri"/>
          <w:b/>
          <w:bCs/>
          <w:sz w:val="20"/>
          <w:u w:val="single"/>
        </w:rPr>
        <w:t>Rekapitulácia dá</w:t>
      </w:r>
      <w:r w:rsidRPr="00AD76E7">
        <w:rPr>
          <w:rFonts w:ascii="Calibri" w:hAnsi="Calibri" w:cs="Calibri"/>
          <w:b/>
          <w:bCs/>
          <w:sz w:val="20"/>
          <w:u w:val="single"/>
        </w:rPr>
        <w:t>t:</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Teplota vnútorného vzduchu      Tai =  </w:t>
      </w:r>
      <w:r w:rsidRPr="00AD76E7">
        <w:rPr>
          <w:rFonts w:ascii="Calibri" w:hAnsi="Calibri" w:cs="Calibri"/>
          <w:sz w:val="20"/>
        </w:rPr>
        <w:tab/>
        <w:t>20,00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Rel. vlhkosť vnútorného vzduchu Fii =  </w:t>
      </w:r>
      <w:r w:rsidRPr="00AD76E7">
        <w:rPr>
          <w:rFonts w:ascii="Calibri" w:hAnsi="Calibri" w:cs="Calibri"/>
          <w:sz w:val="20"/>
        </w:rPr>
        <w:tab/>
        <w:t>50,00 %</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sz w:val="20"/>
        </w:rPr>
        <w:lastRenderedPageBreak/>
        <w:tab/>
      </w:r>
      <w:r w:rsidRPr="00AD76E7">
        <w:rPr>
          <w:rFonts w:ascii="Calibri" w:hAnsi="Calibri" w:cs="Calibri"/>
          <w:b/>
          <w:bCs/>
          <w:sz w:val="20"/>
        </w:rPr>
        <w:t>Hodnotená konštrukcia:</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Čislo </w:t>
      </w:r>
      <w:r w:rsidRPr="00AD76E7">
        <w:rPr>
          <w:rFonts w:ascii="Calibri" w:hAnsi="Calibri" w:cs="Calibri"/>
          <w:b/>
          <w:bCs/>
          <w:sz w:val="20"/>
        </w:rPr>
        <w:tab/>
        <w:t xml:space="preserve">Názov vrstvy </w:t>
      </w:r>
      <w:r w:rsidRPr="00AD76E7">
        <w:rPr>
          <w:rFonts w:ascii="Calibri" w:hAnsi="Calibri" w:cs="Calibri"/>
          <w:b/>
          <w:bCs/>
          <w:sz w:val="20"/>
        </w:rPr>
        <w:tab/>
        <w:t xml:space="preserve">d [m] </w:t>
      </w:r>
      <w:r w:rsidRPr="00AD76E7">
        <w:rPr>
          <w:rFonts w:ascii="Calibri" w:hAnsi="Calibri" w:cs="Calibri"/>
          <w:b/>
          <w:bCs/>
          <w:sz w:val="20"/>
        </w:rPr>
        <w:tab/>
        <w:t xml:space="preserve">Lambda [W/mK] </w:t>
      </w:r>
      <w:r w:rsidRPr="00AD76E7">
        <w:rPr>
          <w:rFonts w:ascii="Calibri" w:hAnsi="Calibri" w:cs="Calibri"/>
          <w:b/>
          <w:bCs/>
          <w:sz w:val="20"/>
        </w:rPr>
        <w:tab/>
        <w:t>Mi [-]</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1 </w:t>
      </w:r>
      <w:r w:rsidRPr="00AD76E7">
        <w:rPr>
          <w:rFonts w:ascii="Calibri" w:hAnsi="Calibri" w:cs="Calibri"/>
          <w:sz w:val="20"/>
        </w:rPr>
        <w:tab/>
        <w:t xml:space="preserve">Váp.cem. omietka </w:t>
      </w:r>
      <w:r w:rsidRPr="00AD76E7">
        <w:rPr>
          <w:rFonts w:ascii="Calibri" w:hAnsi="Calibri" w:cs="Calibri"/>
          <w:sz w:val="20"/>
        </w:rPr>
        <w:tab/>
        <w:t xml:space="preserve">0,010 </w:t>
      </w:r>
      <w:r w:rsidRPr="00AD76E7">
        <w:rPr>
          <w:rFonts w:ascii="Calibri" w:hAnsi="Calibri" w:cs="Calibri"/>
          <w:sz w:val="20"/>
        </w:rPr>
        <w:tab/>
        <w:t xml:space="preserve">     0,880 </w:t>
      </w:r>
      <w:r w:rsidRPr="00AD76E7">
        <w:rPr>
          <w:rFonts w:ascii="Calibri" w:hAnsi="Calibri" w:cs="Calibri"/>
          <w:sz w:val="20"/>
        </w:rPr>
        <w:tab/>
        <w:t>19,0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2 </w:t>
      </w:r>
      <w:r w:rsidRPr="00AD76E7">
        <w:rPr>
          <w:rFonts w:ascii="Calibri" w:hAnsi="Calibri" w:cs="Calibri"/>
          <w:sz w:val="20"/>
        </w:rPr>
        <w:tab/>
        <w:t xml:space="preserve">Tehla </w:t>
      </w:r>
      <w:r w:rsidRPr="00AD76E7">
        <w:rPr>
          <w:rFonts w:ascii="Calibri" w:hAnsi="Calibri" w:cs="Calibri"/>
          <w:sz w:val="20"/>
        </w:rPr>
        <w:tab/>
        <w:t xml:space="preserve">0,300 </w:t>
      </w:r>
      <w:r w:rsidRPr="00AD76E7">
        <w:rPr>
          <w:rFonts w:ascii="Calibri" w:hAnsi="Calibri" w:cs="Calibri"/>
          <w:sz w:val="20"/>
        </w:rPr>
        <w:tab/>
        <w:t xml:space="preserve">     0,072 </w:t>
      </w:r>
      <w:r w:rsidRPr="00AD76E7">
        <w:rPr>
          <w:rFonts w:ascii="Calibri" w:hAnsi="Calibri" w:cs="Calibri"/>
          <w:sz w:val="20"/>
        </w:rPr>
        <w:tab/>
        <w:t>8,5</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3 </w:t>
      </w:r>
      <w:r w:rsidRPr="00AD76E7">
        <w:rPr>
          <w:rFonts w:ascii="Calibri" w:hAnsi="Calibri" w:cs="Calibri"/>
          <w:sz w:val="20"/>
        </w:rPr>
        <w:tab/>
        <w:t xml:space="preserve">Stierková hmota </w:t>
      </w:r>
      <w:r w:rsidRPr="00AD76E7">
        <w:rPr>
          <w:rFonts w:ascii="Calibri" w:hAnsi="Calibri" w:cs="Calibri"/>
          <w:sz w:val="20"/>
        </w:rPr>
        <w:tab/>
        <w:t xml:space="preserve">0,003 </w:t>
      </w:r>
      <w:r w:rsidRPr="00AD76E7">
        <w:rPr>
          <w:rFonts w:ascii="Calibri" w:hAnsi="Calibri" w:cs="Calibri"/>
          <w:sz w:val="20"/>
        </w:rPr>
        <w:tab/>
        <w:t xml:space="preserve">     0,700 </w:t>
      </w:r>
      <w:r w:rsidRPr="00AD76E7">
        <w:rPr>
          <w:rFonts w:ascii="Calibri" w:hAnsi="Calibri" w:cs="Calibri"/>
          <w:sz w:val="20"/>
        </w:rPr>
        <w:tab/>
        <w:t>60,0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4 </w:t>
      </w:r>
      <w:r w:rsidRPr="00AD76E7">
        <w:rPr>
          <w:rFonts w:ascii="Calibri" w:hAnsi="Calibri" w:cs="Calibri"/>
          <w:sz w:val="20"/>
        </w:rPr>
        <w:tab/>
        <w:t xml:space="preserve">TI - Minerálna vlna </w:t>
      </w:r>
      <w:r w:rsidRPr="00AD76E7">
        <w:rPr>
          <w:rFonts w:ascii="Calibri" w:hAnsi="Calibri" w:cs="Calibri"/>
          <w:sz w:val="20"/>
        </w:rPr>
        <w:tab/>
        <w:t xml:space="preserve">0,100 </w:t>
      </w:r>
      <w:r w:rsidRPr="00AD76E7">
        <w:rPr>
          <w:rFonts w:ascii="Calibri" w:hAnsi="Calibri" w:cs="Calibri"/>
          <w:sz w:val="20"/>
        </w:rPr>
        <w:tab/>
        <w:t xml:space="preserve">     0,038 </w:t>
      </w:r>
      <w:r w:rsidRPr="00AD76E7">
        <w:rPr>
          <w:rFonts w:ascii="Calibri" w:hAnsi="Calibri" w:cs="Calibri"/>
          <w:sz w:val="20"/>
        </w:rPr>
        <w:tab/>
        <w:t>1,0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5 </w:t>
      </w:r>
      <w:r w:rsidRPr="00AD76E7">
        <w:rPr>
          <w:rFonts w:ascii="Calibri" w:hAnsi="Calibri" w:cs="Calibri"/>
          <w:sz w:val="20"/>
        </w:rPr>
        <w:tab/>
        <w:t xml:space="preserve">Stierková hmota </w:t>
      </w:r>
      <w:r w:rsidRPr="00AD76E7">
        <w:rPr>
          <w:rFonts w:ascii="Calibri" w:hAnsi="Calibri" w:cs="Calibri"/>
          <w:sz w:val="20"/>
        </w:rPr>
        <w:tab/>
        <w:t xml:space="preserve">0,003 </w:t>
      </w:r>
      <w:r w:rsidRPr="00AD76E7">
        <w:rPr>
          <w:rFonts w:ascii="Calibri" w:hAnsi="Calibri" w:cs="Calibri"/>
          <w:sz w:val="20"/>
        </w:rPr>
        <w:tab/>
        <w:t xml:space="preserve">     0,700 </w:t>
      </w:r>
      <w:r w:rsidRPr="00AD76E7">
        <w:rPr>
          <w:rFonts w:ascii="Calibri" w:hAnsi="Calibri" w:cs="Calibri"/>
          <w:sz w:val="20"/>
        </w:rPr>
        <w:tab/>
        <w:t>60,0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6 </w:t>
      </w:r>
      <w:r w:rsidRPr="00AD76E7">
        <w:rPr>
          <w:rFonts w:ascii="Calibri" w:hAnsi="Calibri" w:cs="Calibri"/>
          <w:sz w:val="20"/>
        </w:rPr>
        <w:tab/>
        <w:t xml:space="preserve">Váp.cem. omietka </w:t>
      </w:r>
      <w:r w:rsidRPr="00AD76E7">
        <w:rPr>
          <w:rFonts w:ascii="Calibri" w:hAnsi="Calibri" w:cs="Calibri"/>
          <w:sz w:val="20"/>
        </w:rPr>
        <w:tab/>
        <w:t xml:space="preserve">0,010 </w:t>
      </w:r>
      <w:r w:rsidRPr="00AD76E7">
        <w:rPr>
          <w:rFonts w:ascii="Calibri" w:hAnsi="Calibri" w:cs="Calibri"/>
          <w:sz w:val="20"/>
        </w:rPr>
        <w:tab/>
        <w:t xml:space="preserve">     0,880 </w:t>
      </w:r>
      <w:r w:rsidRPr="00AD76E7">
        <w:rPr>
          <w:rFonts w:ascii="Calibri" w:hAnsi="Calibri" w:cs="Calibri"/>
          <w:sz w:val="20"/>
        </w:rPr>
        <w:tab/>
        <w:t>19,0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 Požiadavka na vnútornú povrchovú teplotu (čl. 3.1.1)</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Táto požiadavka sa nevzťahuje na presklené výplne.</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Tsi,N = Tsi,80 + dTsi =  </w:t>
      </w:r>
      <w:r w:rsidRPr="00AD76E7">
        <w:rPr>
          <w:rFonts w:ascii="Calibri" w:hAnsi="Calibri" w:cs="Calibri"/>
          <w:sz w:val="20"/>
        </w:rPr>
        <w:tab/>
        <w:t>12,63+0,20 = 12,83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Tsi =  </w:t>
      </w:r>
      <w:r w:rsidRPr="00AD76E7">
        <w:rPr>
          <w:rFonts w:ascii="Calibri" w:hAnsi="Calibri" w:cs="Calibri"/>
          <w:sz w:val="20"/>
        </w:rPr>
        <w:tab/>
        <w:t>18,91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Tsi &gt; Tsi,N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Pozn.: Povrch. teploty v mieste tepelných mostov v skladbe je nutné</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určiť riešením teplotného poľa.</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II. Požiadavka na tepelný odpor a súčinitel prechodu tepla (čl. 3.2.1)</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 Rn =  </w:t>
      </w:r>
      <w:r w:rsidRPr="00AD76E7">
        <w:rPr>
          <w:rFonts w:ascii="Calibri" w:hAnsi="Calibri" w:cs="Calibri"/>
          <w:sz w:val="20"/>
        </w:rPr>
        <w:tab/>
        <w:t>4,40 m2K/W</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R  =  </w:t>
      </w:r>
      <w:r w:rsidRPr="00AD76E7">
        <w:rPr>
          <w:rFonts w:ascii="Calibri" w:hAnsi="Calibri" w:cs="Calibri"/>
          <w:sz w:val="20"/>
        </w:rPr>
        <w:tab/>
        <w:t>6,83 m2K/W</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R &gt; Rn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 Un =  </w:t>
      </w:r>
      <w:r w:rsidRPr="00AD76E7">
        <w:rPr>
          <w:rFonts w:ascii="Calibri" w:hAnsi="Calibri" w:cs="Calibri"/>
          <w:sz w:val="20"/>
        </w:rPr>
        <w:tab/>
        <w:t>0,22 W/m2K</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U  =  </w:t>
      </w:r>
      <w:r w:rsidRPr="00AD76E7">
        <w:rPr>
          <w:rFonts w:ascii="Calibri" w:hAnsi="Calibri" w:cs="Calibri"/>
          <w:sz w:val="20"/>
        </w:rPr>
        <w:tab/>
        <w:t>0,14 W/m2K</w:t>
      </w:r>
    </w:p>
    <w:p w:rsidR="00650445"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U &lt; Un ... POŽIADAVKA JE SPLNENÁ.</w:t>
      </w:r>
    </w:p>
    <w:p w:rsidR="00D717DF" w:rsidRPr="00AD76E7" w:rsidRDefault="00D717DF" w:rsidP="00650445">
      <w:pPr>
        <w:tabs>
          <w:tab w:val="left" w:pos="0"/>
          <w:tab w:val="left" w:pos="100"/>
          <w:tab w:val="left" w:pos="30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III. Požiadavky na šírenie vlhkosti konštrukciou (čl. 4.1)</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t xml:space="preserve"> Požiadavky: </w:t>
      </w:r>
      <w:r w:rsidRPr="00AD76E7">
        <w:rPr>
          <w:rFonts w:ascii="Calibri" w:hAnsi="Calibri" w:cs="Calibri"/>
          <w:sz w:val="20"/>
        </w:rPr>
        <w:tab/>
        <w:t xml:space="preserve"> 1. Skondenzovaná vodná para nesmie ohroziť funkciu kcie.</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 xml:space="preserve"> 2. Ročná bilancia vodnej pary musí byť aktívna, tj. Gk&lt;Gv (Ma,vysl=0).</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 xml:space="preserve"> 3. Množstvo kondenzátu musí byť Gk (Ma) &lt; 0,5 kg/m2,rok.</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t xml:space="preserve">Vypočítané hodnoty: </w:t>
      </w:r>
      <w:r w:rsidRPr="00AD76E7">
        <w:rPr>
          <w:rFonts w:ascii="Calibri" w:hAnsi="Calibri" w:cs="Calibri"/>
          <w:sz w:val="20"/>
        </w:rPr>
        <w:tab/>
        <w:t xml:space="preserve"> V kci dochádza pri ext. výpočt. teplote ku kondenzácii.</w:t>
      </w: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Ročné množstvo zkondenzovanej vodnej pary Gk = 0,1008 kg/m2,rok</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Ročné množstvo vyparitelnej vodnej pary Gv = 5,1194 kg/m2,rok</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Vyhodnotenie 1. požiadavky musí urobiť projektant.</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Gk &lt; Gv ... 2. POŽIADAVKA JE SPLNENÁ.</w:t>
      </w:r>
    </w:p>
    <w:p w:rsidR="00D717DF"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Gk &lt; 0.5 kg/m2 ... 3. POŽIADAVKA JE SPLNENÁ.</w:t>
      </w:r>
    </w:p>
    <w:p w:rsidR="00650445" w:rsidRPr="00AD76E7" w:rsidRDefault="00650445" w:rsidP="00650445">
      <w:pPr>
        <w:pStyle w:val="Nadpis3"/>
        <w:numPr>
          <w:ilvl w:val="0"/>
          <w:numId w:val="0"/>
        </w:numPr>
        <w:jc w:val="both"/>
        <w:rPr>
          <w:rFonts w:ascii="Calibri" w:hAnsi="Calibri" w:cs="Calibri"/>
        </w:rPr>
      </w:pPr>
      <w:bookmarkStart w:id="174" w:name="_Toc1897631"/>
      <w:r w:rsidRPr="00AD76E7">
        <w:rPr>
          <w:rFonts w:ascii="Calibri" w:hAnsi="Calibri" w:cs="Calibri"/>
        </w:rPr>
        <w:t>5.1.4 Strop nad suterénom</w:t>
      </w:r>
      <w:bookmarkEnd w:id="174"/>
    </w:p>
    <w:p w:rsidR="00650445" w:rsidRPr="000D00F5" w:rsidRDefault="00650445" w:rsidP="00650445">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color w:val="FF0000"/>
          <w:sz w:val="20"/>
          <w:highlight w:val="lightGray"/>
        </w:rPr>
      </w:pPr>
    </w:p>
    <w:p w:rsidR="00650445" w:rsidRPr="00AD76E7" w:rsidRDefault="00650445" w:rsidP="00650445">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VYHODNOTENIE VÝSLEDKOV PODĽA STN 730540-2</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b/>
          <w:bCs/>
          <w:sz w:val="20"/>
        </w:rPr>
        <w:t xml:space="preserve">Názov konštrukcie                   :  </w:t>
      </w:r>
      <w:r w:rsidRPr="00AD76E7">
        <w:rPr>
          <w:rFonts w:ascii="Calibri" w:hAnsi="Calibri" w:cs="Calibri"/>
          <w:b/>
          <w:bCs/>
          <w:sz w:val="20"/>
        </w:rPr>
        <w:tab/>
      </w:r>
      <w:r w:rsidRPr="00AD76E7">
        <w:rPr>
          <w:rFonts w:ascii="Calibri" w:hAnsi="Calibri" w:cs="Calibri"/>
          <w:b/>
          <w:sz w:val="20"/>
          <w:u w:val="single"/>
        </w:rPr>
        <w:t>Strop SO 02</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00AD76E7">
        <w:rPr>
          <w:rFonts w:ascii="Calibri" w:hAnsi="Calibri" w:cs="Calibri"/>
          <w:b/>
          <w:bCs/>
          <w:sz w:val="20"/>
          <w:u w:val="single"/>
        </w:rPr>
        <w:t>Rekapitulácia dá</w:t>
      </w:r>
      <w:r w:rsidRPr="00AD76E7">
        <w:rPr>
          <w:rFonts w:ascii="Calibri" w:hAnsi="Calibri" w:cs="Calibri"/>
          <w:b/>
          <w:bCs/>
          <w:sz w:val="20"/>
          <w:u w:val="single"/>
        </w:rPr>
        <w:t>t:</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Teplota vnútorného vzduchu      Tai =  </w:t>
      </w:r>
      <w:r w:rsidRPr="00AD76E7">
        <w:rPr>
          <w:rFonts w:ascii="Calibri" w:hAnsi="Calibri" w:cs="Calibri"/>
          <w:sz w:val="20"/>
        </w:rPr>
        <w:tab/>
        <w:t>20,00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Rel. vlhkosť vnútorného vzduchu Fii =  </w:t>
      </w:r>
      <w:r w:rsidRPr="00AD76E7">
        <w:rPr>
          <w:rFonts w:ascii="Calibri" w:hAnsi="Calibri" w:cs="Calibri"/>
          <w:sz w:val="20"/>
        </w:rPr>
        <w:tab/>
        <w:t>50,00 %</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D717DF">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b/>
          <w:bCs/>
          <w:sz w:val="20"/>
        </w:rPr>
        <w:t>Hodnotená konštrukcia:</w:t>
      </w:r>
      <w:r w:rsidRPr="00AD76E7">
        <w:rPr>
          <w:rFonts w:ascii="Calibri" w:hAnsi="Calibri" w:cs="Calibri"/>
          <w:sz w:val="20"/>
        </w:rPr>
        <w:tab/>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Čislo </w:t>
      </w:r>
      <w:r w:rsidRPr="00AD76E7">
        <w:rPr>
          <w:rFonts w:ascii="Calibri" w:hAnsi="Calibri" w:cs="Calibri"/>
          <w:b/>
          <w:bCs/>
          <w:sz w:val="20"/>
        </w:rPr>
        <w:tab/>
        <w:t xml:space="preserve">Názov vrstvy </w:t>
      </w:r>
      <w:r w:rsidRPr="00AD76E7">
        <w:rPr>
          <w:rFonts w:ascii="Calibri" w:hAnsi="Calibri" w:cs="Calibri"/>
          <w:b/>
          <w:bCs/>
          <w:sz w:val="20"/>
        </w:rPr>
        <w:tab/>
        <w:t xml:space="preserve">d [m] </w:t>
      </w:r>
      <w:r w:rsidRPr="00AD76E7">
        <w:rPr>
          <w:rFonts w:ascii="Calibri" w:hAnsi="Calibri" w:cs="Calibri"/>
          <w:b/>
          <w:bCs/>
          <w:sz w:val="20"/>
        </w:rPr>
        <w:tab/>
        <w:t xml:space="preserve">Lambda [W/mK] </w:t>
      </w:r>
      <w:r w:rsidRPr="00AD76E7">
        <w:rPr>
          <w:rFonts w:ascii="Calibri" w:hAnsi="Calibri" w:cs="Calibri"/>
          <w:b/>
          <w:bCs/>
          <w:sz w:val="20"/>
        </w:rPr>
        <w:tab/>
        <w:t>Mi [-]</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1 </w:t>
      </w:r>
      <w:r w:rsidRPr="00AD76E7">
        <w:rPr>
          <w:rFonts w:ascii="Calibri" w:hAnsi="Calibri" w:cs="Calibri"/>
          <w:sz w:val="20"/>
        </w:rPr>
        <w:tab/>
        <w:t xml:space="preserve">Betónová podlaha </w:t>
      </w:r>
      <w:r w:rsidRPr="00AD76E7">
        <w:rPr>
          <w:rFonts w:ascii="Calibri" w:hAnsi="Calibri" w:cs="Calibri"/>
          <w:sz w:val="20"/>
        </w:rPr>
        <w:tab/>
        <w:t xml:space="preserve">0,060 </w:t>
      </w:r>
      <w:r w:rsidRPr="00AD76E7">
        <w:rPr>
          <w:rFonts w:ascii="Calibri" w:hAnsi="Calibri" w:cs="Calibri"/>
          <w:sz w:val="20"/>
        </w:rPr>
        <w:tab/>
        <w:t xml:space="preserve">     1,230 </w:t>
      </w:r>
      <w:r w:rsidRPr="00AD76E7">
        <w:rPr>
          <w:rFonts w:ascii="Calibri" w:hAnsi="Calibri" w:cs="Calibri"/>
          <w:sz w:val="20"/>
        </w:rPr>
        <w:tab/>
        <w:t>17,0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2 </w:t>
      </w:r>
      <w:r w:rsidRPr="00AD76E7">
        <w:rPr>
          <w:rFonts w:ascii="Calibri" w:hAnsi="Calibri" w:cs="Calibri"/>
          <w:sz w:val="20"/>
        </w:rPr>
        <w:tab/>
        <w:t xml:space="preserve">XPS polystarén </w:t>
      </w:r>
      <w:r w:rsidRPr="00AD76E7">
        <w:rPr>
          <w:rFonts w:ascii="Calibri" w:hAnsi="Calibri" w:cs="Calibri"/>
          <w:sz w:val="20"/>
        </w:rPr>
        <w:tab/>
        <w:t xml:space="preserve">0,090 </w:t>
      </w:r>
      <w:r w:rsidRPr="00AD76E7">
        <w:rPr>
          <w:rFonts w:ascii="Calibri" w:hAnsi="Calibri" w:cs="Calibri"/>
          <w:sz w:val="20"/>
        </w:rPr>
        <w:tab/>
        <w:t xml:space="preserve">     0,038 </w:t>
      </w:r>
      <w:r w:rsidRPr="00AD76E7">
        <w:rPr>
          <w:rFonts w:ascii="Calibri" w:hAnsi="Calibri" w:cs="Calibri"/>
          <w:sz w:val="20"/>
        </w:rPr>
        <w:tab/>
        <w:t>30,0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lastRenderedPageBreak/>
        <w:tab/>
        <w:t xml:space="preserve">  3 </w:t>
      </w:r>
      <w:r w:rsidRPr="00AD76E7">
        <w:rPr>
          <w:rFonts w:ascii="Calibri" w:hAnsi="Calibri" w:cs="Calibri"/>
          <w:sz w:val="20"/>
        </w:rPr>
        <w:tab/>
        <w:t xml:space="preserve">Parozábrana </w:t>
      </w:r>
      <w:r w:rsidRPr="00AD76E7">
        <w:rPr>
          <w:rFonts w:ascii="Calibri" w:hAnsi="Calibri" w:cs="Calibri"/>
          <w:sz w:val="20"/>
        </w:rPr>
        <w:tab/>
        <w:t xml:space="preserve">0,0002 </w:t>
      </w:r>
      <w:r w:rsidRPr="00AD76E7">
        <w:rPr>
          <w:rFonts w:ascii="Calibri" w:hAnsi="Calibri" w:cs="Calibri"/>
          <w:sz w:val="20"/>
        </w:rPr>
        <w:tab/>
        <w:t xml:space="preserve">     0,350 </w:t>
      </w:r>
      <w:r w:rsidRPr="00AD76E7">
        <w:rPr>
          <w:rFonts w:ascii="Calibri" w:hAnsi="Calibri" w:cs="Calibri"/>
          <w:sz w:val="20"/>
        </w:rPr>
        <w:tab/>
        <w:t>210000,0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4 </w:t>
      </w:r>
      <w:r w:rsidRPr="00AD76E7">
        <w:rPr>
          <w:rFonts w:ascii="Calibri" w:hAnsi="Calibri" w:cs="Calibri"/>
          <w:sz w:val="20"/>
        </w:rPr>
        <w:tab/>
        <w:t xml:space="preserve">Železobetón </w:t>
      </w:r>
      <w:r w:rsidRPr="00AD76E7">
        <w:rPr>
          <w:rFonts w:ascii="Calibri" w:hAnsi="Calibri" w:cs="Calibri"/>
          <w:sz w:val="20"/>
        </w:rPr>
        <w:tab/>
        <w:t xml:space="preserve">0,250 </w:t>
      </w:r>
      <w:r w:rsidRPr="00AD76E7">
        <w:rPr>
          <w:rFonts w:ascii="Calibri" w:hAnsi="Calibri" w:cs="Calibri"/>
          <w:sz w:val="20"/>
        </w:rPr>
        <w:tab/>
        <w:t xml:space="preserve">     1,740 </w:t>
      </w:r>
      <w:r w:rsidRPr="00AD76E7">
        <w:rPr>
          <w:rFonts w:ascii="Calibri" w:hAnsi="Calibri" w:cs="Calibri"/>
          <w:sz w:val="20"/>
        </w:rPr>
        <w:tab/>
        <w:t>32,0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 Požiadavka na vnútornú povrchovú teplotu (čl. 3.1.1)</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Táto požiadavka sa nevzťahuje na presklené výplne.</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Tsi,N = Tsi,80 + dTsi =  </w:t>
      </w:r>
      <w:r w:rsidRPr="00AD76E7">
        <w:rPr>
          <w:rFonts w:ascii="Calibri" w:hAnsi="Calibri" w:cs="Calibri"/>
          <w:sz w:val="20"/>
        </w:rPr>
        <w:tab/>
        <w:t>12,63+0,20 = 12,83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Tsi =  </w:t>
      </w:r>
      <w:r w:rsidRPr="00AD76E7">
        <w:rPr>
          <w:rFonts w:ascii="Calibri" w:hAnsi="Calibri" w:cs="Calibri"/>
          <w:sz w:val="20"/>
        </w:rPr>
        <w:tab/>
        <w:t>19,30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Tsi &gt; Tsi,N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r w:rsidR="00D717DF">
        <w:rPr>
          <w:rFonts w:ascii="Calibri" w:hAnsi="Calibri" w:cs="Calibri"/>
          <w:sz w:val="20"/>
        </w:rPr>
        <w:t xml:space="preserve"> </w:t>
      </w:r>
      <w:r w:rsidRPr="00AD76E7">
        <w:rPr>
          <w:rFonts w:ascii="Calibri" w:hAnsi="Calibri" w:cs="Calibri"/>
          <w:sz w:val="20"/>
        </w:rPr>
        <w:t>Pozn.: Povrch. teploty v mieste tepelných mostov v skladbe je nutné</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určiť riešením teplotného poľa.</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II. Požiadavka na tepelný odpor a súčinitel prechodu tepla (čl. 3.2.1)</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 Rn =  </w:t>
      </w:r>
      <w:r w:rsidRPr="00AD76E7">
        <w:rPr>
          <w:rFonts w:ascii="Calibri" w:hAnsi="Calibri" w:cs="Calibri"/>
          <w:sz w:val="20"/>
        </w:rPr>
        <w:tab/>
        <w:t>1,50 m2K/W</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R  =  </w:t>
      </w:r>
      <w:r w:rsidRPr="00AD76E7">
        <w:rPr>
          <w:rFonts w:ascii="Calibri" w:hAnsi="Calibri" w:cs="Calibri"/>
          <w:sz w:val="20"/>
        </w:rPr>
        <w:tab/>
        <w:t>2,56 m2K/W</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R &gt; Rn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 Un =  </w:t>
      </w:r>
      <w:r w:rsidRPr="00AD76E7">
        <w:rPr>
          <w:rFonts w:ascii="Calibri" w:hAnsi="Calibri" w:cs="Calibri"/>
          <w:sz w:val="20"/>
        </w:rPr>
        <w:tab/>
        <w:t>0,60 W/m2K</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U  =  </w:t>
      </w:r>
      <w:r w:rsidRPr="00AD76E7">
        <w:rPr>
          <w:rFonts w:ascii="Calibri" w:hAnsi="Calibri" w:cs="Calibri"/>
          <w:sz w:val="20"/>
        </w:rPr>
        <w:tab/>
        <w:t>0,37 W/m2K</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U &lt; Un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III. Požiadavky na šírenie vlhkosti konštrukciou (čl. 4.1)</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t xml:space="preserve"> Požiadavky: </w:t>
      </w:r>
      <w:r w:rsidRPr="00AD76E7">
        <w:rPr>
          <w:rFonts w:ascii="Calibri" w:hAnsi="Calibri" w:cs="Calibri"/>
          <w:sz w:val="20"/>
        </w:rPr>
        <w:tab/>
        <w:t xml:space="preserve"> 1. Skondenzovaná vodná para nesmie ohroziť funkciu kcie.</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 xml:space="preserve"> 2. Ročná bilancia vodnej pary musí byť aktívna, tj. Gk&lt;Gv (Ma,vysl=0).</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 xml:space="preserve"> 3. Množstvo kondenzátu musí byť Gk (Ma) &lt; 0,5 kg/m2,rok.</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Vypočítané hodnoty: </w:t>
      </w:r>
      <w:r w:rsidRPr="00AD76E7">
        <w:rPr>
          <w:rFonts w:ascii="Calibri" w:hAnsi="Calibri" w:cs="Calibri"/>
          <w:sz w:val="20"/>
        </w:rPr>
        <w:tab/>
        <w:t xml:space="preserve"> V kci nedochádza pri ext. výpočt. teplote ku kondenzácii.</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POŽIADAVKY SÚ SPLNENÉ.</w:t>
      </w:r>
    </w:p>
    <w:p w:rsidR="00650445" w:rsidRPr="00AD76E7" w:rsidRDefault="00650445" w:rsidP="00650445">
      <w:pPr>
        <w:pStyle w:val="Nadpis3"/>
        <w:numPr>
          <w:ilvl w:val="0"/>
          <w:numId w:val="0"/>
        </w:numPr>
        <w:jc w:val="both"/>
        <w:rPr>
          <w:rFonts w:ascii="Calibri" w:hAnsi="Calibri" w:cs="Calibri"/>
        </w:rPr>
      </w:pPr>
      <w:bookmarkStart w:id="175" w:name="_Toc1897632"/>
      <w:r w:rsidRPr="00AD76E7">
        <w:rPr>
          <w:rFonts w:ascii="Calibri" w:hAnsi="Calibri" w:cs="Calibri"/>
        </w:rPr>
        <w:t>5.1.5 Vnútorná stena</w:t>
      </w:r>
      <w:bookmarkEnd w:id="175"/>
    </w:p>
    <w:p w:rsidR="00650445" w:rsidRPr="00AD76E7" w:rsidRDefault="00650445" w:rsidP="00650445">
      <w:pPr>
        <w:tabs>
          <w:tab w:val="left" w:pos="0"/>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color w:val="FF0000"/>
          <w:sz w:val="20"/>
        </w:rPr>
      </w:pPr>
    </w:p>
    <w:p w:rsidR="00650445" w:rsidRPr="00AD76E7" w:rsidRDefault="00650445" w:rsidP="00650445">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VYHODNOTENIE VÝSLEDKOV PODĽA STN 730540-2</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b/>
          <w:bCs/>
          <w:sz w:val="20"/>
        </w:rPr>
        <w:t xml:space="preserve">Názov konštrukcie                   :  </w:t>
      </w:r>
      <w:r w:rsidRPr="00AD76E7">
        <w:rPr>
          <w:rFonts w:ascii="Calibri" w:hAnsi="Calibri" w:cs="Calibri"/>
          <w:b/>
          <w:bCs/>
          <w:sz w:val="20"/>
        </w:rPr>
        <w:tab/>
      </w:r>
      <w:r w:rsidRPr="00AD76E7">
        <w:rPr>
          <w:rFonts w:ascii="Calibri" w:hAnsi="Calibri" w:cs="Calibri"/>
          <w:b/>
          <w:sz w:val="20"/>
          <w:u w:val="single"/>
        </w:rPr>
        <w:t>Vnútorná stena SO 02</w:t>
      </w:r>
    </w:p>
    <w:p w:rsidR="00650445" w:rsidRDefault="00650445" w:rsidP="00650445">
      <w:pPr>
        <w:tabs>
          <w:tab w:val="left" w:pos="0"/>
          <w:tab w:val="left" w:pos="100"/>
          <w:tab w:val="left" w:pos="30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r w:rsidR="00AD76E7">
        <w:rPr>
          <w:rFonts w:ascii="Calibri" w:hAnsi="Calibri" w:cs="Calibri"/>
          <w:b/>
          <w:bCs/>
          <w:sz w:val="20"/>
          <w:u w:val="single"/>
        </w:rPr>
        <w:t>Rekapitulácia dá</w:t>
      </w:r>
      <w:r w:rsidRPr="00AD76E7">
        <w:rPr>
          <w:rFonts w:ascii="Calibri" w:hAnsi="Calibri" w:cs="Calibri"/>
          <w:b/>
          <w:bCs/>
          <w:sz w:val="20"/>
          <w:u w:val="single"/>
        </w:rPr>
        <w:t>t:</w:t>
      </w: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Teplota vnútorného vzduchu      Tai =  </w:t>
      </w:r>
      <w:r w:rsidRPr="00AD76E7">
        <w:rPr>
          <w:rFonts w:ascii="Calibri" w:hAnsi="Calibri" w:cs="Calibri"/>
          <w:sz w:val="20"/>
        </w:rPr>
        <w:tab/>
        <w:t>20,00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Rel. vlhkosť vnútorného vzduchu Fii =  </w:t>
      </w:r>
      <w:r w:rsidRPr="00AD76E7">
        <w:rPr>
          <w:rFonts w:ascii="Calibri" w:hAnsi="Calibri" w:cs="Calibri"/>
          <w:sz w:val="20"/>
        </w:rPr>
        <w:tab/>
        <w:t>50,00 %</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sz w:val="20"/>
        </w:rPr>
        <w:tab/>
      </w:r>
      <w:r w:rsidRPr="00AD76E7">
        <w:rPr>
          <w:rFonts w:ascii="Calibri" w:hAnsi="Calibri" w:cs="Calibri"/>
          <w:b/>
          <w:bCs/>
          <w:sz w:val="20"/>
        </w:rPr>
        <w:t>Hodnotená konštrukcia:</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Čislo </w:t>
      </w:r>
      <w:r w:rsidRPr="00AD76E7">
        <w:rPr>
          <w:rFonts w:ascii="Calibri" w:hAnsi="Calibri" w:cs="Calibri"/>
          <w:b/>
          <w:bCs/>
          <w:sz w:val="20"/>
        </w:rPr>
        <w:tab/>
        <w:t xml:space="preserve">Názov vrstvy </w:t>
      </w:r>
      <w:r w:rsidRPr="00AD76E7">
        <w:rPr>
          <w:rFonts w:ascii="Calibri" w:hAnsi="Calibri" w:cs="Calibri"/>
          <w:b/>
          <w:bCs/>
          <w:sz w:val="20"/>
        </w:rPr>
        <w:tab/>
        <w:t xml:space="preserve">d [m] </w:t>
      </w:r>
      <w:r w:rsidRPr="00AD76E7">
        <w:rPr>
          <w:rFonts w:ascii="Calibri" w:hAnsi="Calibri" w:cs="Calibri"/>
          <w:b/>
          <w:bCs/>
          <w:sz w:val="20"/>
        </w:rPr>
        <w:tab/>
        <w:t xml:space="preserve">Lambda [W/mK] </w:t>
      </w:r>
      <w:r w:rsidRPr="00AD76E7">
        <w:rPr>
          <w:rFonts w:ascii="Calibri" w:hAnsi="Calibri" w:cs="Calibri"/>
          <w:b/>
          <w:bCs/>
          <w:sz w:val="20"/>
        </w:rPr>
        <w:tab/>
        <w:t>Mi [-]</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1 </w:t>
      </w:r>
      <w:r w:rsidRPr="00AD76E7">
        <w:rPr>
          <w:rFonts w:ascii="Calibri" w:hAnsi="Calibri" w:cs="Calibri"/>
          <w:sz w:val="20"/>
        </w:rPr>
        <w:tab/>
        <w:t xml:space="preserve">Váp.cem. omietka </w:t>
      </w:r>
      <w:r w:rsidRPr="00AD76E7">
        <w:rPr>
          <w:rFonts w:ascii="Calibri" w:hAnsi="Calibri" w:cs="Calibri"/>
          <w:sz w:val="20"/>
        </w:rPr>
        <w:tab/>
        <w:t xml:space="preserve">0,010 </w:t>
      </w:r>
      <w:r w:rsidRPr="00AD76E7">
        <w:rPr>
          <w:rFonts w:ascii="Calibri" w:hAnsi="Calibri" w:cs="Calibri"/>
          <w:sz w:val="20"/>
        </w:rPr>
        <w:tab/>
        <w:t xml:space="preserve">     0,880 </w:t>
      </w:r>
      <w:r w:rsidRPr="00AD76E7">
        <w:rPr>
          <w:rFonts w:ascii="Calibri" w:hAnsi="Calibri" w:cs="Calibri"/>
          <w:sz w:val="20"/>
        </w:rPr>
        <w:tab/>
        <w:t>19,0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2 </w:t>
      </w:r>
      <w:r w:rsidRPr="00AD76E7">
        <w:rPr>
          <w:rFonts w:ascii="Calibri" w:hAnsi="Calibri" w:cs="Calibri"/>
          <w:sz w:val="20"/>
        </w:rPr>
        <w:tab/>
        <w:t xml:space="preserve">Tehla </w:t>
      </w:r>
      <w:r w:rsidRPr="00AD76E7">
        <w:rPr>
          <w:rFonts w:ascii="Calibri" w:hAnsi="Calibri" w:cs="Calibri"/>
          <w:sz w:val="20"/>
        </w:rPr>
        <w:tab/>
        <w:t xml:space="preserve">0,250 </w:t>
      </w:r>
      <w:r w:rsidRPr="00AD76E7">
        <w:rPr>
          <w:rFonts w:ascii="Calibri" w:hAnsi="Calibri" w:cs="Calibri"/>
          <w:sz w:val="20"/>
        </w:rPr>
        <w:tab/>
        <w:t xml:space="preserve">     0,240 </w:t>
      </w:r>
      <w:r w:rsidRPr="00AD76E7">
        <w:rPr>
          <w:rFonts w:ascii="Calibri" w:hAnsi="Calibri" w:cs="Calibri"/>
          <w:sz w:val="20"/>
        </w:rPr>
        <w:tab/>
        <w:t>8,5</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r w:rsidRPr="00AD76E7">
        <w:rPr>
          <w:rFonts w:ascii="Calibri" w:hAnsi="Calibri" w:cs="Calibri"/>
          <w:sz w:val="20"/>
        </w:rPr>
        <w:tab/>
        <w:t xml:space="preserve">  3 </w:t>
      </w:r>
      <w:r w:rsidRPr="00AD76E7">
        <w:rPr>
          <w:rFonts w:ascii="Calibri" w:hAnsi="Calibri" w:cs="Calibri"/>
          <w:sz w:val="20"/>
        </w:rPr>
        <w:tab/>
        <w:t xml:space="preserve">Váp.cem. omietka </w:t>
      </w:r>
      <w:r w:rsidRPr="00AD76E7">
        <w:rPr>
          <w:rFonts w:ascii="Calibri" w:hAnsi="Calibri" w:cs="Calibri"/>
          <w:sz w:val="20"/>
        </w:rPr>
        <w:tab/>
        <w:t xml:space="preserve">0,010 </w:t>
      </w:r>
      <w:r w:rsidRPr="00AD76E7">
        <w:rPr>
          <w:rFonts w:ascii="Calibri" w:hAnsi="Calibri" w:cs="Calibri"/>
          <w:sz w:val="20"/>
        </w:rPr>
        <w:tab/>
        <w:t xml:space="preserve">     0,880 </w:t>
      </w:r>
      <w:r w:rsidRPr="00AD76E7">
        <w:rPr>
          <w:rFonts w:ascii="Calibri" w:hAnsi="Calibri" w:cs="Calibri"/>
          <w:sz w:val="20"/>
        </w:rPr>
        <w:tab/>
        <w:t>19,0</w:t>
      </w: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800"/>
          <w:tab w:val="left" w:pos="3500"/>
          <w:tab w:val="left" w:pos="4500"/>
          <w:tab w:val="left" w:pos="6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 Požiadavka na vnútornú povrchovú teplotu (čl. 3.1.1)</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Táto požiadavka sa nevzťahuje na presklené výplne.</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Tsi,N = Tsi,80 + dTsi =  </w:t>
      </w:r>
      <w:r w:rsidRPr="00AD76E7">
        <w:rPr>
          <w:rFonts w:ascii="Calibri" w:hAnsi="Calibri" w:cs="Calibri"/>
          <w:sz w:val="20"/>
        </w:rPr>
        <w:tab/>
        <w:t>12,63+0,20 = 12,83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Tsi =  </w:t>
      </w:r>
      <w:r w:rsidRPr="00AD76E7">
        <w:rPr>
          <w:rFonts w:ascii="Calibri" w:hAnsi="Calibri" w:cs="Calibri"/>
          <w:sz w:val="20"/>
        </w:rPr>
        <w:tab/>
        <w:t>18,52 C</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Tsi &gt; Tsi,N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Pozn.: Povrch. teploty v mieste tepelných mostov v skladbe je nutné</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lastRenderedPageBreak/>
        <w:tab/>
        <w:t xml:space="preserve"> určiť riešením teplotného poľa.</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II. Požiadavka na tepelný odpor a súčinitel prechodu tepla (čl. 3.2.1)</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 Rn =  </w:t>
      </w:r>
      <w:r w:rsidRPr="00AD76E7">
        <w:rPr>
          <w:rFonts w:ascii="Calibri" w:hAnsi="Calibri" w:cs="Calibri"/>
          <w:sz w:val="20"/>
        </w:rPr>
        <w:tab/>
        <w:t>0,60 m2K/W</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R  =  </w:t>
      </w:r>
      <w:r w:rsidRPr="00AD76E7">
        <w:rPr>
          <w:rFonts w:ascii="Calibri" w:hAnsi="Calibri" w:cs="Calibri"/>
          <w:sz w:val="20"/>
        </w:rPr>
        <w:tab/>
        <w:t>1,06 m2K/W</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R &gt; Rn ... POŽIADAVKA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 Un =  </w:t>
      </w:r>
      <w:r w:rsidRPr="00AD76E7">
        <w:rPr>
          <w:rFonts w:ascii="Calibri" w:hAnsi="Calibri" w:cs="Calibri"/>
          <w:sz w:val="20"/>
        </w:rPr>
        <w:tab/>
        <w:t>1,20 W/m2K</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U  =  </w:t>
      </w:r>
      <w:r w:rsidRPr="00AD76E7">
        <w:rPr>
          <w:rFonts w:ascii="Calibri" w:hAnsi="Calibri" w:cs="Calibri"/>
          <w:sz w:val="20"/>
        </w:rPr>
        <w:tab/>
        <w:t>0,81 W/m2K</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U &gt; Un ... POŽIADAVKA NIE JE SPLNENÁ.</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Pr="00AD76E7">
        <w:rPr>
          <w:rFonts w:ascii="Calibri" w:hAnsi="Calibri" w:cs="Calibri"/>
          <w:b/>
          <w:bCs/>
          <w:sz w:val="20"/>
          <w:u w:val="single"/>
        </w:rPr>
        <w:t>III. Požiadavky na šírenie vlhkosti konštrukciou (čl. 4.1)</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t xml:space="preserve"> Požiadavky: </w:t>
      </w:r>
      <w:r w:rsidRPr="00AD76E7">
        <w:rPr>
          <w:rFonts w:ascii="Calibri" w:hAnsi="Calibri" w:cs="Calibri"/>
          <w:sz w:val="20"/>
        </w:rPr>
        <w:tab/>
        <w:t xml:space="preserve"> 1. Skondenzovaná vodná para nesmie ohroziť funkciu kcie.</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 xml:space="preserve"> 2. Ročná bilancia vodnej pary musí byť aktívna, tj. Gk&lt;Gv (Ma,vysl=0).</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r w:rsidRPr="00AD76E7">
        <w:rPr>
          <w:rFonts w:ascii="Calibri" w:hAnsi="Calibri" w:cs="Calibri"/>
          <w:sz w:val="20"/>
        </w:rPr>
        <w:tab/>
        <w:t xml:space="preserve"> 3. Množstvo kondenzátu musí byť Gk (Ma) &lt; 0,5 kg/m2,rok.</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Vypočítané hodnoty: </w:t>
      </w:r>
      <w:r w:rsidRPr="00AD76E7">
        <w:rPr>
          <w:rFonts w:ascii="Calibri" w:hAnsi="Calibri" w:cs="Calibri"/>
          <w:sz w:val="20"/>
        </w:rPr>
        <w:tab/>
        <w:t xml:space="preserve"> V kci nedochádza pri ext. výpočt. teplote ku kondenzácii.</w:t>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sz w:val="20"/>
        </w:rPr>
      </w:pPr>
      <w:r w:rsidRPr="00AD76E7">
        <w:rPr>
          <w:rFonts w:ascii="Calibri" w:hAnsi="Calibri" w:cs="Calibri"/>
          <w:sz w:val="20"/>
        </w:rPr>
        <w:tab/>
      </w:r>
    </w:p>
    <w:p w:rsidR="00650445" w:rsidRPr="00AD76E7" w:rsidRDefault="00650445" w:rsidP="00650445">
      <w:pPr>
        <w:tabs>
          <w:tab w:val="left" w:pos="0"/>
          <w:tab w:val="left" w:pos="100"/>
          <w:tab w:val="left" w:pos="1800"/>
          <w:tab w:val="left" w:pos="25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POŽIADAVKY SÚ SPLNENÉ.</w:t>
      </w:r>
    </w:p>
    <w:p w:rsidR="00650445" w:rsidRPr="00AD76E7" w:rsidRDefault="00650445" w:rsidP="00650445">
      <w:pPr>
        <w:pStyle w:val="Nadpis3"/>
        <w:numPr>
          <w:ilvl w:val="0"/>
          <w:numId w:val="0"/>
        </w:numPr>
        <w:jc w:val="both"/>
        <w:rPr>
          <w:rFonts w:ascii="Calibri" w:hAnsi="Calibri" w:cs="Calibri"/>
        </w:rPr>
      </w:pPr>
      <w:bookmarkStart w:id="176" w:name="_Toc1897633"/>
      <w:r w:rsidRPr="00AD76E7">
        <w:rPr>
          <w:rFonts w:ascii="Calibri" w:hAnsi="Calibri" w:cs="Calibri"/>
        </w:rPr>
        <w:t>5.1.6 Otvorové konštrukcie</w:t>
      </w:r>
      <w:bookmarkEnd w:id="176"/>
    </w:p>
    <w:p w:rsidR="00650445" w:rsidRPr="00AD76E7" w:rsidRDefault="00650445" w:rsidP="00650445">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ab/>
      </w:r>
    </w:p>
    <w:p w:rsidR="00650445" w:rsidRPr="00AD76E7" w:rsidRDefault="00650445" w:rsidP="00650445">
      <w:pPr>
        <w:tabs>
          <w:tab w:val="left" w:pos="0"/>
          <w:tab w:val="left" w:pos="1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 w:val="left" w:pos="6300"/>
          <w:tab w:val="left" w:pos="6600"/>
          <w:tab w:val="left" w:pos="6900"/>
          <w:tab w:val="left" w:pos="7200"/>
          <w:tab w:val="left" w:pos="7500"/>
          <w:tab w:val="left" w:pos="7800"/>
          <w:tab w:val="left" w:pos="8100"/>
          <w:tab w:val="left" w:pos="8400"/>
          <w:tab w:val="left" w:pos="8700"/>
        </w:tabs>
        <w:autoSpaceDE w:val="0"/>
        <w:autoSpaceDN w:val="0"/>
        <w:adjustRightInd w:val="0"/>
        <w:jc w:val="both"/>
        <w:rPr>
          <w:rFonts w:ascii="Calibri" w:hAnsi="Calibri" w:cs="Calibri"/>
          <w:b/>
          <w:bCs/>
          <w:sz w:val="20"/>
        </w:rPr>
      </w:pPr>
      <w:r w:rsidRPr="00AD76E7">
        <w:rPr>
          <w:rFonts w:ascii="Calibri" w:hAnsi="Calibri" w:cs="Calibri"/>
          <w:b/>
          <w:bCs/>
          <w:sz w:val="20"/>
        </w:rPr>
        <w:t>VYHODNOTENIE VÝSLEDKOV PODĽA STN 730540-2</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u w:val="single"/>
        </w:rPr>
      </w:pPr>
      <w:r w:rsidRPr="00AD76E7">
        <w:rPr>
          <w:rFonts w:ascii="Calibri" w:hAnsi="Calibri" w:cs="Calibri"/>
          <w:sz w:val="20"/>
        </w:rPr>
        <w:tab/>
      </w:r>
      <w:r w:rsidRPr="00AD76E7">
        <w:rPr>
          <w:rFonts w:ascii="Calibri" w:hAnsi="Calibri" w:cs="Calibri"/>
          <w:b/>
          <w:bCs/>
          <w:sz w:val="20"/>
        </w:rPr>
        <w:t xml:space="preserve">Názov konštrukcie                   :  </w:t>
      </w:r>
      <w:r w:rsidRPr="00AD76E7">
        <w:rPr>
          <w:rFonts w:ascii="Calibri" w:hAnsi="Calibri" w:cs="Calibri"/>
          <w:b/>
          <w:bCs/>
          <w:sz w:val="20"/>
        </w:rPr>
        <w:tab/>
      </w:r>
      <w:r w:rsidRPr="00AD76E7">
        <w:rPr>
          <w:rFonts w:ascii="Calibri" w:hAnsi="Calibri" w:cs="Calibri"/>
          <w:b/>
          <w:sz w:val="20"/>
          <w:u w:val="single"/>
        </w:rPr>
        <w:t>Otvorové konštrukcie</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u w:val="single"/>
        </w:rPr>
      </w:pP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b/>
          <w:bCs/>
          <w:sz w:val="20"/>
          <w:u w:val="single"/>
        </w:rPr>
      </w:pPr>
      <w:r w:rsidRPr="00AD76E7">
        <w:rPr>
          <w:rFonts w:ascii="Calibri" w:hAnsi="Calibri" w:cs="Calibri"/>
          <w:sz w:val="20"/>
        </w:rPr>
        <w:tab/>
      </w:r>
      <w:r w:rsidR="00AD76E7">
        <w:rPr>
          <w:rFonts w:ascii="Calibri" w:hAnsi="Calibri" w:cs="Calibri"/>
          <w:b/>
          <w:bCs/>
          <w:sz w:val="20"/>
          <w:u w:val="single"/>
        </w:rPr>
        <w:t>Rekapitulácia dá</w:t>
      </w:r>
      <w:r w:rsidRPr="00AD76E7">
        <w:rPr>
          <w:rFonts w:ascii="Calibri" w:hAnsi="Calibri" w:cs="Calibri"/>
          <w:b/>
          <w:bCs/>
          <w:sz w:val="20"/>
          <w:u w:val="single"/>
        </w:rPr>
        <w:t>t:</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Súčiniteľ prestupu tepla zasklením Ug =  0,50 W/m2K</w:t>
      </w:r>
    </w:p>
    <w:p w:rsidR="00650445"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Súčiniteľ prestupu tepla rámom Uf =  </w:t>
      </w:r>
      <w:r w:rsidRPr="00AD76E7">
        <w:rPr>
          <w:rFonts w:ascii="Calibri" w:hAnsi="Calibri" w:cs="Calibri"/>
          <w:sz w:val="20"/>
        </w:rPr>
        <w:tab/>
        <w:t xml:space="preserve"> 1,00 W/m2K</w:t>
      </w:r>
    </w:p>
    <w:tbl>
      <w:tblPr>
        <w:tblStyle w:val="Mriekatabuky"/>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814"/>
        <w:gridCol w:w="1797"/>
        <w:gridCol w:w="1802"/>
        <w:gridCol w:w="1798"/>
        <w:gridCol w:w="1815"/>
      </w:tblGrid>
      <w:tr w:rsidR="00650445" w:rsidRPr="00AD76E7" w:rsidTr="00D717DF">
        <w:tc>
          <w:tcPr>
            <w:tcW w:w="1814" w:type="dxa"/>
            <w:tcBorders>
              <w:top w:val="single" w:sz="18" w:space="0" w:color="auto"/>
              <w:bottom w:val="single" w:sz="18" w:space="0" w:color="auto"/>
            </w:tcBorders>
            <w:vAlign w:val="center"/>
          </w:tcPr>
          <w:p w:rsidR="00650445" w:rsidRPr="00AD76E7" w:rsidRDefault="00650445" w:rsidP="00650445">
            <w:pPr>
              <w:jc w:val="both"/>
              <w:rPr>
                <w:rStyle w:val="Zvraznenie"/>
                <w:rFonts w:ascii="Calibri" w:hAnsi="Calibri" w:cs="Calibri"/>
                <w:b/>
                <w:sz w:val="20"/>
              </w:rPr>
            </w:pPr>
            <w:r w:rsidRPr="00AD76E7">
              <w:rPr>
                <w:rStyle w:val="Zvraznenie"/>
                <w:rFonts w:ascii="Calibri" w:hAnsi="Calibri" w:cs="Calibri"/>
                <w:b/>
                <w:sz w:val="20"/>
              </w:rPr>
              <w:t>Rozmery okna v mm Š x V</w:t>
            </w:r>
          </w:p>
        </w:tc>
        <w:tc>
          <w:tcPr>
            <w:tcW w:w="1797" w:type="dxa"/>
            <w:tcBorders>
              <w:top w:val="single" w:sz="18" w:space="0" w:color="auto"/>
              <w:bottom w:val="single" w:sz="18" w:space="0" w:color="auto"/>
            </w:tcBorders>
            <w:vAlign w:val="center"/>
          </w:tcPr>
          <w:p w:rsidR="00650445" w:rsidRPr="00AD76E7" w:rsidRDefault="00650445" w:rsidP="00650445">
            <w:pPr>
              <w:jc w:val="both"/>
              <w:rPr>
                <w:rStyle w:val="Zvraznenie"/>
                <w:rFonts w:ascii="Calibri" w:hAnsi="Calibri" w:cs="Calibri"/>
                <w:b/>
                <w:sz w:val="20"/>
              </w:rPr>
            </w:pPr>
            <w:r w:rsidRPr="00AD76E7">
              <w:rPr>
                <w:rStyle w:val="Zvraznenie"/>
                <w:rFonts w:ascii="Calibri" w:hAnsi="Calibri" w:cs="Calibri"/>
                <w:b/>
                <w:sz w:val="20"/>
              </w:rPr>
              <w:t xml:space="preserve">Počet okien </w:t>
            </w:r>
          </w:p>
          <w:p w:rsidR="00650445" w:rsidRPr="00AD76E7" w:rsidRDefault="00650445" w:rsidP="00650445">
            <w:pPr>
              <w:jc w:val="both"/>
              <w:rPr>
                <w:rStyle w:val="Zvraznenie"/>
                <w:rFonts w:ascii="Calibri" w:hAnsi="Calibri" w:cs="Calibri"/>
                <w:b/>
                <w:sz w:val="20"/>
              </w:rPr>
            </w:pPr>
            <w:r w:rsidRPr="00AD76E7">
              <w:rPr>
                <w:rStyle w:val="Zvraznenie"/>
                <w:rFonts w:ascii="Calibri" w:hAnsi="Calibri" w:cs="Calibri"/>
                <w:b/>
                <w:sz w:val="20"/>
              </w:rPr>
              <w:t>KS</w:t>
            </w:r>
          </w:p>
        </w:tc>
        <w:tc>
          <w:tcPr>
            <w:tcW w:w="1802" w:type="dxa"/>
            <w:tcBorders>
              <w:top w:val="single" w:sz="18" w:space="0" w:color="auto"/>
              <w:bottom w:val="single" w:sz="18" w:space="0" w:color="auto"/>
            </w:tcBorders>
            <w:vAlign w:val="center"/>
          </w:tcPr>
          <w:p w:rsidR="00650445" w:rsidRPr="00AD76E7" w:rsidRDefault="00650445" w:rsidP="00650445">
            <w:pPr>
              <w:jc w:val="both"/>
              <w:rPr>
                <w:rStyle w:val="Zvraznenie"/>
                <w:rFonts w:ascii="Calibri" w:hAnsi="Calibri" w:cs="Calibri"/>
                <w:b/>
                <w:sz w:val="20"/>
              </w:rPr>
            </w:pPr>
            <w:r w:rsidRPr="00AD76E7">
              <w:rPr>
                <w:rStyle w:val="Zvraznenie"/>
                <w:rFonts w:ascii="Calibri" w:hAnsi="Calibri" w:cs="Calibri"/>
                <w:b/>
                <w:sz w:val="20"/>
              </w:rPr>
              <w:t>Plocha okien v m</w:t>
            </w:r>
            <w:r w:rsidRPr="00AD76E7">
              <w:rPr>
                <w:rStyle w:val="Zvraznenie"/>
                <w:rFonts w:ascii="Calibri" w:hAnsi="Calibri" w:cs="Calibri"/>
                <w:b/>
                <w:sz w:val="20"/>
                <w:vertAlign w:val="superscript"/>
              </w:rPr>
              <w:t>2</w:t>
            </w:r>
          </w:p>
        </w:tc>
        <w:tc>
          <w:tcPr>
            <w:tcW w:w="1798" w:type="dxa"/>
            <w:tcBorders>
              <w:top w:val="single" w:sz="18" w:space="0" w:color="auto"/>
              <w:bottom w:val="single" w:sz="18" w:space="0" w:color="auto"/>
            </w:tcBorders>
            <w:vAlign w:val="center"/>
          </w:tcPr>
          <w:p w:rsidR="00650445" w:rsidRPr="00AD76E7" w:rsidRDefault="00650445" w:rsidP="00650445">
            <w:pPr>
              <w:jc w:val="both"/>
              <w:rPr>
                <w:rStyle w:val="Zvraznenie"/>
                <w:rFonts w:ascii="Calibri" w:hAnsi="Calibri" w:cs="Calibri"/>
                <w:b/>
                <w:sz w:val="20"/>
              </w:rPr>
            </w:pPr>
            <w:r w:rsidRPr="00AD76E7">
              <w:rPr>
                <w:rStyle w:val="Zvraznenie"/>
                <w:rFonts w:ascii="Calibri" w:hAnsi="Calibri" w:cs="Calibri"/>
                <w:b/>
                <w:sz w:val="20"/>
              </w:rPr>
              <w:t>Dĺžka škár</w:t>
            </w:r>
          </w:p>
          <w:p w:rsidR="00650445" w:rsidRPr="00AD76E7" w:rsidRDefault="00650445" w:rsidP="00650445">
            <w:pPr>
              <w:jc w:val="both"/>
              <w:rPr>
                <w:rStyle w:val="Zvraznenie"/>
                <w:rFonts w:ascii="Calibri" w:hAnsi="Calibri" w:cs="Calibri"/>
                <w:b/>
                <w:sz w:val="20"/>
              </w:rPr>
            </w:pPr>
            <w:r w:rsidRPr="00AD76E7">
              <w:rPr>
                <w:rStyle w:val="Zvraznenie"/>
                <w:rFonts w:ascii="Calibri" w:hAnsi="Calibri" w:cs="Calibri"/>
                <w:b/>
                <w:sz w:val="20"/>
              </w:rPr>
              <w:t xml:space="preserve"> m</w:t>
            </w:r>
          </w:p>
        </w:tc>
        <w:tc>
          <w:tcPr>
            <w:tcW w:w="1815" w:type="dxa"/>
            <w:tcBorders>
              <w:top w:val="single" w:sz="18" w:space="0" w:color="auto"/>
              <w:bottom w:val="single" w:sz="18" w:space="0" w:color="auto"/>
            </w:tcBorders>
            <w:vAlign w:val="center"/>
          </w:tcPr>
          <w:p w:rsidR="00650445" w:rsidRPr="00AD76E7" w:rsidRDefault="00650445" w:rsidP="00650445">
            <w:pPr>
              <w:jc w:val="both"/>
              <w:rPr>
                <w:rStyle w:val="Zvraznenie"/>
                <w:rFonts w:ascii="Calibri" w:hAnsi="Calibri" w:cs="Calibri"/>
                <w:b/>
                <w:sz w:val="20"/>
              </w:rPr>
            </w:pPr>
            <w:r w:rsidRPr="00AD76E7">
              <w:rPr>
                <w:rStyle w:val="Zvraznenie"/>
                <w:rFonts w:ascii="Calibri" w:hAnsi="Calibri" w:cs="Calibri"/>
                <w:b/>
                <w:sz w:val="20"/>
              </w:rPr>
              <w:t>Súč. Prestupu tepla</w:t>
            </w:r>
          </w:p>
          <w:p w:rsidR="00650445" w:rsidRPr="00AD76E7" w:rsidRDefault="00650445" w:rsidP="00650445">
            <w:pPr>
              <w:jc w:val="both"/>
              <w:rPr>
                <w:rStyle w:val="Zvraznenie"/>
                <w:rFonts w:ascii="Calibri" w:hAnsi="Calibri" w:cs="Calibri"/>
                <w:b/>
                <w:sz w:val="20"/>
              </w:rPr>
            </w:pPr>
            <w:r w:rsidRPr="00AD76E7">
              <w:rPr>
                <w:rStyle w:val="Zvraznenie"/>
                <w:rFonts w:ascii="Calibri" w:hAnsi="Calibri" w:cs="Calibri"/>
                <w:b/>
                <w:sz w:val="20"/>
              </w:rPr>
              <w:t>U</w:t>
            </w:r>
            <w:r w:rsidRPr="00AD76E7">
              <w:rPr>
                <w:rStyle w:val="Zvraznenie"/>
                <w:rFonts w:ascii="Calibri" w:hAnsi="Calibri" w:cs="Calibri"/>
                <w:b/>
                <w:sz w:val="20"/>
                <w:vertAlign w:val="subscript"/>
              </w:rPr>
              <w:t>W</w:t>
            </w:r>
            <w:r w:rsidRPr="00AD76E7">
              <w:rPr>
                <w:rStyle w:val="Zvraznenie"/>
                <w:rFonts w:ascii="Calibri" w:hAnsi="Calibri" w:cs="Calibri"/>
                <w:b/>
                <w:sz w:val="20"/>
              </w:rPr>
              <w:t xml:space="preserve"> (W/(m</w:t>
            </w:r>
            <w:r w:rsidRPr="00AD76E7">
              <w:rPr>
                <w:rStyle w:val="Zvraznenie"/>
                <w:rFonts w:ascii="Calibri" w:hAnsi="Calibri" w:cs="Calibri"/>
                <w:b/>
                <w:sz w:val="20"/>
                <w:vertAlign w:val="superscript"/>
              </w:rPr>
              <w:t>2</w:t>
            </w:r>
            <w:r w:rsidRPr="00AD76E7">
              <w:rPr>
                <w:rStyle w:val="Zvraznenie"/>
                <w:rFonts w:ascii="Calibri" w:hAnsi="Calibri" w:cs="Calibri"/>
                <w:b/>
                <w:sz w:val="20"/>
              </w:rPr>
              <w:t>.K))</w:t>
            </w:r>
          </w:p>
        </w:tc>
      </w:tr>
      <w:tr w:rsidR="00650445" w:rsidRPr="00AD76E7" w:rsidTr="00D717DF">
        <w:tc>
          <w:tcPr>
            <w:tcW w:w="1814" w:type="dxa"/>
            <w:tcBorders>
              <w:top w:val="single" w:sz="18"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2400x700</w:t>
            </w:r>
          </w:p>
        </w:tc>
        <w:tc>
          <w:tcPr>
            <w:tcW w:w="1797" w:type="dxa"/>
            <w:tcBorders>
              <w:top w:val="single" w:sz="18"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2</w:t>
            </w:r>
          </w:p>
        </w:tc>
        <w:tc>
          <w:tcPr>
            <w:tcW w:w="1802" w:type="dxa"/>
            <w:tcBorders>
              <w:top w:val="single" w:sz="18"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3,36</w:t>
            </w:r>
          </w:p>
        </w:tc>
        <w:tc>
          <w:tcPr>
            <w:tcW w:w="1798" w:type="dxa"/>
            <w:tcBorders>
              <w:top w:val="single" w:sz="18"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14,38</w:t>
            </w:r>
          </w:p>
        </w:tc>
        <w:tc>
          <w:tcPr>
            <w:tcW w:w="1815" w:type="dxa"/>
            <w:tcBorders>
              <w:top w:val="single" w:sz="18" w:space="0" w:color="auto"/>
              <w:left w:val="single" w:sz="2" w:space="0" w:color="auto"/>
              <w:bottom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0,83</w:t>
            </w:r>
          </w:p>
        </w:tc>
      </w:tr>
      <w:tr w:rsidR="00650445" w:rsidRPr="00AD76E7" w:rsidTr="00D717DF">
        <w:tc>
          <w:tcPr>
            <w:tcW w:w="1814" w:type="dxa"/>
            <w:tcBorders>
              <w:top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2500x2600</w:t>
            </w:r>
          </w:p>
        </w:tc>
        <w:tc>
          <w:tcPr>
            <w:tcW w:w="1797"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2</w:t>
            </w:r>
          </w:p>
        </w:tc>
        <w:tc>
          <w:tcPr>
            <w:tcW w:w="1802"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13,00</w:t>
            </w:r>
          </w:p>
        </w:tc>
        <w:tc>
          <w:tcPr>
            <w:tcW w:w="1798"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29,98</w:t>
            </w:r>
          </w:p>
        </w:tc>
        <w:tc>
          <w:tcPr>
            <w:tcW w:w="1815" w:type="dxa"/>
            <w:tcBorders>
              <w:top w:val="single" w:sz="2" w:space="0" w:color="auto"/>
              <w:left w:val="single" w:sz="2" w:space="0" w:color="auto"/>
              <w:bottom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0,66</w:t>
            </w:r>
          </w:p>
        </w:tc>
      </w:tr>
      <w:tr w:rsidR="00650445" w:rsidRPr="00AD76E7" w:rsidTr="00D717DF">
        <w:tc>
          <w:tcPr>
            <w:tcW w:w="1814" w:type="dxa"/>
            <w:tcBorders>
              <w:top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2400x2500</w:t>
            </w:r>
          </w:p>
        </w:tc>
        <w:tc>
          <w:tcPr>
            <w:tcW w:w="1797"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2</w:t>
            </w:r>
          </w:p>
        </w:tc>
        <w:tc>
          <w:tcPr>
            <w:tcW w:w="1802"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12,00</w:t>
            </w:r>
          </w:p>
        </w:tc>
        <w:tc>
          <w:tcPr>
            <w:tcW w:w="1798"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28,78</w:t>
            </w:r>
          </w:p>
        </w:tc>
        <w:tc>
          <w:tcPr>
            <w:tcW w:w="1815" w:type="dxa"/>
            <w:tcBorders>
              <w:top w:val="single" w:sz="2" w:space="0" w:color="auto"/>
              <w:left w:val="single" w:sz="2" w:space="0" w:color="auto"/>
              <w:bottom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0,66</w:t>
            </w:r>
          </w:p>
        </w:tc>
      </w:tr>
      <w:tr w:rsidR="00650445" w:rsidRPr="00AD76E7" w:rsidTr="00D717DF">
        <w:tc>
          <w:tcPr>
            <w:tcW w:w="1814" w:type="dxa"/>
            <w:tcBorders>
              <w:top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1100x2500</w:t>
            </w:r>
          </w:p>
        </w:tc>
        <w:tc>
          <w:tcPr>
            <w:tcW w:w="1797"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1</w:t>
            </w:r>
          </w:p>
        </w:tc>
        <w:tc>
          <w:tcPr>
            <w:tcW w:w="1802"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2,75</w:t>
            </w:r>
          </w:p>
        </w:tc>
        <w:tc>
          <w:tcPr>
            <w:tcW w:w="1798"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6,93</w:t>
            </w:r>
          </w:p>
        </w:tc>
        <w:tc>
          <w:tcPr>
            <w:tcW w:w="1815" w:type="dxa"/>
            <w:tcBorders>
              <w:top w:val="single" w:sz="2" w:space="0" w:color="auto"/>
              <w:left w:val="single" w:sz="2" w:space="0" w:color="auto"/>
              <w:bottom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0,72</w:t>
            </w:r>
          </w:p>
        </w:tc>
      </w:tr>
      <w:tr w:rsidR="00650445" w:rsidRPr="00AD76E7" w:rsidTr="00D717DF">
        <w:tc>
          <w:tcPr>
            <w:tcW w:w="1814" w:type="dxa"/>
            <w:tcBorders>
              <w:top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1600x2500</w:t>
            </w:r>
          </w:p>
        </w:tc>
        <w:tc>
          <w:tcPr>
            <w:tcW w:w="1797"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1</w:t>
            </w:r>
          </w:p>
        </w:tc>
        <w:tc>
          <w:tcPr>
            <w:tcW w:w="1802"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4,00</w:t>
            </w:r>
          </w:p>
        </w:tc>
        <w:tc>
          <w:tcPr>
            <w:tcW w:w="1798" w:type="dxa"/>
            <w:tcBorders>
              <w:top w:val="single" w:sz="2" w:space="0" w:color="auto"/>
              <w:left w:val="single" w:sz="2" w:space="0" w:color="auto"/>
              <w:bottom w:val="single" w:sz="2" w:space="0" w:color="auto"/>
              <w:right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12,79</w:t>
            </w:r>
          </w:p>
        </w:tc>
        <w:tc>
          <w:tcPr>
            <w:tcW w:w="1815" w:type="dxa"/>
            <w:tcBorders>
              <w:top w:val="single" w:sz="2" w:space="0" w:color="auto"/>
              <w:left w:val="single" w:sz="2" w:space="0" w:color="auto"/>
              <w:bottom w:val="single" w:sz="2"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0,71</w:t>
            </w:r>
          </w:p>
        </w:tc>
      </w:tr>
      <w:tr w:rsidR="00650445" w:rsidRPr="00AD76E7" w:rsidTr="00D717DF">
        <w:tc>
          <w:tcPr>
            <w:tcW w:w="7211" w:type="dxa"/>
            <w:gridSpan w:val="4"/>
            <w:tcBorders>
              <w:top w:val="single" w:sz="18" w:space="0" w:color="auto"/>
              <w:bottom w:val="single" w:sz="18"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b/>
                <w:sz w:val="20"/>
              </w:rPr>
              <w:t>U</w:t>
            </w:r>
            <w:r w:rsidRPr="00AD76E7">
              <w:rPr>
                <w:rStyle w:val="Zvraznenie"/>
                <w:rFonts w:ascii="Calibri" w:hAnsi="Calibri" w:cs="Calibri"/>
                <w:b/>
                <w:sz w:val="20"/>
                <w:vertAlign w:val="subscript"/>
              </w:rPr>
              <w:t xml:space="preserve">W </w:t>
            </w:r>
            <w:r w:rsidRPr="00AD76E7">
              <w:rPr>
                <w:rStyle w:val="Zvraznenie"/>
                <w:rFonts w:ascii="Calibri" w:hAnsi="Calibri" w:cs="Calibri"/>
                <w:b/>
                <w:sz w:val="20"/>
              </w:rPr>
              <w:t>=</w:t>
            </w:r>
          </w:p>
        </w:tc>
        <w:tc>
          <w:tcPr>
            <w:tcW w:w="1815" w:type="dxa"/>
            <w:tcBorders>
              <w:top w:val="single" w:sz="18" w:space="0" w:color="auto"/>
              <w:bottom w:val="single" w:sz="18" w:space="0" w:color="auto"/>
            </w:tcBorders>
            <w:vAlign w:val="center"/>
          </w:tcPr>
          <w:p w:rsidR="00650445" w:rsidRPr="00AD76E7" w:rsidRDefault="00650445" w:rsidP="00650445">
            <w:pPr>
              <w:jc w:val="both"/>
              <w:rPr>
                <w:rStyle w:val="Zvraznenie"/>
                <w:rFonts w:ascii="Calibri" w:hAnsi="Calibri" w:cs="Calibri"/>
                <w:sz w:val="20"/>
              </w:rPr>
            </w:pPr>
            <w:r w:rsidRPr="00AD76E7">
              <w:rPr>
                <w:rStyle w:val="Zvraznenie"/>
                <w:rFonts w:ascii="Calibri" w:hAnsi="Calibri" w:cs="Calibri"/>
                <w:sz w:val="20"/>
              </w:rPr>
              <w:t>0,69</w:t>
            </w:r>
          </w:p>
        </w:tc>
      </w:tr>
    </w:tbl>
    <w:p w:rsidR="00650445" w:rsidRPr="00AD76E7" w:rsidRDefault="00650445" w:rsidP="00650445">
      <w:pPr>
        <w:jc w:val="both"/>
        <w:rPr>
          <w:rStyle w:val="Vrazn"/>
          <w:rFonts w:ascii="Calibri" w:hAnsi="Calibri" w:cs="Calibri"/>
          <w:sz w:val="20"/>
        </w:rPr>
      </w:pPr>
      <w:r w:rsidRPr="00AD76E7">
        <w:rPr>
          <w:rStyle w:val="Zvraznenie"/>
          <w:rFonts w:ascii="Calibri" w:hAnsi="Calibri" w:cs="Calibri"/>
          <w:sz w:val="20"/>
        </w:rPr>
        <w:t xml:space="preserve"> </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Požiadavka        : Uw,n =  </w:t>
      </w:r>
      <w:r w:rsidRPr="00AD76E7">
        <w:rPr>
          <w:rFonts w:ascii="Calibri" w:hAnsi="Calibri" w:cs="Calibri"/>
          <w:sz w:val="20"/>
        </w:rPr>
        <w:tab/>
        <w:t>1,00 W/m2K</w:t>
      </w:r>
    </w:p>
    <w:p w:rsidR="00650445" w:rsidRPr="00AD76E7" w:rsidRDefault="00650445" w:rsidP="00650445">
      <w:pPr>
        <w:tabs>
          <w:tab w:val="left" w:pos="0"/>
          <w:tab w:val="left" w:pos="100"/>
          <w:tab w:val="left" w:pos="3000"/>
        </w:tabs>
        <w:autoSpaceDE w:val="0"/>
        <w:autoSpaceDN w:val="0"/>
        <w:adjustRightInd w:val="0"/>
        <w:jc w:val="both"/>
        <w:rPr>
          <w:rFonts w:ascii="Calibri" w:hAnsi="Calibri" w:cs="Calibri"/>
          <w:sz w:val="20"/>
        </w:rPr>
      </w:pPr>
      <w:r w:rsidRPr="00AD76E7">
        <w:rPr>
          <w:rFonts w:ascii="Calibri" w:hAnsi="Calibri" w:cs="Calibri"/>
          <w:sz w:val="20"/>
        </w:rPr>
        <w:tab/>
        <w:t xml:space="preserve"> Vypočítaná hodnota: Uw  =  </w:t>
      </w:r>
      <w:r w:rsidRPr="00AD76E7">
        <w:rPr>
          <w:rFonts w:ascii="Calibri" w:hAnsi="Calibri" w:cs="Calibri"/>
          <w:sz w:val="20"/>
        </w:rPr>
        <w:tab/>
        <w:t>0,69 W/m2K</w:t>
      </w:r>
    </w:p>
    <w:p w:rsidR="00763F78" w:rsidRPr="00AD76E7" w:rsidRDefault="00650445" w:rsidP="00D45B6E">
      <w:pPr>
        <w:tabs>
          <w:tab w:val="left" w:pos="0"/>
          <w:tab w:val="left" w:pos="100"/>
          <w:tab w:val="left" w:pos="3000"/>
        </w:tabs>
        <w:autoSpaceDE w:val="0"/>
        <w:autoSpaceDN w:val="0"/>
        <w:adjustRightInd w:val="0"/>
        <w:jc w:val="both"/>
        <w:rPr>
          <w:rFonts w:ascii="Calibri" w:hAnsi="Calibri" w:cs="Calibri"/>
          <w:b/>
          <w:bCs/>
          <w:sz w:val="20"/>
        </w:rPr>
      </w:pPr>
      <w:r w:rsidRPr="00AD76E7">
        <w:rPr>
          <w:rFonts w:ascii="Calibri" w:hAnsi="Calibri" w:cs="Calibri"/>
          <w:b/>
          <w:bCs/>
          <w:sz w:val="20"/>
        </w:rPr>
        <w:tab/>
        <w:t xml:space="preserve"> Uw &lt; Uw,n ... POŽIADAVKA JE SPLNENÁ.</w:t>
      </w:r>
    </w:p>
    <w:p w:rsidR="00AD76E7" w:rsidRDefault="00AD76E7" w:rsidP="0009245A">
      <w:pPr>
        <w:autoSpaceDE w:val="0"/>
        <w:autoSpaceDN w:val="0"/>
        <w:adjustRightInd w:val="0"/>
        <w:rPr>
          <w:rFonts w:ascii="Calibri" w:hAnsi="Calibri" w:cs="Calibri"/>
          <w:b/>
          <w:iCs/>
          <w:sz w:val="24"/>
        </w:rPr>
      </w:pPr>
    </w:p>
    <w:p w:rsidR="00AD76E7" w:rsidRDefault="00AD76E7" w:rsidP="0009245A">
      <w:pPr>
        <w:autoSpaceDE w:val="0"/>
        <w:autoSpaceDN w:val="0"/>
        <w:adjustRightInd w:val="0"/>
        <w:rPr>
          <w:rFonts w:ascii="Calibri" w:hAnsi="Calibri" w:cs="Calibri"/>
          <w:b/>
          <w:iCs/>
          <w:sz w:val="24"/>
        </w:rPr>
      </w:pPr>
    </w:p>
    <w:p w:rsidR="00763F78" w:rsidRPr="00AD76E7" w:rsidRDefault="00763F78" w:rsidP="00AD76E7">
      <w:pPr>
        <w:autoSpaceDE w:val="0"/>
        <w:autoSpaceDN w:val="0"/>
        <w:adjustRightInd w:val="0"/>
        <w:rPr>
          <w:rFonts w:ascii="Calibri" w:hAnsi="Calibri" w:cs="Calibri"/>
          <w:b/>
          <w:iCs/>
          <w:sz w:val="24"/>
        </w:rPr>
      </w:pPr>
      <w:r w:rsidRPr="00AD76E7">
        <w:rPr>
          <w:rFonts w:ascii="Calibri" w:hAnsi="Calibri" w:cs="Calibri"/>
          <w:b/>
          <w:iCs/>
          <w:sz w:val="24"/>
        </w:rPr>
        <w:t>DOPRAVNÉ RIEŠENIE</w:t>
      </w:r>
    </w:p>
    <w:p w:rsidR="00763F78" w:rsidRPr="00AD76E7" w:rsidRDefault="00763F78" w:rsidP="00AD76E7">
      <w:pPr>
        <w:autoSpaceDE w:val="0"/>
        <w:autoSpaceDN w:val="0"/>
        <w:adjustRightInd w:val="0"/>
        <w:jc w:val="both"/>
        <w:rPr>
          <w:rFonts w:ascii="Calibri" w:hAnsi="Calibri" w:cs="Calibri"/>
          <w:b/>
          <w:iCs/>
          <w:sz w:val="20"/>
        </w:rPr>
      </w:pPr>
    </w:p>
    <w:p w:rsidR="00D45B6E" w:rsidRPr="00AD76E7" w:rsidRDefault="00D45B6E" w:rsidP="00AD76E7">
      <w:pPr>
        <w:pStyle w:val="Nadpis3"/>
        <w:numPr>
          <w:ilvl w:val="0"/>
          <w:numId w:val="0"/>
        </w:numPr>
        <w:overflowPunct/>
        <w:autoSpaceDE/>
        <w:autoSpaceDN/>
        <w:adjustRightInd/>
        <w:spacing w:before="0" w:after="0"/>
        <w:ind w:left="397" w:right="-1" w:hanging="397"/>
        <w:jc w:val="both"/>
        <w:textAlignment w:val="auto"/>
        <w:rPr>
          <w:rFonts w:ascii="Calibri" w:eastAsia="Calibri" w:hAnsi="Calibri" w:cs="Calibri"/>
          <w:bCs/>
          <w:lang w:eastAsia="en-US"/>
        </w:rPr>
      </w:pPr>
      <w:bookmarkStart w:id="177" w:name="_Toc227507125"/>
      <w:r w:rsidRPr="00AD76E7">
        <w:rPr>
          <w:rFonts w:ascii="Calibri" w:eastAsia="Calibri" w:hAnsi="Calibri" w:cs="Calibri"/>
          <w:lang w:eastAsia="en-US"/>
        </w:rPr>
        <w:t>POUŽITÉ PODKLADY</w:t>
      </w:r>
      <w:bookmarkEnd w:id="177"/>
    </w:p>
    <w:p w:rsidR="00D45B6E" w:rsidRPr="00AD76E7" w:rsidRDefault="00D45B6E" w:rsidP="00AD76E7">
      <w:pPr>
        <w:pStyle w:val="Bezriadkovania"/>
        <w:jc w:val="both"/>
        <w:rPr>
          <w:rFonts w:ascii="Calibri" w:hAnsi="Calibri" w:cs="Calibri"/>
        </w:rPr>
      </w:pPr>
      <w:r w:rsidRPr="00AD76E7">
        <w:rPr>
          <w:rFonts w:ascii="Calibri" w:hAnsi="Calibri" w:cs="Calibri"/>
        </w:rPr>
        <w:t>a.)</w:t>
      </w:r>
      <w:r w:rsidRPr="00AD76E7">
        <w:rPr>
          <w:rFonts w:ascii="Calibri" w:hAnsi="Calibri" w:cs="Calibri"/>
        </w:rPr>
        <w:tab/>
        <w:t>Polohopisný a výškopisný plán predmetného územia v M 1: 200 v súradnicovom systéme S-JTSK a výškovom systéme Bpv s aktuálnym stavom evidencie nehnuteľnosti,</w:t>
      </w:r>
    </w:p>
    <w:p w:rsidR="00D45B6E" w:rsidRPr="00AD76E7" w:rsidRDefault="00D45B6E" w:rsidP="00AD76E7">
      <w:pPr>
        <w:pStyle w:val="Bezriadkovania"/>
        <w:jc w:val="both"/>
        <w:rPr>
          <w:rFonts w:ascii="Calibri" w:hAnsi="Calibri" w:cs="Calibri"/>
        </w:rPr>
      </w:pPr>
      <w:r w:rsidRPr="00AD76E7">
        <w:rPr>
          <w:rFonts w:ascii="Calibri" w:hAnsi="Calibri" w:cs="Calibri"/>
        </w:rPr>
        <w:t>b.)</w:t>
      </w:r>
      <w:r w:rsidRPr="00AD76E7">
        <w:rPr>
          <w:rFonts w:ascii="Calibri" w:hAnsi="Calibri" w:cs="Calibri"/>
        </w:rPr>
        <w:tab/>
        <w:t>STN 73 6110 Projektovanie miestnych komunikácií,</w:t>
      </w:r>
    </w:p>
    <w:p w:rsidR="00D45B6E" w:rsidRPr="00AD76E7" w:rsidRDefault="00D45B6E" w:rsidP="00AD76E7">
      <w:pPr>
        <w:pStyle w:val="Nadpis3"/>
        <w:numPr>
          <w:ilvl w:val="0"/>
          <w:numId w:val="0"/>
        </w:numPr>
        <w:overflowPunct/>
        <w:autoSpaceDE/>
        <w:autoSpaceDN/>
        <w:adjustRightInd/>
        <w:spacing w:before="0" w:after="0"/>
        <w:ind w:left="397" w:right="-1" w:hanging="397"/>
        <w:jc w:val="both"/>
        <w:textAlignment w:val="auto"/>
        <w:rPr>
          <w:rFonts w:ascii="Calibri" w:eastAsia="Calibri" w:hAnsi="Calibri" w:cs="Calibri"/>
          <w:bCs/>
          <w:lang w:eastAsia="en-US"/>
        </w:rPr>
      </w:pPr>
      <w:r w:rsidRPr="00AD76E7">
        <w:rPr>
          <w:rFonts w:ascii="Calibri" w:eastAsia="Calibri" w:hAnsi="Calibri" w:cs="Calibri"/>
          <w:lang w:eastAsia="en-US"/>
        </w:rPr>
        <w:t>POPIS EXISTUJÚCEHO STAVU</w:t>
      </w:r>
    </w:p>
    <w:p w:rsidR="00D45B6E" w:rsidRPr="00AD76E7" w:rsidRDefault="00D45B6E" w:rsidP="00AD76E7">
      <w:pPr>
        <w:jc w:val="both"/>
        <w:rPr>
          <w:rFonts w:ascii="Calibri" w:hAnsi="Calibri" w:cs="Calibri"/>
          <w:sz w:val="20"/>
        </w:rPr>
      </w:pPr>
    </w:p>
    <w:p w:rsidR="00D45B6E" w:rsidRPr="00AD76E7" w:rsidRDefault="00D45B6E" w:rsidP="00AD76E7">
      <w:pPr>
        <w:jc w:val="both"/>
        <w:rPr>
          <w:rFonts w:ascii="Calibri" w:hAnsi="Calibri" w:cs="Calibri"/>
          <w:sz w:val="20"/>
        </w:rPr>
      </w:pPr>
      <w:r w:rsidRPr="00AD76E7">
        <w:rPr>
          <w:rFonts w:ascii="Calibri" w:hAnsi="Calibri" w:cs="Calibri"/>
          <w:sz w:val="20"/>
        </w:rPr>
        <w:t>Projektová dokumentácia rieši návrh spevnených plôch, parkovacích stojísk, chodníkov ako aj úpravy existujúcej nespevnenej prístupovej komunikácie.</w:t>
      </w:r>
    </w:p>
    <w:p w:rsidR="00D45B6E" w:rsidRPr="00AD76E7" w:rsidRDefault="00D45B6E" w:rsidP="00AD76E7">
      <w:pPr>
        <w:pStyle w:val="Bezriadkovania"/>
        <w:jc w:val="both"/>
        <w:rPr>
          <w:rFonts w:ascii="Calibri" w:hAnsi="Calibri" w:cs="Calibri"/>
        </w:rPr>
      </w:pPr>
      <w:r w:rsidRPr="00AD76E7">
        <w:rPr>
          <w:rFonts w:ascii="Calibri" w:hAnsi="Calibri" w:cs="Calibri"/>
        </w:rPr>
        <w:lastRenderedPageBreak/>
        <w:t>Územie sa nachádza v obci Stretov v okrese Nové Zámky. Konkrétnejšie sa nachádza územie severovýchodne od samotného zastavaného územia obce vo vinárskej oblasti. Dopravná obsluha územia je zabezpečovaná pomocou nespevnenej (štrkovej) cesty so šírkou cca. 3,00m.</w:t>
      </w:r>
    </w:p>
    <w:p w:rsidR="00D45B6E" w:rsidRPr="00AD76E7" w:rsidRDefault="00D45B6E" w:rsidP="00AD76E7">
      <w:pPr>
        <w:pStyle w:val="Bezriadkovania"/>
        <w:ind w:firstLine="708"/>
        <w:jc w:val="both"/>
        <w:rPr>
          <w:rFonts w:ascii="Calibri" w:hAnsi="Calibri" w:cs="Calibri"/>
        </w:rPr>
      </w:pPr>
    </w:p>
    <w:p w:rsidR="00D45B6E" w:rsidRDefault="00D45B6E" w:rsidP="00AD76E7">
      <w:pPr>
        <w:pStyle w:val="Bezriadkovania"/>
        <w:jc w:val="both"/>
        <w:rPr>
          <w:rFonts w:ascii="Calibri" w:hAnsi="Calibri" w:cs="Calibri"/>
        </w:rPr>
      </w:pPr>
      <w:r w:rsidRPr="00AD76E7">
        <w:rPr>
          <w:rFonts w:ascii="Calibri" w:hAnsi="Calibri" w:cs="Calibri"/>
        </w:rPr>
        <w:t xml:space="preserve">V súčasnosti sa v riešenom území nachádzajú drobné súkromné vinárstva a posedenia s priľahlými vinohradmi. </w:t>
      </w:r>
    </w:p>
    <w:p w:rsidR="00AD76E7" w:rsidRDefault="00AD76E7" w:rsidP="00AD76E7">
      <w:pPr>
        <w:pStyle w:val="Bezriadkovania"/>
        <w:jc w:val="both"/>
        <w:rPr>
          <w:rFonts w:ascii="Calibri" w:hAnsi="Calibri" w:cs="Calibri"/>
        </w:rPr>
      </w:pPr>
      <w:r w:rsidRPr="000D00F5">
        <w:rPr>
          <w:rFonts w:ascii="Calibri" w:eastAsia="Calibri" w:hAnsi="Calibri" w:cs="Calibri"/>
          <w:bCs/>
          <w:noProof/>
          <w:highlight w:val="lightGray"/>
        </w:rPr>
        <w:drawing>
          <wp:anchor distT="0" distB="0" distL="114300" distR="114300" simplePos="0" relativeHeight="251676672" behindDoc="0" locked="0" layoutInCell="1" allowOverlap="1" wp14:anchorId="4FFB8028" wp14:editId="1FDC027A">
            <wp:simplePos x="0" y="0"/>
            <wp:positionH relativeFrom="column">
              <wp:posOffset>-3810</wp:posOffset>
            </wp:positionH>
            <wp:positionV relativeFrom="paragraph">
              <wp:posOffset>66382</wp:posOffset>
            </wp:positionV>
            <wp:extent cx="5760720" cy="3781425"/>
            <wp:effectExtent l="0" t="0" r="0" b="9525"/>
            <wp:wrapNone/>
            <wp:docPr id="63" name="Obrázo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3781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AD76E7" w:rsidRDefault="00AD76E7" w:rsidP="00AD76E7">
      <w:pPr>
        <w:pStyle w:val="Bezriadkovania"/>
        <w:jc w:val="both"/>
        <w:rPr>
          <w:rFonts w:ascii="Calibri" w:hAnsi="Calibri" w:cs="Calibri"/>
        </w:rPr>
      </w:pPr>
    </w:p>
    <w:p w:rsidR="00D45B6E" w:rsidRPr="00AD76E7" w:rsidRDefault="00D45B6E" w:rsidP="00AD76E7">
      <w:pPr>
        <w:jc w:val="center"/>
        <w:rPr>
          <w:rFonts w:ascii="Calibri" w:hAnsi="Calibri" w:cs="Calibri"/>
          <w:i/>
          <w:sz w:val="20"/>
        </w:rPr>
      </w:pPr>
      <w:r w:rsidRPr="00AD76E7">
        <w:rPr>
          <w:rFonts w:ascii="Calibri" w:hAnsi="Calibri" w:cs="Calibri"/>
          <w:i/>
          <w:sz w:val="20"/>
        </w:rPr>
        <w:t>Obr, č.1: Širšie vzťah</w:t>
      </w:r>
      <w:r w:rsidR="00AD76E7" w:rsidRPr="00AD76E7">
        <w:rPr>
          <w:rFonts w:ascii="Calibri" w:hAnsi="Calibri" w:cs="Calibri"/>
          <w:i/>
          <w:sz w:val="20"/>
        </w:rPr>
        <w:t>y</w:t>
      </w:r>
    </w:p>
    <w:p w:rsidR="00D45B6E" w:rsidRPr="00AD76E7" w:rsidRDefault="00AD76E7" w:rsidP="00AD76E7">
      <w:pPr>
        <w:jc w:val="both"/>
        <w:rPr>
          <w:rFonts w:ascii="Calibri" w:eastAsia="Calibri" w:hAnsi="Calibri" w:cs="Calibri"/>
          <w:b/>
          <w:sz w:val="20"/>
          <w:lang w:eastAsia="en-US"/>
        </w:rPr>
      </w:pPr>
      <w:r>
        <w:rPr>
          <w:rFonts w:ascii="Calibri" w:eastAsia="Calibri" w:hAnsi="Calibri" w:cs="Calibri"/>
          <w:b/>
          <w:sz w:val="20"/>
          <w:lang w:eastAsia="en-US"/>
        </w:rPr>
        <w:t>POPIS NÁ</w:t>
      </w:r>
      <w:r w:rsidR="00D45B6E" w:rsidRPr="00AD76E7">
        <w:rPr>
          <w:rFonts w:ascii="Calibri" w:eastAsia="Calibri" w:hAnsi="Calibri" w:cs="Calibri"/>
          <w:b/>
          <w:sz w:val="20"/>
          <w:lang w:eastAsia="en-US"/>
        </w:rPr>
        <w:t>VRHOVÉHO STAVU</w:t>
      </w:r>
    </w:p>
    <w:p w:rsidR="00AD76E7" w:rsidRPr="00AD76E7" w:rsidRDefault="00AD76E7" w:rsidP="00AD76E7">
      <w:pPr>
        <w:jc w:val="both"/>
        <w:rPr>
          <w:rFonts w:ascii="Calibri" w:eastAsia="Calibri" w:hAnsi="Calibri" w:cs="Calibri"/>
          <w:b/>
          <w:sz w:val="20"/>
          <w:lang w:eastAsia="en-US"/>
        </w:rPr>
      </w:pPr>
    </w:p>
    <w:p w:rsidR="00D45B6E" w:rsidRPr="00AD76E7" w:rsidRDefault="00D45B6E" w:rsidP="00AD76E7">
      <w:pPr>
        <w:ind w:firstLine="708"/>
        <w:jc w:val="both"/>
        <w:rPr>
          <w:rFonts w:ascii="Calibri" w:hAnsi="Calibri" w:cs="Calibri"/>
          <w:sz w:val="20"/>
        </w:rPr>
      </w:pPr>
      <w:r w:rsidRPr="00AD76E7">
        <w:rPr>
          <w:rFonts w:ascii="Calibri" w:hAnsi="Calibri" w:cs="Calibri"/>
          <w:sz w:val="20"/>
        </w:rPr>
        <w:t xml:space="preserve">Projekt rieši návrh spevnených plôch v okolí plánovaného vinárstva. Dané spevnené plochy budú slúžiť na pohyb chodcov, príjazd vozidiel zásobovania ako aj na pohyb poľnohospodárnych strojov. Ďalším riešením projektu je úprava existujúcej nespevnej komunikácie. </w:t>
      </w:r>
    </w:p>
    <w:p w:rsidR="00AD76E7" w:rsidRPr="00AD76E7" w:rsidRDefault="00AD76E7" w:rsidP="00AD76E7">
      <w:pPr>
        <w:ind w:firstLine="709"/>
        <w:jc w:val="both"/>
        <w:rPr>
          <w:rFonts w:asciiTheme="majorHAnsi" w:hAnsiTheme="majorHAnsi" w:cstheme="majorHAnsi"/>
          <w:sz w:val="20"/>
        </w:rPr>
      </w:pPr>
      <w:r w:rsidRPr="00AD76E7">
        <w:rPr>
          <w:rFonts w:asciiTheme="majorHAnsi" w:hAnsiTheme="majorHAnsi" w:cstheme="majorHAnsi"/>
          <w:sz w:val="20"/>
        </w:rPr>
        <w:t>Zo západnej strany od navrhovaných objektov je navrhnutá spevnená plocha parkoviska pre 4 osobné automobily. Rozmery parkovacích stojísk sú 5,00x2,75m. Medzi nespevnenou štrkovou komunikáciou (šírky 3,00m) a parkovacími stojiskami je navrhnutá spevnená plocha so šírkou od 2,75m do 3,40m. Spolu so šírkou nespevnenej komunikácie bude pred parkovacími stojiskami plocha so šírkou min. 5,75m umožňujúca prístup ku parkovacím stojiskám s kolmým spôsobom radenia.</w:t>
      </w:r>
    </w:p>
    <w:p w:rsidR="00AD76E7" w:rsidRPr="00AD76E7" w:rsidRDefault="00AD76E7" w:rsidP="00AD76E7">
      <w:pPr>
        <w:ind w:firstLine="709"/>
        <w:jc w:val="both"/>
        <w:rPr>
          <w:rFonts w:asciiTheme="majorHAnsi" w:hAnsiTheme="majorHAnsi" w:cstheme="majorHAnsi"/>
          <w:sz w:val="20"/>
        </w:rPr>
      </w:pPr>
    </w:p>
    <w:p w:rsidR="00AD76E7" w:rsidRPr="00AD76E7" w:rsidRDefault="00AD76E7" w:rsidP="00AD76E7">
      <w:pPr>
        <w:ind w:firstLine="709"/>
        <w:jc w:val="both"/>
        <w:rPr>
          <w:rFonts w:asciiTheme="majorHAnsi" w:hAnsiTheme="majorHAnsi" w:cstheme="majorHAnsi"/>
          <w:sz w:val="20"/>
        </w:rPr>
      </w:pPr>
      <w:r w:rsidRPr="00AD76E7">
        <w:rPr>
          <w:rFonts w:asciiTheme="majorHAnsi" w:hAnsiTheme="majorHAnsi" w:cstheme="majorHAnsi"/>
          <w:sz w:val="20"/>
        </w:rPr>
        <w:t>Zvyšné dve parkovacie stojiská sú navrhnuté východne od objektu SO 01. Stojiská sú navrhnuté s pozdĺžnym spôsobom radenia s rozmermi  6,00x2,50m.</w:t>
      </w:r>
    </w:p>
    <w:p w:rsidR="00AD76E7" w:rsidRPr="00AD76E7" w:rsidRDefault="00AD76E7" w:rsidP="00AD76E7">
      <w:pPr>
        <w:ind w:firstLine="709"/>
        <w:jc w:val="both"/>
        <w:rPr>
          <w:rFonts w:asciiTheme="majorHAnsi" w:hAnsiTheme="majorHAnsi" w:cstheme="majorHAnsi"/>
          <w:sz w:val="20"/>
        </w:rPr>
      </w:pPr>
    </w:p>
    <w:p w:rsidR="00AD76E7" w:rsidRPr="00AD76E7" w:rsidRDefault="00AD76E7" w:rsidP="00AD76E7">
      <w:pPr>
        <w:ind w:firstLine="709"/>
        <w:jc w:val="both"/>
        <w:rPr>
          <w:rFonts w:asciiTheme="majorHAnsi" w:hAnsiTheme="majorHAnsi" w:cstheme="majorHAnsi"/>
          <w:sz w:val="20"/>
        </w:rPr>
      </w:pPr>
      <w:r w:rsidRPr="00AD76E7">
        <w:rPr>
          <w:rFonts w:asciiTheme="majorHAnsi" w:hAnsiTheme="majorHAnsi" w:cstheme="majorHAnsi"/>
          <w:sz w:val="20"/>
        </w:rPr>
        <w:t>Pozdĺž celej dĺžky riešenej nespevnenej komunikácie je navrhnutý kamenný odvodňovací rigol so šírkou 0,60m, ktorý vytvorí „úžľabie“ na zachytávanie povrchovej vody. V danom odvodňovacom rigole potečie povrchová voda pomocou pozdĺžného sklonu do navrhovaných uličných vpustov.</w:t>
      </w:r>
    </w:p>
    <w:p w:rsidR="00AD76E7" w:rsidRPr="00AD76E7" w:rsidRDefault="00AD76E7" w:rsidP="00AD76E7">
      <w:pPr>
        <w:ind w:firstLine="709"/>
        <w:jc w:val="both"/>
        <w:rPr>
          <w:rFonts w:asciiTheme="majorHAnsi" w:hAnsiTheme="majorHAnsi" w:cstheme="majorHAnsi"/>
          <w:sz w:val="20"/>
        </w:rPr>
      </w:pPr>
    </w:p>
    <w:p w:rsidR="00AD76E7" w:rsidRPr="00AD76E7" w:rsidRDefault="00AD76E7" w:rsidP="00AD76E7">
      <w:pPr>
        <w:ind w:firstLine="709"/>
        <w:jc w:val="both"/>
        <w:rPr>
          <w:rFonts w:asciiTheme="majorHAnsi" w:hAnsiTheme="majorHAnsi" w:cstheme="majorHAnsi"/>
          <w:sz w:val="20"/>
        </w:rPr>
      </w:pPr>
      <w:r w:rsidRPr="00AD76E7">
        <w:rPr>
          <w:rFonts w:asciiTheme="majorHAnsi" w:hAnsiTheme="majorHAnsi" w:cstheme="majorHAnsi"/>
          <w:sz w:val="20"/>
        </w:rPr>
        <w:t xml:space="preserve">Východne od navrhovaných objektov je navrhnutá spevnená plocha so šírkou 3,50m a s pozdĺžnym sklonom 0,36%, ktorá bude slúžiť na príjazd malých nákladných vozidiel ( dodávky do 3,5t) ku skladovej časti objektu vinárstva. Polomery oblúkov sú 3,00m resp. 2,50m.  Pri zásobovacej časti je navrhnutá spevnená plocha s rozmermi 21,20x(10,44 – 7,73)m. </w:t>
      </w:r>
    </w:p>
    <w:p w:rsidR="00AD76E7" w:rsidRPr="00AD76E7" w:rsidRDefault="00AD76E7" w:rsidP="00AD76E7">
      <w:pPr>
        <w:ind w:firstLine="709"/>
        <w:jc w:val="both"/>
        <w:rPr>
          <w:rFonts w:asciiTheme="majorHAnsi" w:hAnsiTheme="majorHAnsi" w:cstheme="majorHAnsi"/>
          <w:sz w:val="20"/>
        </w:rPr>
      </w:pPr>
    </w:p>
    <w:p w:rsidR="00AD76E7" w:rsidRPr="00AD76E7" w:rsidRDefault="00AD76E7" w:rsidP="00AD76E7">
      <w:pPr>
        <w:ind w:firstLine="709"/>
        <w:jc w:val="both"/>
        <w:rPr>
          <w:rFonts w:asciiTheme="majorHAnsi" w:hAnsiTheme="majorHAnsi" w:cstheme="majorHAnsi"/>
          <w:sz w:val="20"/>
        </w:rPr>
      </w:pPr>
      <w:r w:rsidRPr="00AD76E7">
        <w:rPr>
          <w:rFonts w:asciiTheme="majorHAnsi" w:hAnsiTheme="majorHAnsi" w:cstheme="majorHAnsi"/>
          <w:sz w:val="20"/>
        </w:rPr>
        <w:t>Spádovanie danej spevnenej plochy je do strednej časti, kde je navrhnutý uličný vpust. Priečny sklony sa pohybujú v rozmedzí od 0,9% do 2,95%.</w:t>
      </w:r>
    </w:p>
    <w:p w:rsidR="00AD76E7" w:rsidRPr="00AD76E7" w:rsidRDefault="00AD76E7" w:rsidP="00AD76E7">
      <w:pPr>
        <w:ind w:firstLine="709"/>
        <w:jc w:val="both"/>
        <w:rPr>
          <w:rFonts w:asciiTheme="majorHAnsi" w:hAnsiTheme="majorHAnsi" w:cstheme="majorHAnsi"/>
          <w:sz w:val="20"/>
        </w:rPr>
      </w:pPr>
    </w:p>
    <w:p w:rsidR="00AD76E7" w:rsidRPr="00AD76E7" w:rsidRDefault="00AD76E7" w:rsidP="00AD76E7">
      <w:pPr>
        <w:ind w:firstLine="709"/>
        <w:jc w:val="both"/>
        <w:rPr>
          <w:rFonts w:asciiTheme="majorHAnsi" w:hAnsiTheme="majorHAnsi" w:cstheme="majorHAnsi"/>
          <w:sz w:val="20"/>
        </w:rPr>
      </w:pPr>
      <w:r w:rsidRPr="00AD76E7">
        <w:rPr>
          <w:rFonts w:asciiTheme="majorHAnsi" w:hAnsiTheme="majorHAnsi" w:cstheme="majorHAnsi"/>
          <w:sz w:val="20"/>
        </w:rPr>
        <w:lastRenderedPageBreak/>
        <w:t>Celková plocha spevnenej plochy z kamennej dlažby je 495m2.</w:t>
      </w:r>
    </w:p>
    <w:p w:rsidR="00AD76E7" w:rsidRDefault="00AD76E7" w:rsidP="00AD76E7">
      <w:pPr>
        <w:ind w:firstLine="709"/>
        <w:jc w:val="both"/>
        <w:rPr>
          <w:rFonts w:asciiTheme="majorHAnsi" w:hAnsiTheme="majorHAnsi" w:cstheme="majorHAnsi"/>
          <w:sz w:val="20"/>
        </w:rPr>
      </w:pPr>
      <w:r w:rsidRPr="00AD76E7">
        <w:rPr>
          <w:rFonts w:asciiTheme="majorHAnsi" w:hAnsiTheme="majorHAnsi" w:cstheme="majorHAnsi"/>
          <w:sz w:val="20"/>
        </w:rPr>
        <w:t>Plocha parkovacích stojísk z drenážnej dlažby je 125m2.</w:t>
      </w:r>
    </w:p>
    <w:p w:rsidR="00AD76E7" w:rsidRPr="00AD76E7" w:rsidRDefault="00AD76E7" w:rsidP="00AD76E7">
      <w:pPr>
        <w:ind w:firstLine="709"/>
        <w:jc w:val="both"/>
        <w:rPr>
          <w:rFonts w:asciiTheme="majorHAnsi" w:hAnsiTheme="majorHAnsi" w:cstheme="majorHAnsi"/>
          <w:sz w:val="20"/>
        </w:rPr>
      </w:pPr>
    </w:p>
    <w:p w:rsidR="00D45B6E" w:rsidRPr="00AD76E7" w:rsidRDefault="00D45B6E" w:rsidP="00AD76E7">
      <w:pPr>
        <w:pStyle w:val="Nadpis3"/>
        <w:numPr>
          <w:ilvl w:val="0"/>
          <w:numId w:val="0"/>
        </w:numPr>
        <w:overflowPunct/>
        <w:autoSpaceDE/>
        <w:autoSpaceDN/>
        <w:adjustRightInd/>
        <w:spacing w:before="0" w:after="0"/>
        <w:ind w:right="-1"/>
        <w:jc w:val="both"/>
        <w:textAlignment w:val="auto"/>
        <w:rPr>
          <w:rFonts w:ascii="Calibri" w:eastAsia="Calibri" w:hAnsi="Calibri" w:cs="Calibri"/>
          <w:bCs/>
          <w:lang w:eastAsia="en-US"/>
        </w:rPr>
      </w:pPr>
      <w:r w:rsidRPr="00AD76E7">
        <w:rPr>
          <w:rFonts w:ascii="Calibri" w:eastAsia="Calibri" w:hAnsi="Calibri" w:cs="Calibri"/>
          <w:lang w:eastAsia="en-US"/>
        </w:rPr>
        <w:t>NÁVRH KONŠTRUKCIÍ</w:t>
      </w:r>
    </w:p>
    <w:p w:rsidR="00D45B6E" w:rsidRPr="00AD76E7" w:rsidRDefault="00D45B6E" w:rsidP="00AD76E7">
      <w:pPr>
        <w:rPr>
          <w:rFonts w:eastAsia="Calibri"/>
          <w:lang w:val="cs-CZ" w:eastAsia="en-US"/>
        </w:rPr>
      </w:pPr>
    </w:p>
    <w:p w:rsidR="00D45B6E" w:rsidRPr="00AD76E7" w:rsidRDefault="00D45B6E" w:rsidP="00AD76E7">
      <w:pPr>
        <w:jc w:val="both"/>
        <w:rPr>
          <w:rFonts w:ascii="Calibri" w:hAnsi="Calibri" w:cs="Calibri"/>
          <w:b/>
          <w:sz w:val="20"/>
        </w:rPr>
      </w:pPr>
      <w:r w:rsidRPr="00AD76E7">
        <w:rPr>
          <w:rFonts w:ascii="Calibri" w:hAnsi="Calibri" w:cs="Calibri"/>
          <w:b/>
          <w:sz w:val="20"/>
        </w:rPr>
        <w:t xml:space="preserve">KONŠTRUKCIA  SPEVNENEJ PLOCHY </w:t>
      </w:r>
    </w:p>
    <w:p w:rsidR="00D45B6E" w:rsidRPr="00AD76E7" w:rsidRDefault="00D45B6E" w:rsidP="00AD76E7">
      <w:pPr>
        <w:jc w:val="both"/>
        <w:rPr>
          <w:rFonts w:ascii="Calibri" w:hAnsi="Calibri" w:cs="Calibri"/>
          <w:b/>
          <w:sz w:val="20"/>
        </w:rPr>
      </w:pPr>
    </w:p>
    <w:p w:rsidR="00D45B6E" w:rsidRPr="00AD76E7" w:rsidRDefault="00D45B6E" w:rsidP="00AD76E7">
      <w:pPr>
        <w:jc w:val="both"/>
        <w:rPr>
          <w:rFonts w:ascii="Calibri" w:hAnsi="Calibri" w:cs="Calibri"/>
          <w:sz w:val="20"/>
        </w:rPr>
      </w:pPr>
      <w:r w:rsidRPr="00AD76E7">
        <w:rPr>
          <w:rFonts w:ascii="Calibri" w:hAnsi="Calibri" w:cs="Calibri"/>
          <w:sz w:val="20"/>
        </w:rPr>
        <w:t xml:space="preserve">- Žulová dlažba 100x100mm </w:t>
      </w:r>
      <w:r w:rsidRPr="00AD76E7">
        <w:rPr>
          <w:rFonts w:ascii="Calibri" w:hAnsi="Calibri" w:cs="Calibri"/>
          <w:sz w:val="20"/>
        </w:rPr>
        <w:tab/>
      </w:r>
      <w:r w:rsidRPr="00AD76E7">
        <w:rPr>
          <w:rFonts w:ascii="Calibri" w:hAnsi="Calibri" w:cs="Calibri"/>
          <w:sz w:val="20"/>
        </w:rPr>
        <w:tab/>
      </w:r>
      <w:r w:rsidR="004D1B1B">
        <w:rPr>
          <w:rFonts w:ascii="Calibri" w:hAnsi="Calibri" w:cs="Calibri"/>
          <w:sz w:val="20"/>
        </w:rPr>
        <w:tab/>
      </w:r>
      <w:r w:rsidRPr="00AD76E7">
        <w:rPr>
          <w:rFonts w:ascii="Calibri" w:hAnsi="Calibri" w:cs="Calibri"/>
          <w:sz w:val="20"/>
        </w:rPr>
        <w:t>DL</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t>100 mm</w:t>
      </w:r>
      <w:r w:rsidRPr="00AD76E7">
        <w:rPr>
          <w:rFonts w:ascii="Calibri" w:hAnsi="Calibri" w:cs="Calibri"/>
          <w:sz w:val="20"/>
        </w:rPr>
        <w:tab/>
      </w:r>
      <w:r w:rsidR="004D1B1B">
        <w:rPr>
          <w:rFonts w:ascii="Calibri" w:hAnsi="Calibri" w:cs="Calibri"/>
          <w:sz w:val="20"/>
        </w:rPr>
        <w:tab/>
      </w:r>
      <w:r w:rsidRPr="00AD76E7">
        <w:rPr>
          <w:rFonts w:ascii="Calibri" w:hAnsi="Calibri" w:cs="Calibri"/>
          <w:sz w:val="20"/>
        </w:rPr>
        <w:t>STN 1338</w:t>
      </w:r>
    </w:p>
    <w:p w:rsidR="00D45B6E" w:rsidRPr="00AD76E7" w:rsidRDefault="00D45B6E" w:rsidP="00AD76E7">
      <w:pPr>
        <w:jc w:val="both"/>
        <w:rPr>
          <w:rFonts w:ascii="Calibri" w:hAnsi="Calibri" w:cs="Calibri"/>
          <w:sz w:val="20"/>
        </w:rPr>
      </w:pPr>
      <w:r w:rsidRPr="00AD76E7">
        <w:rPr>
          <w:rFonts w:ascii="Calibri" w:hAnsi="Calibri" w:cs="Calibri"/>
          <w:sz w:val="20"/>
        </w:rPr>
        <w:t>(drenážna maltová škárovacia hmota)</w:t>
      </w:r>
      <w:r w:rsidRPr="00AD76E7">
        <w:rPr>
          <w:rFonts w:ascii="Calibri" w:hAnsi="Calibri" w:cs="Calibri"/>
          <w:sz w:val="20"/>
        </w:rPr>
        <w:tab/>
      </w:r>
    </w:p>
    <w:p w:rsidR="00D45B6E" w:rsidRPr="00AD76E7" w:rsidRDefault="00D45B6E" w:rsidP="00AD76E7">
      <w:pPr>
        <w:tabs>
          <w:tab w:val="left" w:pos="708"/>
          <w:tab w:val="left" w:pos="1416"/>
          <w:tab w:val="left" w:pos="2124"/>
          <w:tab w:val="left" w:pos="2832"/>
          <w:tab w:val="left" w:pos="3540"/>
          <w:tab w:val="left" w:pos="4248"/>
          <w:tab w:val="left" w:pos="4956"/>
          <w:tab w:val="left" w:pos="5664"/>
          <w:tab w:val="left" w:pos="6372"/>
          <w:tab w:val="left" w:pos="7080"/>
          <w:tab w:val="left" w:pos="7797"/>
        </w:tabs>
        <w:jc w:val="both"/>
        <w:rPr>
          <w:rFonts w:ascii="Calibri" w:hAnsi="Calibri" w:cs="Calibri"/>
          <w:sz w:val="20"/>
        </w:rPr>
      </w:pPr>
      <w:r w:rsidRPr="00AD76E7">
        <w:rPr>
          <w:rFonts w:ascii="Calibri" w:hAnsi="Calibri" w:cs="Calibri"/>
          <w:sz w:val="20"/>
        </w:rPr>
        <w:t>- Drenážna malta</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004D1B1B">
        <w:rPr>
          <w:rFonts w:ascii="Calibri" w:hAnsi="Calibri" w:cs="Calibri"/>
          <w:sz w:val="20"/>
        </w:rPr>
        <w:tab/>
      </w:r>
      <w:r w:rsidRPr="00AD76E7">
        <w:rPr>
          <w:rFonts w:ascii="Calibri" w:hAnsi="Calibri" w:cs="Calibri"/>
          <w:sz w:val="20"/>
        </w:rPr>
        <w:t>ML</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t>40 mm</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p>
    <w:p w:rsidR="00D45B6E" w:rsidRPr="00AD76E7" w:rsidRDefault="00D45B6E" w:rsidP="00AD76E7">
      <w:pPr>
        <w:jc w:val="both"/>
        <w:rPr>
          <w:rFonts w:ascii="Calibri" w:hAnsi="Calibri" w:cs="Calibri"/>
          <w:sz w:val="20"/>
        </w:rPr>
      </w:pPr>
      <w:r w:rsidRPr="00AD76E7">
        <w:rPr>
          <w:rFonts w:ascii="Calibri" w:hAnsi="Calibri" w:cs="Calibri"/>
          <w:sz w:val="20"/>
        </w:rPr>
        <w:t>- Drenážny betón</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004D1B1B">
        <w:rPr>
          <w:rFonts w:ascii="Calibri" w:hAnsi="Calibri" w:cs="Calibri"/>
          <w:sz w:val="20"/>
        </w:rPr>
        <w:tab/>
      </w:r>
      <w:r w:rsidRPr="00AD76E7">
        <w:rPr>
          <w:rFonts w:ascii="Calibri" w:hAnsi="Calibri" w:cs="Calibri"/>
          <w:sz w:val="20"/>
        </w:rPr>
        <w:t>C12/15</w:t>
      </w:r>
      <w:r w:rsidRPr="00AD76E7">
        <w:rPr>
          <w:rFonts w:ascii="Calibri" w:hAnsi="Calibri" w:cs="Calibri"/>
          <w:sz w:val="20"/>
        </w:rPr>
        <w:tab/>
      </w:r>
      <w:r w:rsidRPr="00AD76E7">
        <w:rPr>
          <w:rFonts w:ascii="Calibri" w:hAnsi="Calibri" w:cs="Calibri"/>
          <w:sz w:val="20"/>
        </w:rPr>
        <w:tab/>
      </w:r>
      <w:r w:rsidR="00AD76E7">
        <w:rPr>
          <w:rFonts w:ascii="Calibri" w:hAnsi="Calibri" w:cs="Calibri"/>
          <w:sz w:val="20"/>
        </w:rPr>
        <w:tab/>
      </w:r>
      <w:r w:rsidRPr="00AD76E7">
        <w:rPr>
          <w:rFonts w:ascii="Calibri" w:hAnsi="Calibri" w:cs="Calibri"/>
          <w:sz w:val="20"/>
        </w:rPr>
        <w:t>180 mm</w:t>
      </w:r>
      <w:r w:rsidRPr="00AD76E7">
        <w:rPr>
          <w:rFonts w:ascii="Calibri" w:hAnsi="Calibri" w:cs="Calibri"/>
          <w:sz w:val="20"/>
        </w:rPr>
        <w:tab/>
      </w:r>
      <w:r w:rsidR="004D1B1B">
        <w:rPr>
          <w:rFonts w:ascii="Calibri" w:hAnsi="Calibri" w:cs="Calibri"/>
          <w:sz w:val="20"/>
        </w:rPr>
        <w:tab/>
      </w:r>
      <w:r w:rsidRPr="00AD76E7">
        <w:rPr>
          <w:rFonts w:ascii="Calibri" w:hAnsi="Calibri" w:cs="Calibri"/>
          <w:sz w:val="20"/>
        </w:rPr>
        <w:t>STN 73 6124-1</w:t>
      </w:r>
    </w:p>
    <w:p w:rsidR="00D45B6E" w:rsidRPr="00AD76E7" w:rsidRDefault="00AD76E7" w:rsidP="00AD76E7">
      <w:pPr>
        <w:jc w:val="both"/>
        <w:rPr>
          <w:rFonts w:ascii="Calibri" w:hAnsi="Calibri" w:cs="Calibri"/>
          <w:sz w:val="20"/>
          <w:u w:val="single"/>
        </w:rPr>
      </w:pPr>
      <w:r>
        <w:rPr>
          <w:rFonts w:ascii="Calibri" w:hAnsi="Calibri" w:cs="Calibri"/>
          <w:sz w:val="20"/>
          <w:u w:val="single"/>
        </w:rPr>
        <w:t>- štrkodrvina fr. 0-32</w:t>
      </w:r>
      <w:r>
        <w:rPr>
          <w:rFonts w:ascii="Calibri" w:hAnsi="Calibri" w:cs="Calibri"/>
          <w:sz w:val="20"/>
          <w:u w:val="single"/>
        </w:rPr>
        <w:tab/>
      </w:r>
      <w:r>
        <w:rPr>
          <w:rFonts w:ascii="Calibri" w:hAnsi="Calibri" w:cs="Calibri"/>
          <w:sz w:val="20"/>
          <w:u w:val="single"/>
        </w:rPr>
        <w:tab/>
      </w:r>
      <w:r>
        <w:rPr>
          <w:rFonts w:ascii="Calibri" w:hAnsi="Calibri" w:cs="Calibri"/>
          <w:sz w:val="20"/>
          <w:u w:val="single"/>
        </w:rPr>
        <w:tab/>
      </w:r>
      <w:r w:rsidR="004D1B1B">
        <w:rPr>
          <w:rFonts w:ascii="Calibri" w:hAnsi="Calibri" w:cs="Calibri"/>
          <w:sz w:val="20"/>
          <w:u w:val="single"/>
        </w:rPr>
        <w:tab/>
      </w:r>
      <w:r w:rsidR="00D45B6E" w:rsidRPr="00AD76E7">
        <w:rPr>
          <w:rFonts w:ascii="Calibri" w:hAnsi="Calibri" w:cs="Calibri"/>
          <w:sz w:val="20"/>
          <w:u w:val="single"/>
        </w:rPr>
        <w:t>ŠD, 31,5 G</w:t>
      </w:r>
      <w:r w:rsidR="00D45B6E" w:rsidRPr="00AD76E7">
        <w:rPr>
          <w:rFonts w:ascii="Calibri" w:hAnsi="Calibri" w:cs="Calibri"/>
          <w:sz w:val="20"/>
          <w:u w:val="single"/>
          <w:vertAlign w:val="subscript"/>
        </w:rPr>
        <w:t>c</w:t>
      </w:r>
      <w:r w:rsidR="004D1B1B">
        <w:rPr>
          <w:rFonts w:ascii="Calibri" w:hAnsi="Calibri" w:cs="Calibri"/>
          <w:sz w:val="20"/>
          <w:u w:val="single"/>
        </w:rPr>
        <w:tab/>
      </w:r>
      <w:r w:rsidR="004D1B1B">
        <w:rPr>
          <w:rFonts w:ascii="Calibri" w:hAnsi="Calibri" w:cs="Calibri"/>
          <w:sz w:val="20"/>
          <w:u w:val="single"/>
        </w:rPr>
        <w:tab/>
        <w:t xml:space="preserve">200 mm   </w:t>
      </w:r>
      <w:r w:rsidR="004D1B1B">
        <w:rPr>
          <w:rFonts w:ascii="Calibri" w:hAnsi="Calibri" w:cs="Calibri"/>
          <w:sz w:val="20"/>
          <w:u w:val="single"/>
        </w:rPr>
        <w:tab/>
      </w:r>
      <w:r w:rsidR="00D45B6E" w:rsidRPr="00AD76E7">
        <w:rPr>
          <w:rFonts w:ascii="Calibri" w:hAnsi="Calibri" w:cs="Calibri"/>
          <w:sz w:val="20"/>
          <w:u w:val="single"/>
        </w:rPr>
        <w:t>STN 73 6126</w:t>
      </w:r>
    </w:p>
    <w:p w:rsidR="00D45B6E" w:rsidRPr="00AD76E7" w:rsidRDefault="00D45B6E" w:rsidP="00AD76E7">
      <w:pPr>
        <w:jc w:val="both"/>
        <w:rPr>
          <w:rFonts w:ascii="Calibri" w:hAnsi="Calibri" w:cs="Calibri"/>
          <w:sz w:val="20"/>
        </w:rPr>
      </w:pPr>
      <w:r w:rsidRPr="00AD76E7">
        <w:rPr>
          <w:rFonts w:ascii="Calibri" w:hAnsi="Calibri" w:cs="Calibri"/>
          <w:sz w:val="20"/>
        </w:rPr>
        <w:t>spolu :</w:t>
      </w:r>
      <w:r w:rsidRPr="00AD76E7">
        <w:rPr>
          <w:rFonts w:ascii="Calibri" w:hAnsi="Calibri" w:cs="Calibri"/>
          <w:sz w:val="20"/>
        </w:rPr>
        <w:tab/>
        <w:t xml:space="preserve">     </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t>500 mm</w:t>
      </w:r>
    </w:p>
    <w:p w:rsidR="00D45B6E" w:rsidRPr="00AD76E7" w:rsidRDefault="00D45B6E" w:rsidP="00AD76E7">
      <w:pPr>
        <w:jc w:val="both"/>
        <w:rPr>
          <w:rFonts w:ascii="Calibri" w:hAnsi="Calibri" w:cs="Calibri"/>
          <w:b/>
          <w:sz w:val="20"/>
        </w:rPr>
      </w:pPr>
      <w:r w:rsidRPr="00AD76E7">
        <w:rPr>
          <w:rFonts w:ascii="Calibri" w:hAnsi="Calibri" w:cs="Calibri"/>
          <w:b/>
          <w:sz w:val="20"/>
        </w:rPr>
        <w:t>KONŠTRUKCIA  PARKOVACÍCH STOJÍSK:</w:t>
      </w:r>
    </w:p>
    <w:p w:rsidR="00D45B6E" w:rsidRPr="00AD76E7" w:rsidRDefault="00D45B6E" w:rsidP="00AD76E7">
      <w:pPr>
        <w:jc w:val="both"/>
        <w:rPr>
          <w:rFonts w:ascii="Calibri" w:hAnsi="Calibri" w:cs="Calibri"/>
          <w:b/>
          <w:sz w:val="20"/>
        </w:rPr>
      </w:pPr>
    </w:p>
    <w:p w:rsidR="00D45B6E" w:rsidRPr="00AD76E7" w:rsidRDefault="00D45B6E" w:rsidP="00AD76E7">
      <w:pPr>
        <w:jc w:val="both"/>
        <w:rPr>
          <w:rFonts w:ascii="Calibri" w:hAnsi="Calibri" w:cs="Calibri"/>
          <w:sz w:val="20"/>
        </w:rPr>
      </w:pPr>
      <w:r w:rsidRPr="00AD76E7">
        <w:rPr>
          <w:rFonts w:ascii="Calibri" w:hAnsi="Calibri" w:cs="Calibri"/>
          <w:sz w:val="20"/>
        </w:rPr>
        <w:t xml:space="preserve">- Betónová drenážna dlažba </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t>DL</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t>80 mm</w:t>
      </w:r>
      <w:r w:rsidRPr="00AD76E7">
        <w:rPr>
          <w:rFonts w:ascii="Calibri" w:hAnsi="Calibri" w:cs="Calibri"/>
          <w:sz w:val="20"/>
        </w:rPr>
        <w:tab/>
      </w:r>
      <w:r w:rsidRPr="00AD76E7">
        <w:rPr>
          <w:rFonts w:ascii="Calibri" w:hAnsi="Calibri" w:cs="Calibri"/>
          <w:sz w:val="20"/>
        </w:rPr>
        <w:tab/>
        <w:t>STN 1338</w:t>
      </w:r>
    </w:p>
    <w:p w:rsidR="00D45B6E" w:rsidRPr="00AD76E7" w:rsidRDefault="00D45B6E" w:rsidP="00AD76E7">
      <w:pPr>
        <w:ind w:right="283"/>
        <w:jc w:val="both"/>
        <w:rPr>
          <w:rFonts w:ascii="Calibri" w:hAnsi="Calibri" w:cs="Calibri"/>
          <w:sz w:val="20"/>
        </w:rPr>
      </w:pPr>
      <w:r w:rsidRPr="00AD76E7">
        <w:rPr>
          <w:rFonts w:ascii="Calibri" w:hAnsi="Calibri" w:cs="Calibri"/>
          <w:sz w:val="20"/>
        </w:rPr>
        <w:t>- Kamenná drvina fr. 4-8</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t>L 4/8</w:t>
      </w:r>
      <w:r w:rsidRPr="00AD76E7">
        <w:rPr>
          <w:rFonts w:ascii="Calibri" w:hAnsi="Calibri" w:cs="Calibri"/>
          <w:sz w:val="20"/>
        </w:rPr>
        <w:tab/>
      </w:r>
      <w:r w:rsidRPr="00AD76E7">
        <w:rPr>
          <w:rFonts w:ascii="Calibri" w:hAnsi="Calibri" w:cs="Calibri"/>
          <w:sz w:val="20"/>
        </w:rPr>
        <w:tab/>
      </w:r>
      <w:r w:rsidR="00AD76E7">
        <w:rPr>
          <w:rFonts w:ascii="Calibri" w:hAnsi="Calibri" w:cs="Calibri"/>
          <w:sz w:val="20"/>
        </w:rPr>
        <w:tab/>
        <w:t>40 mm</w:t>
      </w:r>
      <w:r w:rsidR="00AD76E7">
        <w:rPr>
          <w:rFonts w:ascii="Calibri" w:hAnsi="Calibri" w:cs="Calibri"/>
          <w:sz w:val="20"/>
        </w:rPr>
        <w:tab/>
      </w:r>
      <w:r w:rsidR="00AD76E7">
        <w:rPr>
          <w:rFonts w:ascii="Calibri" w:hAnsi="Calibri" w:cs="Calibri"/>
          <w:sz w:val="20"/>
        </w:rPr>
        <w:tab/>
        <w:t>STN</w:t>
      </w:r>
      <w:r w:rsidRPr="00AD76E7">
        <w:rPr>
          <w:rFonts w:ascii="Calibri" w:hAnsi="Calibri" w:cs="Calibri"/>
          <w:sz w:val="20"/>
        </w:rPr>
        <w:t>13242</w:t>
      </w:r>
      <w:r w:rsidRPr="00AD76E7">
        <w:rPr>
          <w:rFonts w:ascii="Calibri" w:hAnsi="Calibri" w:cs="Calibri"/>
          <w:sz w:val="20"/>
        </w:rPr>
        <w:tab/>
      </w:r>
    </w:p>
    <w:p w:rsidR="00D45B6E" w:rsidRPr="00AD76E7" w:rsidRDefault="00D45B6E" w:rsidP="00AD76E7">
      <w:pPr>
        <w:jc w:val="both"/>
        <w:rPr>
          <w:rFonts w:ascii="Calibri" w:hAnsi="Calibri" w:cs="Calibri"/>
          <w:sz w:val="20"/>
        </w:rPr>
      </w:pPr>
      <w:r w:rsidRPr="00AD76E7">
        <w:rPr>
          <w:rFonts w:ascii="Calibri" w:hAnsi="Calibri" w:cs="Calibri"/>
          <w:sz w:val="20"/>
        </w:rPr>
        <w:t>- Štrkodrvina fr. 0-32</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t>ŠD, 31,5 Gc</w:t>
      </w:r>
      <w:r w:rsidRPr="00AD76E7">
        <w:rPr>
          <w:rFonts w:ascii="Calibri" w:hAnsi="Calibri" w:cs="Calibri"/>
          <w:sz w:val="20"/>
        </w:rPr>
        <w:tab/>
      </w:r>
      <w:r w:rsidRPr="00AD76E7">
        <w:rPr>
          <w:rFonts w:ascii="Calibri" w:hAnsi="Calibri" w:cs="Calibri"/>
          <w:sz w:val="20"/>
        </w:rPr>
        <w:tab/>
        <w:t xml:space="preserve">150 mm   </w:t>
      </w:r>
      <w:r w:rsidRPr="00AD76E7">
        <w:rPr>
          <w:rFonts w:ascii="Calibri" w:hAnsi="Calibri" w:cs="Calibri"/>
          <w:sz w:val="20"/>
        </w:rPr>
        <w:tab/>
        <w:t>STN 73 6126</w:t>
      </w:r>
    </w:p>
    <w:p w:rsidR="00D45B6E" w:rsidRPr="00AD76E7" w:rsidRDefault="00D45B6E" w:rsidP="00AD76E7">
      <w:pPr>
        <w:jc w:val="both"/>
        <w:rPr>
          <w:rFonts w:ascii="Calibri" w:hAnsi="Calibri" w:cs="Calibri"/>
          <w:sz w:val="20"/>
        </w:rPr>
      </w:pPr>
      <w:r w:rsidRPr="00AD76E7">
        <w:rPr>
          <w:rFonts w:ascii="Calibri" w:hAnsi="Calibri" w:cs="Calibri"/>
          <w:sz w:val="20"/>
        </w:rPr>
        <w:t>- Štrkodrvina fr. 0-32</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t>ŠD, 31,5 Gc</w:t>
      </w:r>
      <w:r w:rsidRPr="00AD76E7">
        <w:rPr>
          <w:rFonts w:ascii="Calibri" w:hAnsi="Calibri" w:cs="Calibri"/>
          <w:sz w:val="20"/>
        </w:rPr>
        <w:tab/>
      </w:r>
      <w:r w:rsidRPr="00AD76E7">
        <w:rPr>
          <w:rFonts w:ascii="Calibri" w:hAnsi="Calibri" w:cs="Calibri"/>
          <w:sz w:val="20"/>
        </w:rPr>
        <w:tab/>
        <w:t xml:space="preserve">180 mm   </w:t>
      </w:r>
      <w:r w:rsidRPr="00AD76E7">
        <w:rPr>
          <w:rFonts w:ascii="Calibri" w:hAnsi="Calibri" w:cs="Calibri"/>
          <w:sz w:val="20"/>
        </w:rPr>
        <w:tab/>
        <w:t>STN 73 6126</w:t>
      </w:r>
    </w:p>
    <w:p w:rsidR="00D45B6E" w:rsidRPr="00AD76E7" w:rsidRDefault="00D45B6E" w:rsidP="00AD76E7">
      <w:pPr>
        <w:jc w:val="both"/>
        <w:rPr>
          <w:rFonts w:ascii="Calibri" w:hAnsi="Calibri" w:cs="Calibri"/>
          <w:sz w:val="20"/>
          <w:u w:val="single"/>
        </w:rPr>
      </w:pPr>
      <w:r w:rsidRPr="00AD76E7">
        <w:rPr>
          <w:rFonts w:ascii="Calibri" w:hAnsi="Calibri" w:cs="Calibri"/>
          <w:sz w:val="20"/>
          <w:u w:val="single"/>
        </w:rPr>
        <w:t>- Izolácia odolná voči ropným látkam (REO AMOS NTRF)</w:t>
      </w:r>
      <w:r w:rsidRPr="00AD76E7">
        <w:rPr>
          <w:rFonts w:ascii="Calibri" w:hAnsi="Calibri" w:cs="Calibri"/>
          <w:sz w:val="20"/>
          <w:u w:val="single"/>
        </w:rPr>
        <w:tab/>
      </w:r>
      <w:r w:rsidRPr="00AD76E7">
        <w:rPr>
          <w:rFonts w:ascii="Calibri" w:hAnsi="Calibri" w:cs="Calibri"/>
          <w:sz w:val="20"/>
          <w:u w:val="single"/>
        </w:rPr>
        <w:tab/>
      </w:r>
      <w:r w:rsidRPr="00AD76E7">
        <w:rPr>
          <w:rFonts w:ascii="Calibri" w:hAnsi="Calibri" w:cs="Calibri"/>
          <w:sz w:val="20"/>
          <w:u w:val="single"/>
        </w:rPr>
        <w:tab/>
      </w:r>
      <w:r w:rsidRPr="00AD76E7">
        <w:rPr>
          <w:rFonts w:ascii="Calibri" w:hAnsi="Calibri" w:cs="Calibri"/>
          <w:sz w:val="20"/>
          <w:u w:val="single"/>
        </w:rPr>
        <w:tab/>
      </w:r>
      <w:r w:rsidRPr="00AD76E7">
        <w:rPr>
          <w:rFonts w:ascii="Calibri" w:hAnsi="Calibri" w:cs="Calibri"/>
          <w:sz w:val="20"/>
          <w:u w:val="single"/>
        </w:rPr>
        <w:tab/>
      </w:r>
      <w:r w:rsidRPr="00AD76E7">
        <w:rPr>
          <w:rFonts w:ascii="Calibri" w:hAnsi="Calibri" w:cs="Calibri"/>
          <w:sz w:val="20"/>
          <w:u w:val="single"/>
        </w:rPr>
        <w:tab/>
      </w:r>
    </w:p>
    <w:p w:rsidR="00D45B6E" w:rsidRPr="00AD76E7" w:rsidRDefault="00D45B6E" w:rsidP="00AD76E7">
      <w:pPr>
        <w:jc w:val="both"/>
        <w:rPr>
          <w:rFonts w:ascii="Calibri" w:hAnsi="Calibri" w:cs="Calibri"/>
          <w:sz w:val="20"/>
        </w:rPr>
      </w:pPr>
      <w:r w:rsidRPr="00AD76E7">
        <w:rPr>
          <w:rFonts w:ascii="Calibri" w:hAnsi="Calibri" w:cs="Calibri"/>
          <w:sz w:val="20"/>
        </w:rPr>
        <w:t>spolu :</w:t>
      </w:r>
      <w:r w:rsidRPr="00AD76E7">
        <w:rPr>
          <w:rFonts w:ascii="Calibri" w:hAnsi="Calibri" w:cs="Calibri"/>
          <w:sz w:val="20"/>
        </w:rPr>
        <w:tab/>
        <w:t xml:space="preserve">     </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t>450 mm</w:t>
      </w:r>
    </w:p>
    <w:p w:rsidR="00D45B6E" w:rsidRPr="00AD76E7" w:rsidRDefault="00D45B6E" w:rsidP="00AD76E7">
      <w:pPr>
        <w:jc w:val="both"/>
        <w:rPr>
          <w:rFonts w:ascii="Calibri" w:hAnsi="Calibri" w:cs="Calibri"/>
          <w:b/>
          <w:sz w:val="20"/>
        </w:rPr>
      </w:pPr>
      <w:r w:rsidRPr="00AD76E7">
        <w:rPr>
          <w:rFonts w:ascii="Calibri" w:hAnsi="Calibri" w:cs="Calibri"/>
          <w:b/>
          <w:sz w:val="20"/>
        </w:rPr>
        <w:t>KONŠTRUKCIA NESPEVNEJ KOMUNIKÁCIE :</w:t>
      </w:r>
    </w:p>
    <w:p w:rsidR="00D45B6E" w:rsidRPr="00AD76E7" w:rsidRDefault="00D45B6E" w:rsidP="00AD76E7">
      <w:pPr>
        <w:jc w:val="both"/>
        <w:rPr>
          <w:rFonts w:ascii="Calibri" w:hAnsi="Calibri" w:cs="Calibri"/>
          <w:sz w:val="20"/>
        </w:rPr>
      </w:pPr>
    </w:p>
    <w:p w:rsidR="00D45B6E" w:rsidRPr="00AD76E7" w:rsidRDefault="00D45B6E" w:rsidP="00AD76E7">
      <w:pPr>
        <w:jc w:val="both"/>
        <w:rPr>
          <w:rFonts w:ascii="Calibri" w:hAnsi="Calibri" w:cs="Calibri"/>
          <w:sz w:val="20"/>
        </w:rPr>
      </w:pPr>
      <w:r w:rsidRPr="00AD76E7">
        <w:rPr>
          <w:rFonts w:ascii="Calibri" w:hAnsi="Calibri" w:cs="Calibri"/>
          <w:sz w:val="20"/>
        </w:rPr>
        <w:t>- Štrkodrvina fr. 0-32</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t>ŠD, 31,5 Gc</w:t>
      </w:r>
      <w:r w:rsidRPr="00AD76E7">
        <w:rPr>
          <w:rFonts w:ascii="Calibri" w:hAnsi="Calibri" w:cs="Calibri"/>
          <w:sz w:val="20"/>
        </w:rPr>
        <w:tab/>
      </w:r>
      <w:r w:rsidRPr="00AD76E7">
        <w:rPr>
          <w:rFonts w:ascii="Calibri" w:hAnsi="Calibri" w:cs="Calibri"/>
          <w:sz w:val="20"/>
        </w:rPr>
        <w:tab/>
        <w:t xml:space="preserve">150mm   </w:t>
      </w:r>
      <w:r w:rsidRPr="00AD76E7">
        <w:rPr>
          <w:rFonts w:ascii="Calibri" w:hAnsi="Calibri" w:cs="Calibri"/>
          <w:sz w:val="20"/>
        </w:rPr>
        <w:tab/>
        <w:t>STN 73 6126</w:t>
      </w:r>
    </w:p>
    <w:p w:rsidR="00D45B6E" w:rsidRPr="00AD76E7" w:rsidRDefault="00D45B6E" w:rsidP="00AD76E7">
      <w:pPr>
        <w:jc w:val="both"/>
        <w:rPr>
          <w:rFonts w:ascii="Calibri" w:hAnsi="Calibri" w:cs="Calibri"/>
          <w:sz w:val="20"/>
          <w:u w:val="single"/>
        </w:rPr>
      </w:pPr>
      <w:r w:rsidRPr="00AD76E7">
        <w:rPr>
          <w:rFonts w:ascii="Calibri" w:hAnsi="Calibri" w:cs="Calibri"/>
          <w:sz w:val="20"/>
          <w:u w:val="single"/>
        </w:rPr>
        <w:t>- Štrkodrvina fr. 32-63</w:t>
      </w:r>
      <w:r w:rsidRPr="00AD76E7">
        <w:rPr>
          <w:rFonts w:ascii="Calibri" w:hAnsi="Calibri" w:cs="Calibri"/>
          <w:sz w:val="20"/>
          <w:u w:val="single"/>
        </w:rPr>
        <w:tab/>
      </w:r>
      <w:r w:rsidRPr="00AD76E7">
        <w:rPr>
          <w:rFonts w:ascii="Calibri" w:hAnsi="Calibri" w:cs="Calibri"/>
          <w:sz w:val="20"/>
          <w:u w:val="single"/>
        </w:rPr>
        <w:tab/>
      </w:r>
      <w:r w:rsidRPr="00AD76E7">
        <w:rPr>
          <w:rFonts w:ascii="Calibri" w:hAnsi="Calibri" w:cs="Calibri"/>
          <w:sz w:val="20"/>
          <w:u w:val="single"/>
        </w:rPr>
        <w:tab/>
      </w:r>
      <w:r w:rsidR="004D1B1B">
        <w:rPr>
          <w:rFonts w:ascii="Calibri" w:hAnsi="Calibri" w:cs="Calibri"/>
          <w:sz w:val="20"/>
          <w:u w:val="single"/>
        </w:rPr>
        <w:tab/>
      </w:r>
      <w:r w:rsidRPr="00AD76E7">
        <w:rPr>
          <w:rFonts w:ascii="Calibri" w:hAnsi="Calibri" w:cs="Calibri"/>
          <w:sz w:val="20"/>
          <w:u w:val="single"/>
        </w:rPr>
        <w:t>ŠD, 31,5 Gc</w:t>
      </w:r>
      <w:r w:rsidRPr="00AD76E7">
        <w:rPr>
          <w:rFonts w:ascii="Calibri" w:hAnsi="Calibri" w:cs="Calibri"/>
          <w:sz w:val="20"/>
          <w:u w:val="single"/>
        </w:rPr>
        <w:tab/>
        <w:t xml:space="preserve"> </w:t>
      </w:r>
      <w:r w:rsidRPr="00AD76E7">
        <w:rPr>
          <w:rFonts w:ascii="Calibri" w:hAnsi="Calibri" w:cs="Calibri"/>
          <w:sz w:val="20"/>
          <w:u w:val="single"/>
        </w:rPr>
        <w:tab/>
        <w:t xml:space="preserve">350mm   </w:t>
      </w:r>
      <w:r w:rsidRPr="00AD76E7">
        <w:rPr>
          <w:rFonts w:ascii="Calibri" w:hAnsi="Calibri" w:cs="Calibri"/>
          <w:sz w:val="20"/>
          <w:u w:val="single"/>
        </w:rPr>
        <w:tab/>
        <w:t>STN 73 6126</w:t>
      </w:r>
    </w:p>
    <w:p w:rsidR="00D45B6E" w:rsidRPr="00AD76E7" w:rsidRDefault="00D45B6E" w:rsidP="00AD76E7">
      <w:pPr>
        <w:jc w:val="both"/>
        <w:rPr>
          <w:rFonts w:ascii="Calibri" w:eastAsia="Calibri" w:hAnsi="Calibri" w:cs="Calibri"/>
          <w:sz w:val="20"/>
          <w:lang w:eastAsia="en-US"/>
        </w:rPr>
      </w:pPr>
      <w:r w:rsidRPr="00AD76E7">
        <w:rPr>
          <w:rFonts w:ascii="Calibri" w:hAnsi="Calibri" w:cs="Calibri"/>
          <w:sz w:val="20"/>
        </w:rPr>
        <w:t>spolu :</w:t>
      </w:r>
      <w:r w:rsidRPr="00AD76E7">
        <w:rPr>
          <w:rFonts w:ascii="Calibri" w:hAnsi="Calibri" w:cs="Calibri"/>
          <w:sz w:val="20"/>
        </w:rPr>
        <w:tab/>
        <w:t xml:space="preserve">        </w:t>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r>
      <w:r w:rsidRPr="00AD76E7">
        <w:rPr>
          <w:rFonts w:ascii="Calibri" w:hAnsi="Calibri" w:cs="Calibri"/>
          <w:sz w:val="20"/>
        </w:rPr>
        <w:tab/>
        <w:t>500 mm</w:t>
      </w:r>
    </w:p>
    <w:p w:rsidR="004D1B1B" w:rsidRDefault="004D1B1B" w:rsidP="00AD76E7">
      <w:pPr>
        <w:pStyle w:val="Nadpis3"/>
        <w:numPr>
          <w:ilvl w:val="0"/>
          <w:numId w:val="0"/>
        </w:numPr>
        <w:overflowPunct/>
        <w:autoSpaceDE/>
        <w:autoSpaceDN/>
        <w:adjustRightInd/>
        <w:spacing w:before="0" w:after="0"/>
        <w:ind w:left="397" w:right="-1" w:hanging="397"/>
        <w:jc w:val="both"/>
        <w:textAlignment w:val="auto"/>
        <w:rPr>
          <w:rFonts w:ascii="Calibri" w:eastAsia="Calibri" w:hAnsi="Calibri" w:cs="Calibri"/>
          <w:lang w:eastAsia="en-US"/>
        </w:rPr>
      </w:pPr>
    </w:p>
    <w:p w:rsidR="004D1B1B" w:rsidRDefault="004D1B1B" w:rsidP="00AD76E7">
      <w:pPr>
        <w:pStyle w:val="Nadpis3"/>
        <w:numPr>
          <w:ilvl w:val="0"/>
          <w:numId w:val="0"/>
        </w:numPr>
        <w:overflowPunct/>
        <w:autoSpaceDE/>
        <w:autoSpaceDN/>
        <w:adjustRightInd/>
        <w:spacing w:before="0" w:after="0"/>
        <w:ind w:left="397" w:right="-1" w:hanging="397"/>
        <w:jc w:val="both"/>
        <w:textAlignment w:val="auto"/>
        <w:rPr>
          <w:rFonts w:ascii="Arial" w:eastAsia="Calibri" w:hAnsi="Arial"/>
          <w:sz w:val="22"/>
          <w:lang w:eastAsia="en-US"/>
        </w:rPr>
      </w:pPr>
    </w:p>
    <w:p w:rsidR="004D1B1B" w:rsidRPr="004D1B1B" w:rsidRDefault="004D1B1B" w:rsidP="004D1B1B">
      <w:pPr>
        <w:rPr>
          <w:rFonts w:eastAsia="Calibri"/>
          <w:lang w:val="cs-CZ" w:eastAsia="en-US"/>
        </w:rPr>
      </w:pPr>
    </w:p>
    <w:p w:rsidR="00D45B6E" w:rsidRPr="00AD76E7" w:rsidRDefault="00D45B6E" w:rsidP="00AD76E7">
      <w:pPr>
        <w:pStyle w:val="Nadpis3"/>
        <w:numPr>
          <w:ilvl w:val="0"/>
          <w:numId w:val="0"/>
        </w:numPr>
        <w:overflowPunct/>
        <w:autoSpaceDE/>
        <w:autoSpaceDN/>
        <w:adjustRightInd/>
        <w:spacing w:before="0" w:after="0"/>
        <w:ind w:left="397" w:right="-1" w:hanging="397"/>
        <w:jc w:val="both"/>
        <w:textAlignment w:val="auto"/>
        <w:rPr>
          <w:rFonts w:ascii="Calibri" w:eastAsia="Calibri" w:hAnsi="Calibri" w:cs="Calibri"/>
          <w:bCs/>
          <w:lang w:eastAsia="en-US"/>
        </w:rPr>
      </w:pPr>
      <w:r w:rsidRPr="00AD76E7">
        <w:rPr>
          <w:rFonts w:ascii="Calibri" w:eastAsia="Calibri" w:hAnsi="Calibri" w:cs="Calibri"/>
          <w:lang w:eastAsia="en-US"/>
        </w:rPr>
        <w:t>ODVODNENIE</w:t>
      </w:r>
    </w:p>
    <w:p w:rsidR="00D45B6E" w:rsidRPr="00AD76E7" w:rsidRDefault="00D45B6E" w:rsidP="00AD76E7">
      <w:pPr>
        <w:ind w:firstLine="708"/>
        <w:jc w:val="both"/>
        <w:rPr>
          <w:rFonts w:ascii="Calibri" w:hAnsi="Calibri" w:cs="Calibri"/>
          <w:sz w:val="20"/>
        </w:rPr>
      </w:pPr>
    </w:p>
    <w:p w:rsidR="00D45B6E" w:rsidRPr="00AD76E7" w:rsidRDefault="00D45B6E" w:rsidP="00AD76E7">
      <w:pPr>
        <w:jc w:val="both"/>
        <w:rPr>
          <w:rFonts w:ascii="Calibri" w:hAnsi="Calibri" w:cs="Calibri"/>
          <w:sz w:val="20"/>
        </w:rPr>
      </w:pPr>
      <w:r w:rsidRPr="00AD76E7">
        <w:rPr>
          <w:rFonts w:ascii="Calibri" w:hAnsi="Calibri" w:cs="Calibri"/>
          <w:sz w:val="20"/>
        </w:rPr>
        <w:t>Povrchové odvodnenie spevnených plôch je navrhnuté pomocou priečneho a pozdĺžneho sklonu do navrhovaných uličných vpustov.. Z telies odtokových vpustov bude povrchová voda ďalej vedená kanalizačnými prípojkami do dažďovej kanalizácie.</w:t>
      </w:r>
    </w:p>
    <w:p w:rsidR="00D45B6E" w:rsidRPr="00AD76E7" w:rsidRDefault="00D45B6E" w:rsidP="00AD76E7">
      <w:pPr>
        <w:jc w:val="both"/>
        <w:rPr>
          <w:rFonts w:ascii="Calibri" w:hAnsi="Calibri" w:cs="Calibri"/>
          <w:b/>
          <w:sz w:val="20"/>
        </w:rPr>
      </w:pPr>
      <w:r w:rsidRPr="00AD76E7">
        <w:rPr>
          <w:rFonts w:ascii="Calibri" w:hAnsi="Calibri" w:cs="Calibri"/>
          <w:b/>
          <w:sz w:val="20"/>
        </w:rPr>
        <w:t xml:space="preserve"> Z navrhovaných spevnených plôch nádvoria nebudú odvádzané na verejné priestranstvo žiadne povrchové vody.</w:t>
      </w:r>
    </w:p>
    <w:p w:rsidR="00D45B6E" w:rsidRPr="00AD76E7" w:rsidRDefault="00D45B6E" w:rsidP="00AD76E7">
      <w:pPr>
        <w:jc w:val="both"/>
        <w:rPr>
          <w:rFonts w:ascii="Calibri" w:hAnsi="Calibri" w:cs="Calibri"/>
          <w:sz w:val="20"/>
        </w:rPr>
      </w:pPr>
      <w:r w:rsidRPr="00AD76E7">
        <w:rPr>
          <w:rFonts w:ascii="Calibri" w:hAnsi="Calibri" w:cs="Calibri"/>
          <w:sz w:val="20"/>
        </w:rPr>
        <w:t>Voda zo zemnej pláne bude zachytávaná drenážnym trativodom, ktorý bude obalený separačnou geotextíliou a zaústený bude do telies kanalizačných šácht.</w:t>
      </w:r>
    </w:p>
    <w:p w:rsidR="00D45B6E" w:rsidRPr="00AD76E7" w:rsidRDefault="00D45B6E" w:rsidP="00AD76E7">
      <w:pPr>
        <w:ind w:firstLine="708"/>
        <w:jc w:val="both"/>
        <w:rPr>
          <w:rFonts w:ascii="Calibri" w:hAnsi="Calibri" w:cs="Calibri"/>
          <w:sz w:val="20"/>
        </w:rPr>
      </w:pPr>
    </w:p>
    <w:p w:rsidR="00D45B6E" w:rsidRPr="00AD76E7" w:rsidRDefault="00D45B6E" w:rsidP="00AD76E7">
      <w:pPr>
        <w:jc w:val="both"/>
        <w:rPr>
          <w:rFonts w:ascii="Calibri" w:hAnsi="Calibri" w:cs="Calibri"/>
          <w:sz w:val="20"/>
        </w:rPr>
      </w:pPr>
      <w:r w:rsidRPr="00AD76E7">
        <w:rPr>
          <w:rFonts w:ascii="Calibri" w:hAnsi="Calibri" w:cs="Calibri"/>
          <w:sz w:val="20"/>
        </w:rPr>
        <w:t xml:space="preserve">Povrchová voda z parkovacích bude priesakovať cez zväčšené medzery v drenážnej dlažbe do podložia. Pre zachytávanie prípadných ropných látok je na zemnej pláni navrhnutá textília prepúšťajúca čistú vodu a zadržujúca ropné látky. </w:t>
      </w:r>
    </w:p>
    <w:p w:rsidR="004D1B1B" w:rsidRDefault="004D1B1B" w:rsidP="00AD76E7">
      <w:pPr>
        <w:pStyle w:val="Nadpis3"/>
        <w:numPr>
          <w:ilvl w:val="0"/>
          <w:numId w:val="0"/>
        </w:numPr>
        <w:overflowPunct/>
        <w:autoSpaceDE/>
        <w:autoSpaceDN/>
        <w:adjustRightInd/>
        <w:spacing w:before="0" w:after="0"/>
        <w:ind w:left="397" w:right="-1" w:hanging="397"/>
        <w:jc w:val="both"/>
        <w:textAlignment w:val="auto"/>
        <w:rPr>
          <w:rFonts w:ascii="Calibri" w:eastAsia="Calibri" w:hAnsi="Calibri" w:cs="Calibri"/>
          <w:lang w:eastAsia="en-US"/>
        </w:rPr>
      </w:pPr>
    </w:p>
    <w:p w:rsidR="00D45B6E" w:rsidRPr="00AD76E7" w:rsidRDefault="00D45B6E" w:rsidP="00AD76E7">
      <w:pPr>
        <w:pStyle w:val="Nadpis3"/>
        <w:numPr>
          <w:ilvl w:val="0"/>
          <w:numId w:val="0"/>
        </w:numPr>
        <w:overflowPunct/>
        <w:autoSpaceDE/>
        <w:autoSpaceDN/>
        <w:adjustRightInd/>
        <w:spacing w:before="0" w:after="0"/>
        <w:ind w:left="397" w:right="-1" w:hanging="397"/>
        <w:jc w:val="both"/>
        <w:textAlignment w:val="auto"/>
        <w:rPr>
          <w:rFonts w:ascii="Calibri" w:eastAsia="Calibri" w:hAnsi="Calibri" w:cs="Calibri"/>
          <w:bCs/>
          <w:lang w:eastAsia="en-US"/>
        </w:rPr>
      </w:pPr>
      <w:r w:rsidRPr="00AD76E7">
        <w:rPr>
          <w:rFonts w:ascii="Calibri" w:eastAsia="Calibri" w:hAnsi="Calibri" w:cs="Calibri"/>
          <w:lang w:eastAsia="en-US"/>
        </w:rPr>
        <w:t>ZEMNÉ A BÚRACIE PRÁCE</w:t>
      </w:r>
    </w:p>
    <w:p w:rsidR="00D45B6E" w:rsidRPr="00AD76E7" w:rsidRDefault="00D45B6E" w:rsidP="00AD76E7">
      <w:pPr>
        <w:jc w:val="both"/>
        <w:rPr>
          <w:rFonts w:ascii="Calibri" w:eastAsia="Calibri" w:hAnsi="Calibri" w:cs="Calibri"/>
          <w:sz w:val="20"/>
          <w:lang w:eastAsia="en-US"/>
        </w:rPr>
      </w:pPr>
    </w:p>
    <w:p w:rsidR="00D45B6E" w:rsidRPr="00AD76E7" w:rsidRDefault="00D45B6E" w:rsidP="00AD76E7">
      <w:pPr>
        <w:jc w:val="both"/>
        <w:rPr>
          <w:rFonts w:ascii="Calibri" w:hAnsi="Calibri" w:cs="Calibri"/>
          <w:sz w:val="20"/>
        </w:rPr>
      </w:pPr>
      <w:r w:rsidRPr="00AD76E7">
        <w:rPr>
          <w:rFonts w:ascii="Calibri" w:hAnsi="Calibri" w:cs="Calibri"/>
          <w:sz w:val="20"/>
        </w:rPr>
        <w:t>V predstihu pred stavbou vozoviek a chodníkov sa zrealizujú hrubé terénne úpravy do požadovanej úrovne pláne. Požadovaná hodnota modulu deformácie Edef2 na úrovni podložia (pod vrstvou štrkodrvy) je Edef2 &gt;45MPa a súčasne musí byť dodržaný pomer hodnôt Edef2/Edef1&lt;2,5.</w:t>
      </w:r>
    </w:p>
    <w:p w:rsidR="00D45B6E" w:rsidRPr="00AD76E7" w:rsidRDefault="00D45B6E" w:rsidP="00AD76E7">
      <w:pPr>
        <w:jc w:val="both"/>
        <w:rPr>
          <w:rFonts w:ascii="Calibri" w:hAnsi="Calibri" w:cs="Calibri"/>
          <w:sz w:val="20"/>
        </w:rPr>
      </w:pPr>
    </w:p>
    <w:p w:rsidR="00D45B6E" w:rsidRPr="00AD76E7" w:rsidRDefault="00D45B6E" w:rsidP="00AD76E7">
      <w:pPr>
        <w:jc w:val="both"/>
        <w:rPr>
          <w:rFonts w:ascii="Calibri" w:hAnsi="Calibri" w:cs="Calibri"/>
          <w:sz w:val="20"/>
        </w:rPr>
      </w:pPr>
      <w:r w:rsidRPr="00AD76E7">
        <w:rPr>
          <w:rFonts w:ascii="Calibri" w:hAnsi="Calibri" w:cs="Calibri"/>
          <w:sz w:val="20"/>
        </w:rPr>
        <w:t>Zemné práce spočívajú v odstránenú humóznej vrstvy zeminy hr. 0,30m (pod komunikáciami a spevnenými plochami),  vo výkopoch pre vozovku a chodníky, vyrovnania zemnej pláne do požadovaných sklonov</w:t>
      </w:r>
    </w:p>
    <w:p w:rsidR="00D45B6E" w:rsidRPr="00AD76E7" w:rsidRDefault="00D45B6E" w:rsidP="00AD76E7">
      <w:pPr>
        <w:jc w:val="both"/>
        <w:rPr>
          <w:rFonts w:ascii="Calibri" w:hAnsi="Calibri" w:cs="Calibri"/>
          <w:sz w:val="20"/>
        </w:rPr>
      </w:pPr>
      <w:r w:rsidRPr="00AD76E7">
        <w:rPr>
          <w:rFonts w:ascii="Calibri" w:hAnsi="Calibri" w:cs="Calibri"/>
          <w:sz w:val="20"/>
        </w:rPr>
        <w:t xml:space="preserve">Pri výstavbe spevnených plôch je potrebné venovať zvýšenú pozornosť zabráneniu presadania podložia. Základným princípom je dôkladné zabránenie prístupu vody k inklinovaným zeminám. Preto je potrebné, aby po odhumusovaní staveniska došlo v krátkom čase k realizácii stabilizácie podložia. </w:t>
      </w:r>
    </w:p>
    <w:p w:rsidR="00D45B6E" w:rsidRPr="00AD76E7" w:rsidRDefault="00D45B6E" w:rsidP="00AD76E7">
      <w:pPr>
        <w:jc w:val="both"/>
        <w:rPr>
          <w:rFonts w:ascii="Calibri" w:hAnsi="Calibri" w:cs="Calibri"/>
          <w:b/>
          <w:sz w:val="20"/>
        </w:rPr>
      </w:pPr>
      <w:r w:rsidRPr="00AD76E7">
        <w:rPr>
          <w:rFonts w:ascii="Calibri" w:hAnsi="Calibri" w:cs="Calibri"/>
          <w:b/>
          <w:sz w:val="20"/>
        </w:rPr>
        <w:t>Výkopy v ochranných pásmach podzemných vedení budú realizované  ručným výkopom.</w:t>
      </w:r>
    </w:p>
    <w:p w:rsidR="00D45B6E" w:rsidRPr="00AD76E7" w:rsidRDefault="00D45B6E" w:rsidP="00AD76E7">
      <w:pPr>
        <w:pStyle w:val="Nadpis3"/>
        <w:numPr>
          <w:ilvl w:val="0"/>
          <w:numId w:val="0"/>
        </w:numPr>
        <w:jc w:val="both"/>
        <w:rPr>
          <w:rFonts w:ascii="Calibri" w:eastAsia="Calibri" w:hAnsi="Calibri" w:cs="Calibri"/>
          <w:bCs/>
          <w:lang w:eastAsia="en-US"/>
        </w:rPr>
      </w:pPr>
      <w:r w:rsidRPr="00AD76E7">
        <w:rPr>
          <w:rFonts w:ascii="Calibri" w:eastAsia="Calibri" w:hAnsi="Calibri" w:cs="Calibri"/>
          <w:lang w:eastAsia="en-US"/>
        </w:rPr>
        <w:lastRenderedPageBreak/>
        <w:t>ZABEZPEČENIE STAVEBNÝCH PRÁC</w:t>
      </w:r>
    </w:p>
    <w:p w:rsidR="00D45B6E" w:rsidRPr="00AD76E7" w:rsidRDefault="00D45B6E" w:rsidP="00AD76E7">
      <w:pPr>
        <w:jc w:val="both"/>
        <w:rPr>
          <w:rFonts w:ascii="Calibri" w:hAnsi="Calibri" w:cs="Calibri"/>
          <w:sz w:val="20"/>
        </w:rPr>
      </w:pPr>
    </w:p>
    <w:p w:rsidR="00D45B6E" w:rsidRPr="00AD76E7" w:rsidRDefault="00D45B6E" w:rsidP="00AD76E7">
      <w:pPr>
        <w:jc w:val="both"/>
        <w:rPr>
          <w:rFonts w:ascii="Calibri" w:hAnsi="Calibri" w:cs="Calibri"/>
          <w:sz w:val="20"/>
        </w:rPr>
      </w:pPr>
      <w:r w:rsidRPr="00AD76E7">
        <w:rPr>
          <w:rFonts w:ascii="Calibri" w:hAnsi="Calibri" w:cs="Calibri"/>
          <w:sz w:val="20"/>
        </w:rPr>
        <w:t>Dodávateľ bude na stavenisku v plnom rozsahu rešpektovať:</w:t>
      </w:r>
    </w:p>
    <w:p w:rsidR="00D45B6E" w:rsidRPr="00AD76E7" w:rsidRDefault="00D45B6E" w:rsidP="00AD76E7">
      <w:pPr>
        <w:jc w:val="both"/>
        <w:rPr>
          <w:rFonts w:ascii="Calibri" w:hAnsi="Calibri" w:cs="Calibri"/>
          <w:sz w:val="20"/>
        </w:rPr>
      </w:pPr>
      <w:r w:rsidRPr="00AD76E7">
        <w:rPr>
          <w:rFonts w:ascii="Calibri" w:hAnsi="Calibri" w:cs="Calibri"/>
          <w:sz w:val="20"/>
        </w:rPr>
        <w:t>nariadenie vlády o minimálnych bezpečnostných a zdravotných požiadavkách na stavenisku  č. 396/2006 Z. z.,  všeobecné platné technické a technologické požiadavky, normy pre daný charakter prác.</w:t>
      </w:r>
    </w:p>
    <w:p w:rsidR="00D45B6E" w:rsidRPr="00AD76E7" w:rsidRDefault="00D45B6E" w:rsidP="00AD76E7">
      <w:pPr>
        <w:jc w:val="both"/>
        <w:rPr>
          <w:rFonts w:ascii="Calibri" w:hAnsi="Calibri" w:cs="Calibri"/>
          <w:sz w:val="20"/>
        </w:rPr>
      </w:pPr>
      <w:r w:rsidRPr="00AD76E7">
        <w:rPr>
          <w:rFonts w:ascii="Calibri" w:hAnsi="Calibri" w:cs="Calibri"/>
          <w:sz w:val="20"/>
        </w:rPr>
        <w:t xml:space="preserve">Pri realizácii stavby je treba dodržiavať všetky platné normy, predpisy a vyhlášky. Výkopové práce v ochranných pásmach podzemných vedení budú realizované ručným výkopom. Pred začatím výstavby je potrebné vytýčiť podzemné inž. siete správcami príslušných sietí. Pri všetkých prácach počas výstavby je vybraný hlavný dodávateľ stavby, ktorý plní funkciu koordinátora z hľadiska bezpečnosti v zmysle § 2 ods.1, nariadenia vlády č.396/2006, ak neurčí na túto činnosť bezpečnostného technika, je zodpovedný a povinný dodržiavať predpisy a zásady prevencie na zaistenie bezpečnosti a ochrane zdravia pri práci a s týmto oboznámiť pracovníkov pred začatím výstavby. </w:t>
      </w:r>
    </w:p>
    <w:p w:rsidR="00D45B6E" w:rsidRPr="00AD76E7" w:rsidRDefault="00D45B6E" w:rsidP="00AD76E7">
      <w:pPr>
        <w:pStyle w:val="Nadpis3"/>
        <w:numPr>
          <w:ilvl w:val="0"/>
          <w:numId w:val="0"/>
        </w:numPr>
        <w:jc w:val="both"/>
        <w:rPr>
          <w:rFonts w:ascii="Calibri" w:eastAsia="Calibri" w:hAnsi="Calibri" w:cs="Calibri"/>
          <w:bCs/>
          <w:lang w:eastAsia="en-US"/>
        </w:rPr>
      </w:pPr>
      <w:r w:rsidRPr="00AD76E7">
        <w:rPr>
          <w:rFonts w:ascii="Calibri" w:eastAsia="Calibri" w:hAnsi="Calibri" w:cs="Calibri"/>
          <w:lang w:eastAsia="en-US"/>
        </w:rPr>
        <w:t>POSÚDENIE STATICKEJ DOPRAVY (podľa STN 73 6110/Z2)</w:t>
      </w:r>
    </w:p>
    <w:p w:rsidR="00D45B6E" w:rsidRPr="00AD76E7" w:rsidRDefault="00D45B6E" w:rsidP="00AD76E7">
      <w:pPr>
        <w:pStyle w:val="Zarkazkladnhotextu"/>
        <w:tabs>
          <w:tab w:val="right" w:pos="8222"/>
        </w:tabs>
        <w:ind w:left="0"/>
        <w:jc w:val="both"/>
        <w:rPr>
          <w:rFonts w:ascii="Calibri" w:hAnsi="Calibri" w:cs="Calibri"/>
          <w:sz w:val="20"/>
          <w:u w:val="single"/>
        </w:rPr>
      </w:pPr>
    </w:p>
    <w:p w:rsidR="00D45B6E" w:rsidRPr="00AD76E7" w:rsidRDefault="00D45B6E" w:rsidP="00AD76E7">
      <w:pPr>
        <w:pStyle w:val="Zarkazkladnhotextu"/>
        <w:tabs>
          <w:tab w:val="right" w:pos="8222"/>
        </w:tabs>
        <w:ind w:left="0"/>
        <w:jc w:val="both"/>
        <w:rPr>
          <w:rFonts w:ascii="Calibri" w:hAnsi="Calibri" w:cs="Calibri"/>
          <w:sz w:val="20"/>
          <w:u w:val="single"/>
        </w:rPr>
      </w:pPr>
      <w:r w:rsidRPr="00AD76E7">
        <w:rPr>
          <w:rFonts w:ascii="Calibri" w:hAnsi="Calibri" w:cs="Calibri"/>
          <w:sz w:val="20"/>
          <w:u w:val="single"/>
        </w:rPr>
        <w:t>Ubytovacie zariadenie</w:t>
      </w:r>
    </w:p>
    <w:p w:rsidR="00D45B6E" w:rsidRPr="00AD76E7" w:rsidRDefault="00D45B6E" w:rsidP="00AD76E7">
      <w:pPr>
        <w:pStyle w:val="Zarkazkladnhotextu"/>
        <w:tabs>
          <w:tab w:val="right" w:pos="8222"/>
        </w:tabs>
        <w:spacing w:after="0"/>
        <w:ind w:left="0"/>
        <w:jc w:val="both"/>
        <w:rPr>
          <w:rFonts w:ascii="Calibri" w:hAnsi="Calibri" w:cs="Calibri"/>
          <w:sz w:val="20"/>
        </w:rPr>
      </w:pPr>
      <w:r w:rsidRPr="00AD76E7">
        <w:rPr>
          <w:rFonts w:ascii="Calibri" w:hAnsi="Calibri" w:cs="Calibri"/>
          <w:sz w:val="20"/>
        </w:rPr>
        <w:t>Počet izieb</w:t>
      </w:r>
      <w:r w:rsidRPr="00AD76E7">
        <w:rPr>
          <w:rFonts w:ascii="Calibri" w:hAnsi="Calibri" w:cs="Calibri"/>
          <w:sz w:val="20"/>
        </w:rPr>
        <w:tab/>
      </w:r>
      <w:r w:rsidR="00E95208" w:rsidRPr="00AD76E7">
        <w:rPr>
          <w:rFonts w:ascii="Calibri" w:hAnsi="Calibri" w:cs="Calibri"/>
          <w:sz w:val="20"/>
        </w:rPr>
        <w:t xml:space="preserve">      </w:t>
      </w:r>
      <w:r w:rsidRPr="00AD76E7">
        <w:rPr>
          <w:rFonts w:ascii="Calibri" w:hAnsi="Calibri" w:cs="Calibri"/>
          <w:sz w:val="20"/>
        </w:rPr>
        <w:t>3</w:t>
      </w:r>
    </w:p>
    <w:p w:rsidR="00D45B6E" w:rsidRPr="00AD76E7" w:rsidRDefault="00D45B6E" w:rsidP="00AD76E7">
      <w:pPr>
        <w:pStyle w:val="Zarkazkladnhotextu"/>
        <w:tabs>
          <w:tab w:val="right" w:pos="8222"/>
        </w:tabs>
        <w:spacing w:after="0"/>
        <w:ind w:left="0"/>
        <w:jc w:val="both"/>
        <w:rPr>
          <w:rFonts w:ascii="Calibri" w:hAnsi="Calibri" w:cs="Calibri"/>
          <w:sz w:val="20"/>
        </w:rPr>
      </w:pPr>
      <w:r w:rsidRPr="00AD76E7">
        <w:rPr>
          <w:rFonts w:ascii="Calibri" w:hAnsi="Calibri" w:cs="Calibri"/>
          <w:sz w:val="20"/>
        </w:rPr>
        <w:t>Počet zamestnancov</w:t>
      </w:r>
      <w:r w:rsidRPr="00AD76E7">
        <w:rPr>
          <w:rFonts w:ascii="Calibri" w:hAnsi="Calibri" w:cs="Calibri"/>
          <w:sz w:val="20"/>
        </w:rPr>
        <w:tab/>
        <w:t>0</w:t>
      </w:r>
      <w:r w:rsidRPr="00AD76E7">
        <w:rPr>
          <w:rFonts w:ascii="Calibri" w:hAnsi="Calibri" w:cs="Calibri"/>
          <w:sz w:val="20"/>
        </w:rPr>
        <w:tab/>
      </w:r>
    </w:p>
    <w:p w:rsidR="00D45B6E" w:rsidRPr="00AD76E7" w:rsidRDefault="00D45B6E" w:rsidP="00AD76E7">
      <w:pPr>
        <w:pStyle w:val="Zarkazkladnhotextu"/>
        <w:tabs>
          <w:tab w:val="right" w:pos="8222"/>
        </w:tabs>
        <w:jc w:val="both"/>
        <w:rPr>
          <w:rFonts w:ascii="Calibri" w:hAnsi="Calibri" w:cs="Calibri"/>
          <w:sz w:val="20"/>
        </w:rPr>
      </w:pPr>
    </w:p>
    <w:p w:rsidR="00D45B6E" w:rsidRPr="00AD76E7" w:rsidRDefault="00D45B6E" w:rsidP="00AD76E7">
      <w:pPr>
        <w:pStyle w:val="Zarkazkladnhotextu"/>
        <w:tabs>
          <w:tab w:val="right" w:pos="8222"/>
        </w:tabs>
        <w:ind w:left="0"/>
        <w:jc w:val="both"/>
        <w:rPr>
          <w:rFonts w:ascii="Calibri" w:hAnsi="Calibri" w:cs="Calibri"/>
          <w:sz w:val="20"/>
        </w:rPr>
      </w:pPr>
      <w:r w:rsidRPr="00AD76E7">
        <w:rPr>
          <w:rFonts w:ascii="Calibri" w:hAnsi="Calibri" w:cs="Calibri"/>
          <w:sz w:val="20"/>
        </w:rPr>
        <w:t>Showroom (prezentácia vína)</w:t>
      </w:r>
    </w:p>
    <w:p w:rsidR="00D45B6E" w:rsidRPr="00AD76E7" w:rsidRDefault="00D45B6E" w:rsidP="00AD76E7">
      <w:pPr>
        <w:pStyle w:val="Zarkazkladnhotextu"/>
        <w:tabs>
          <w:tab w:val="right" w:pos="8222"/>
        </w:tabs>
        <w:spacing w:after="0"/>
        <w:ind w:left="0"/>
        <w:jc w:val="both"/>
        <w:rPr>
          <w:rFonts w:ascii="Calibri" w:hAnsi="Calibri" w:cs="Calibri"/>
          <w:sz w:val="20"/>
        </w:rPr>
      </w:pPr>
      <w:r w:rsidRPr="00AD76E7">
        <w:rPr>
          <w:rFonts w:ascii="Calibri" w:hAnsi="Calibri" w:cs="Calibri"/>
          <w:sz w:val="20"/>
        </w:rPr>
        <w:t>Počet zamestnancov</w:t>
      </w:r>
      <w:r w:rsidRPr="00AD76E7">
        <w:rPr>
          <w:rFonts w:ascii="Calibri" w:hAnsi="Calibri" w:cs="Calibri"/>
          <w:sz w:val="20"/>
        </w:rPr>
        <w:tab/>
        <w:t>0</w:t>
      </w:r>
    </w:p>
    <w:p w:rsidR="00D45B6E" w:rsidRPr="00AD76E7" w:rsidRDefault="00D45B6E" w:rsidP="00AD76E7">
      <w:pPr>
        <w:pStyle w:val="Zarkazkladnhotextu"/>
        <w:tabs>
          <w:tab w:val="right" w:pos="8222"/>
        </w:tabs>
        <w:spacing w:after="0"/>
        <w:ind w:left="0"/>
        <w:jc w:val="both"/>
        <w:rPr>
          <w:rFonts w:ascii="Calibri" w:hAnsi="Calibri" w:cs="Calibri"/>
          <w:sz w:val="20"/>
        </w:rPr>
      </w:pPr>
      <w:r w:rsidRPr="00AD76E7">
        <w:rPr>
          <w:rFonts w:ascii="Calibri" w:hAnsi="Calibri" w:cs="Calibri"/>
          <w:sz w:val="20"/>
        </w:rPr>
        <w:t>Počet návštevníkov</w:t>
      </w:r>
      <w:r w:rsidRPr="00AD76E7">
        <w:rPr>
          <w:rFonts w:ascii="Calibri" w:hAnsi="Calibri" w:cs="Calibri"/>
          <w:sz w:val="20"/>
        </w:rPr>
        <w:tab/>
        <w:t>8</w:t>
      </w:r>
    </w:p>
    <w:p w:rsidR="00D45B6E" w:rsidRPr="00AD76E7" w:rsidRDefault="00D45B6E" w:rsidP="00AD76E7">
      <w:pPr>
        <w:pStyle w:val="Zarkazkladnhotextu"/>
        <w:tabs>
          <w:tab w:val="right" w:pos="8222"/>
        </w:tabs>
        <w:jc w:val="both"/>
        <w:rPr>
          <w:rFonts w:ascii="Calibri" w:hAnsi="Calibri" w:cs="Calibri"/>
          <w:sz w:val="20"/>
        </w:rPr>
      </w:pPr>
    </w:p>
    <w:p w:rsidR="00D45B6E" w:rsidRPr="00AD76E7" w:rsidRDefault="00D45B6E" w:rsidP="00AD76E7">
      <w:pPr>
        <w:pStyle w:val="Zarkazkladnhotextu"/>
        <w:tabs>
          <w:tab w:val="right" w:pos="8222"/>
        </w:tabs>
        <w:ind w:left="0"/>
        <w:jc w:val="both"/>
        <w:rPr>
          <w:rFonts w:ascii="Calibri" w:hAnsi="Calibri" w:cs="Calibri"/>
          <w:sz w:val="20"/>
        </w:rPr>
      </w:pPr>
      <w:r w:rsidRPr="00AD76E7">
        <w:rPr>
          <w:rFonts w:ascii="Calibri" w:hAnsi="Calibri" w:cs="Calibri"/>
          <w:sz w:val="20"/>
        </w:rPr>
        <w:t xml:space="preserve">Stáčanie vína </w:t>
      </w:r>
    </w:p>
    <w:p w:rsidR="00D45B6E" w:rsidRPr="00AD76E7" w:rsidRDefault="00D45B6E" w:rsidP="00AD76E7">
      <w:pPr>
        <w:pStyle w:val="Zarkazkladnhotextu"/>
        <w:tabs>
          <w:tab w:val="right" w:pos="8222"/>
        </w:tabs>
        <w:spacing w:after="0"/>
        <w:ind w:left="0"/>
        <w:jc w:val="both"/>
        <w:rPr>
          <w:rFonts w:ascii="Calibri" w:hAnsi="Calibri" w:cs="Calibri"/>
          <w:sz w:val="20"/>
        </w:rPr>
      </w:pPr>
      <w:r w:rsidRPr="00AD76E7">
        <w:rPr>
          <w:rFonts w:ascii="Calibri" w:hAnsi="Calibri" w:cs="Calibri"/>
          <w:sz w:val="20"/>
        </w:rPr>
        <w:t>Počet zamestnancov</w:t>
      </w:r>
      <w:r w:rsidRPr="00AD76E7">
        <w:rPr>
          <w:rFonts w:ascii="Calibri" w:hAnsi="Calibri" w:cs="Calibri"/>
          <w:sz w:val="20"/>
        </w:rPr>
        <w:tab/>
        <w:t>2</w:t>
      </w:r>
    </w:p>
    <w:p w:rsidR="00D45B6E" w:rsidRPr="00AD76E7" w:rsidRDefault="00D45B6E" w:rsidP="00AD76E7">
      <w:pPr>
        <w:pStyle w:val="Zarkazkladnhotextu"/>
        <w:tabs>
          <w:tab w:val="right" w:pos="8222"/>
        </w:tabs>
        <w:spacing w:after="0"/>
        <w:ind w:left="0"/>
        <w:jc w:val="both"/>
        <w:rPr>
          <w:rFonts w:ascii="Calibri" w:hAnsi="Calibri" w:cs="Calibri"/>
          <w:sz w:val="20"/>
        </w:rPr>
      </w:pPr>
      <w:r w:rsidRPr="00AD76E7">
        <w:rPr>
          <w:rFonts w:ascii="Calibri" w:hAnsi="Calibri" w:cs="Calibri"/>
          <w:sz w:val="20"/>
        </w:rPr>
        <w:t>Počet návštevníkov</w:t>
      </w:r>
      <w:r w:rsidRPr="00AD76E7">
        <w:rPr>
          <w:rFonts w:ascii="Calibri" w:hAnsi="Calibri" w:cs="Calibri"/>
          <w:sz w:val="20"/>
        </w:rPr>
        <w:tab/>
        <w:t>0</w:t>
      </w:r>
    </w:p>
    <w:tbl>
      <w:tblPr>
        <w:tblW w:w="97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8"/>
        <w:gridCol w:w="1698"/>
        <w:gridCol w:w="1445"/>
        <w:gridCol w:w="1247"/>
        <w:gridCol w:w="1809"/>
        <w:gridCol w:w="1886"/>
      </w:tblGrid>
      <w:tr w:rsidR="00D45B6E" w:rsidRPr="00AD76E7" w:rsidTr="004D1B1B">
        <w:trPr>
          <w:trHeight w:val="108"/>
          <w:jc w:val="center"/>
        </w:trPr>
        <w:tc>
          <w:tcPr>
            <w:tcW w:w="1658" w:type="dxa"/>
            <w:shd w:val="clear" w:color="auto" w:fill="D9D9D9"/>
            <w:vAlign w:val="center"/>
          </w:tcPr>
          <w:p w:rsidR="00D45B6E" w:rsidRPr="00AD76E7" w:rsidRDefault="00D45B6E" w:rsidP="00D45B6E">
            <w:pPr>
              <w:pStyle w:val="Zarkazkladnhotextu"/>
              <w:tabs>
                <w:tab w:val="right" w:pos="8460"/>
              </w:tabs>
              <w:ind w:left="64"/>
              <w:jc w:val="both"/>
              <w:rPr>
                <w:rFonts w:ascii="Calibri" w:hAnsi="Calibri" w:cs="Calibri"/>
                <w:b/>
                <w:sz w:val="20"/>
              </w:rPr>
            </w:pPr>
            <w:r w:rsidRPr="00AD76E7">
              <w:rPr>
                <w:rFonts w:ascii="Calibri" w:hAnsi="Calibri" w:cs="Calibri"/>
                <w:b/>
                <w:sz w:val="20"/>
              </w:rPr>
              <w:t>Typ prevádzky</w:t>
            </w:r>
          </w:p>
        </w:tc>
        <w:tc>
          <w:tcPr>
            <w:tcW w:w="1698" w:type="dxa"/>
            <w:shd w:val="clear" w:color="auto" w:fill="D9D9D9"/>
            <w:vAlign w:val="center"/>
          </w:tcPr>
          <w:p w:rsidR="00D45B6E" w:rsidRPr="00AD76E7" w:rsidRDefault="00D45B6E" w:rsidP="00D45B6E">
            <w:pPr>
              <w:pStyle w:val="Zarkazkladnhotextu"/>
              <w:tabs>
                <w:tab w:val="right" w:pos="8460"/>
              </w:tabs>
              <w:ind w:left="0"/>
              <w:jc w:val="both"/>
              <w:rPr>
                <w:rFonts w:ascii="Calibri" w:hAnsi="Calibri" w:cs="Calibri"/>
                <w:b/>
                <w:sz w:val="20"/>
              </w:rPr>
            </w:pPr>
            <w:r w:rsidRPr="00AD76E7">
              <w:rPr>
                <w:rFonts w:ascii="Calibri" w:hAnsi="Calibri" w:cs="Calibri"/>
                <w:b/>
                <w:sz w:val="20"/>
              </w:rPr>
              <w:t>Druh objektu podľa STN736110 v zmysle čl. 16.3.10,tab.20:</w:t>
            </w:r>
          </w:p>
        </w:tc>
        <w:tc>
          <w:tcPr>
            <w:tcW w:w="1445" w:type="dxa"/>
            <w:shd w:val="clear" w:color="auto" w:fill="D9D9D9"/>
            <w:vAlign w:val="center"/>
          </w:tcPr>
          <w:p w:rsidR="00D45B6E" w:rsidRPr="00AD76E7" w:rsidRDefault="00D45B6E" w:rsidP="00D45B6E">
            <w:pPr>
              <w:pStyle w:val="Zarkazkladnhotextu"/>
              <w:tabs>
                <w:tab w:val="right" w:pos="8460"/>
              </w:tabs>
              <w:ind w:left="33"/>
              <w:jc w:val="both"/>
              <w:rPr>
                <w:rFonts w:ascii="Calibri" w:hAnsi="Calibri" w:cs="Calibri"/>
                <w:b/>
                <w:sz w:val="20"/>
              </w:rPr>
            </w:pPr>
            <w:r w:rsidRPr="00AD76E7">
              <w:rPr>
                <w:rFonts w:ascii="Calibri" w:hAnsi="Calibri" w:cs="Calibri"/>
                <w:b/>
                <w:sz w:val="20"/>
              </w:rPr>
              <w:t>úč. jednotka</w:t>
            </w:r>
          </w:p>
        </w:tc>
        <w:tc>
          <w:tcPr>
            <w:tcW w:w="1247" w:type="dxa"/>
            <w:shd w:val="clear" w:color="auto" w:fill="D9D9D9"/>
            <w:vAlign w:val="center"/>
          </w:tcPr>
          <w:p w:rsidR="00D45B6E" w:rsidRPr="00AD76E7" w:rsidRDefault="00D45B6E" w:rsidP="00D45B6E">
            <w:pPr>
              <w:pStyle w:val="Zarkazkladnhotextu"/>
              <w:tabs>
                <w:tab w:val="right" w:pos="8460"/>
              </w:tabs>
              <w:ind w:left="0"/>
              <w:jc w:val="both"/>
              <w:rPr>
                <w:rFonts w:ascii="Calibri" w:hAnsi="Calibri" w:cs="Calibri"/>
                <w:b/>
                <w:sz w:val="20"/>
              </w:rPr>
            </w:pPr>
            <w:r w:rsidRPr="00AD76E7">
              <w:rPr>
                <w:rFonts w:ascii="Calibri" w:hAnsi="Calibri" w:cs="Calibri"/>
                <w:b/>
                <w:sz w:val="20"/>
              </w:rPr>
              <w:t>1 stojisko pripadá na úč. jednotku</w:t>
            </w:r>
          </w:p>
        </w:tc>
        <w:tc>
          <w:tcPr>
            <w:tcW w:w="1809" w:type="dxa"/>
            <w:shd w:val="clear" w:color="auto" w:fill="D9D9D9"/>
            <w:vAlign w:val="center"/>
          </w:tcPr>
          <w:p w:rsidR="00D45B6E" w:rsidRPr="00AD76E7" w:rsidRDefault="00D45B6E" w:rsidP="00D45B6E">
            <w:pPr>
              <w:pStyle w:val="Zarkazkladnhotextu"/>
              <w:tabs>
                <w:tab w:val="right" w:pos="8460"/>
              </w:tabs>
              <w:ind w:left="0"/>
              <w:jc w:val="both"/>
              <w:rPr>
                <w:rFonts w:ascii="Calibri" w:hAnsi="Calibri" w:cs="Calibri"/>
                <w:b/>
                <w:sz w:val="20"/>
              </w:rPr>
            </w:pPr>
            <w:r w:rsidRPr="00AD76E7">
              <w:rPr>
                <w:rFonts w:ascii="Calibri" w:hAnsi="Calibri" w:cs="Calibri"/>
                <w:b/>
                <w:sz w:val="20"/>
              </w:rPr>
              <w:t>Parkovacie stojiská</w:t>
            </w:r>
          </w:p>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b/>
                <w:sz w:val="20"/>
              </w:rPr>
              <w:t>krátkodobé</w:t>
            </w:r>
          </w:p>
        </w:tc>
        <w:tc>
          <w:tcPr>
            <w:tcW w:w="1886" w:type="dxa"/>
            <w:shd w:val="clear" w:color="auto" w:fill="D9D9D9"/>
            <w:vAlign w:val="center"/>
          </w:tcPr>
          <w:p w:rsidR="00D45B6E" w:rsidRPr="00AD76E7" w:rsidRDefault="00D45B6E" w:rsidP="00D45B6E">
            <w:pPr>
              <w:pStyle w:val="Zarkazkladnhotextu"/>
              <w:tabs>
                <w:tab w:val="right" w:pos="8460"/>
              </w:tabs>
              <w:jc w:val="both"/>
              <w:rPr>
                <w:rFonts w:ascii="Calibri" w:hAnsi="Calibri" w:cs="Calibri"/>
                <w:b/>
                <w:sz w:val="20"/>
              </w:rPr>
            </w:pPr>
            <w:r w:rsidRPr="00AD76E7">
              <w:rPr>
                <w:rFonts w:ascii="Calibri" w:hAnsi="Calibri" w:cs="Calibri"/>
                <w:b/>
                <w:sz w:val="20"/>
              </w:rPr>
              <w:t>Parkovacie stojiská</w:t>
            </w:r>
          </w:p>
          <w:p w:rsidR="00D45B6E" w:rsidRPr="00AD76E7" w:rsidRDefault="00D45B6E" w:rsidP="00D45B6E">
            <w:pPr>
              <w:pStyle w:val="Zarkazkladnhotextu"/>
              <w:tabs>
                <w:tab w:val="right" w:pos="8460"/>
              </w:tabs>
              <w:jc w:val="both"/>
              <w:rPr>
                <w:rFonts w:ascii="Calibri" w:hAnsi="Calibri" w:cs="Calibri"/>
                <w:sz w:val="20"/>
              </w:rPr>
            </w:pPr>
            <w:r w:rsidRPr="00AD76E7">
              <w:rPr>
                <w:rFonts w:ascii="Calibri" w:hAnsi="Calibri" w:cs="Calibri"/>
                <w:b/>
                <w:sz w:val="20"/>
              </w:rPr>
              <w:t>dlhodobé</w:t>
            </w:r>
          </w:p>
        </w:tc>
      </w:tr>
      <w:tr w:rsidR="00D45B6E" w:rsidRPr="00AD76E7" w:rsidTr="004D1B1B">
        <w:trPr>
          <w:trHeight w:val="78"/>
          <w:jc w:val="center"/>
        </w:trPr>
        <w:tc>
          <w:tcPr>
            <w:tcW w:w="1658" w:type="dxa"/>
            <w:vMerge w:val="restart"/>
            <w:vAlign w:val="center"/>
          </w:tcPr>
          <w:p w:rsidR="00D45B6E" w:rsidRPr="00AD76E7" w:rsidRDefault="00D45B6E" w:rsidP="00D45B6E">
            <w:pPr>
              <w:shd w:val="clear" w:color="auto" w:fill="FFFFFF"/>
              <w:autoSpaceDE w:val="0"/>
              <w:autoSpaceDN w:val="0"/>
              <w:adjustRightInd w:val="0"/>
              <w:jc w:val="both"/>
              <w:rPr>
                <w:rFonts w:ascii="Calibri" w:hAnsi="Calibri" w:cs="Calibri"/>
                <w:b/>
                <w:color w:val="000000"/>
                <w:sz w:val="20"/>
              </w:rPr>
            </w:pPr>
            <w:r w:rsidRPr="00AD76E7">
              <w:rPr>
                <w:rFonts w:ascii="Calibri" w:hAnsi="Calibri" w:cs="Calibri"/>
                <w:b/>
                <w:color w:val="000000"/>
                <w:sz w:val="20"/>
              </w:rPr>
              <w:t>Showroom</w:t>
            </w:r>
          </w:p>
        </w:tc>
        <w:tc>
          <w:tcPr>
            <w:tcW w:w="1698" w:type="dxa"/>
            <w:vMerge w:val="restart"/>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Zhromažďovacie priestory do</w:t>
            </w:r>
          </w:p>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 xml:space="preserve"> 20 000 ľudí</w:t>
            </w:r>
          </w:p>
        </w:tc>
        <w:tc>
          <w:tcPr>
            <w:tcW w:w="1445" w:type="dxa"/>
            <w:vAlign w:val="center"/>
          </w:tcPr>
          <w:p w:rsidR="00D45B6E" w:rsidRPr="00AD76E7" w:rsidRDefault="00D45B6E" w:rsidP="00D45B6E">
            <w:pPr>
              <w:pStyle w:val="Zarkazkladnhotextu"/>
              <w:tabs>
                <w:tab w:val="right" w:pos="8460"/>
              </w:tabs>
              <w:ind w:left="0"/>
              <w:jc w:val="both"/>
              <w:rPr>
                <w:rFonts w:ascii="Calibri" w:hAnsi="Calibri" w:cs="Calibri"/>
                <w:sz w:val="20"/>
              </w:rPr>
            </w:pPr>
          </w:p>
          <w:p w:rsidR="00D45B6E" w:rsidRPr="00AD76E7" w:rsidRDefault="00D45B6E" w:rsidP="00D45B6E">
            <w:pPr>
              <w:pStyle w:val="Zarkazkladnhotextu"/>
              <w:tabs>
                <w:tab w:val="right" w:pos="8460"/>
              </w:tabs>
              <w:ind w:left="33"/>
              <w:jc w:val="both"/>
              <w:rPr>
                <w:rFonts w:ascii="Calibri" w:hAnsi="Calibri" w:cs="Calibri"/>
                <w:sz w:val="20"/>
              </w:rPr>
            </w:pPr>
            <w:r w:rsidRPr="00AD76E7">
              <w:rPr>
                <w:rFonts w:ascii="Calibri" w:hAnsi="Calibri" w:cs="Calibri"/>
                <w:sz w:val="20"/>
              </w:rPr>
              <w:t>Návštevníci</w:t>
            </w:r>
          </w:p>
        </w:tc>
        <w:tc>
          <w:tcPr>
            <w:tcW w:w="1247" w:type="dxa"/>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5</w:t>
            </w:r>
          </w:p>
        </w:tc>
        <w:tc>
          <w:tcPr>
            <w:tcW w:w="1809" w:type="dxa"/>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 xml:space="preserve">8 : 5  </w:t>
            </w:r>
            <w:r w:rsidRPr="00AD76E7">
              <w:rPr>
                <w:rFonts w:ascii="Calibri" w:hAnsi="Calibri" w:cs="Calibri"/>
                <w:b/>
                <w:sz w:val="20"/>
              </w:rPr>
              <w:t>= 1,6</w:t>
            </w:r>
          </w:p>
        </w:tc>
        <w:tc>
          <w:tcPr>
            <w:tcW w:w="1886" w:type="dxa"/>
            <w:vAlign w:val="center"/>
          </w:tcPr>
          <w:p w:rsidR="00D45B6E" w:rsidRPr="00AD76E7" w:rsidRDefault="00D45B6E" w:rsidP="00D45B6E">
            <w:pPr>
              <w:pStyle w:val="Zarkazkladnhotextu"/>
              <w:tabs>
                <w:tab w:val="right" w:pos="8460"/>
              </w:tabs>
              <w:ind w:left="58"/>
              <w:jc w:val="both"/>
              <w:rPr>
                <w:rFonts w:ascii="Calibri" w:hAnsi="Calibri" w:cs="Calibri"/>
                <w:sz w:val="20"/>
              </w:rPr>
            </w:pPr>
          </w:p>
        </w:tc>
      </w:tr>
      <w:tr w:rsidR="00D45B6E" w:rsidRPr="00AD76E7" w:rsidTr="004D1B1B">
        <w:trPr>
          <w:trHeight w:val="185"/>
          <w:jc w:val="center"/>
        </w:trPr>
        <w:tc>
          <w:tcPr>
            <w:tcW w:w="1658" w:type="dxa"/>
            <w:vMerge/>
            <w:vAlign w:val="center"/>
          </w:tcPr>
          <w:p w:rsidR="00D45B6E" w:rsidRPr="00AD76E7" w:rsidRDefault="00D45B6E" w:rsidP="00D45B6E">
            <w:pPr>
              <w:shd w:val="clear" w:color="auto" w:fill="FFFFFF"/>
              <w:autoSpaceDE w:val="0"/>
              <w:autoSpaceDN w:val="0"/>
              <w:adjustRightInd w:val="0"/>
              <w:jc w:val="both"/>
              <w:rPr>
                <w:rFonts w:ascii="Calibri" w:hAnsi="Calibri" w:cs="Calibri"/>
                <w:b/>
                <w:color w:val="000000"/>
                <w:sz w:val="20"/>
              </w:rPr>
            </w:pPr>
          </w:p>
        </w:tc>
        <w:tc>
          <w:tcPr>
            <w:tcW w:w="1698" w:type="dxa"/>
            <w:vMerge/>
            <w:vAlign w:val="center"/>
          </w:tcPr>
          <w:p w:rsidR="00D45B6E" w:rsidRPr="00AD76E7" w:rsidRDefault="00D45B6E" w:rsidP="00D45B6E">
            <w:pPr>
              <w:pStyle w:val="Zarkazkladnhotextu"/>
              <w:tabs>
                <w:tab w:val="right" w:pos="8460"/>
              </w:tabs>
              <w:ind w:left="0"/>
              <w:jc w:val="both"/>
              <w:rPr>
                <w:rFonts w:ascii="Calibri" w:hAnsi="Calibri" w:cs="Calibri"/>
                <w:sz w:val="20"/>
              </w:rPr>
            </w:pPr>
          </w:p>
        </w:tc>
        <w:tc>
          <w:tcPr>
            <w:tcW w:w="1445" w:type="dxa"/>
            <w:vAlign w:val="center"/>
          </w:tcPr>
          <w:p w:rsidR="00D45B6E" w:rsidRPr="00AD76E7" w:rsidRDefault="00D45B6E" w:rsidP="00D45B6E">
            <w:pPr>
              <w:pStyle w:val="Zarkazkladnhotextu"/>
              <w:tabs>
                <w:tab w:val="right" w:pos="8460"/>
              </w:tabs>
              <w:ind w:left="33"/>
              <w:jc w:val="both"/>
              <w:rPr>
                <w:rFonts w:ascii="Calibri" w:hAnsi="Calibri" w:cs="Calibri"/>
                <w:sz w:val="20"/>
              </w:rPr>
            </w:pPr>
            <w:r w:rsidRPr="00AD76E7">
              <w:rPr>
                <w:rFonts w:ascii="Calibri" w:hAnsi="Calibri" w:cs="Calibri"/>
                <w:sz w:val="20"/>
              </w:rPr>
              <w:t>Zamestnanci</w:t>
            </w:r>
          </w:p>
        </w:tc>
        <w:tc>
          <w:tcPr>
            <w:tcW w:w="1247" w:type="dxa"/>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7</w:t>
            </w:r>
          </w:p>
        </w:tc>
        <w:tc>
          <w:tcPr>
            <w:tcW w:w="1809" w:type="dxa"/>
            <w:vAlign w:val="center"/>
          </w:tcPr>
          <w:p w:rsidR="00D45B6E" w:rsidRPr="00AD76E7" w:rsidRDefault="00D45B6E" w:rsidP="00D45B6E">
            <w:pPr>
              <w:pStyle w:val="Zarkazkladnhotextu"/>
              <w:tabs>
                <w:tab w:val="right" w:pos="8460"/>
              </w:tabs>
              <w:ind w:left="0"/>
              <w:jc w:val="both"/>
              <w:rPr>
                <w:rFonts w:ascii="Calibri" w:hAnsi="Calibri" w:cs="Calibri"/>
                <w:sz w:val="20"/>
              </w:rPr>
            </w:pPr>
          </w:p>
        </w:tc>
        <w:tc>
          <w:tcPr>
            <w:tcW w:w="1886" w:type="dxa"/>
            <w:vAlign w:val="center"/>
          </w:tcPr>
          <w:p w:rsidR="00D45B6E" w:rsidRPr="00AD76E7" w:rsidRDefault="00D45B6E" w:rsidP="00D45B6E">
            <w:pPr>
              <w:pStyle w:val="Zarkazkladnhotextu"/>
              <w:tabs>
                <w:tab w:val="right" w:pos="8460"/>
              </w:tabs>
              <w:ind w:left="58"/>
              <w:jc w:val="both"/>
              <w:rPr>
                <w:rFonts w:ascii="Calibri" w:hAnsi="Calibri" w:cs="Calibri"/>
                <w:sz w:val="20"/>
              </w:rPr>
            </w:pPr>
            <w:r w:rsidRPr="00AD76E7">
              <w:rPr>
                <w:rFonts w:ascii="Calibri" w:hAnsi="Calibri" w:cs="Calibri"/>
                <w:sz w:val="20"/>
              </w:rPr>
              <w:t xml:space="preserve">0 : 7 </w:t>
            </w:r>
            <w:r w:rsidRPr="00AD76E7">
              <w:rPr>
                <w:rFonts w:ascii="Calibri" w:hAnsi="Calibri" w:cs="Calibri"/>
                <w:b/>
                <w:sz w:val="20"/>
              </w:rPr>
              <w:t>= 0</w:t>
            </w:r>
          </w:p>
        </w:tc>
      </w:tr>
      <w:tr w:rsidR="00D45B6E" w:rsidRPr="00AD76E7" w:rsidTr="004D1B1B">
        <w:trPr>
          <w:trHeight w:val="185"/>
          <w:jc w:val="center"/>
        </w:trPr>
        <w:tc>
          <w:tcPr>
            <w:tcW w:w="1658" w:type="dxa"/>
            <w:vMerge w:val="restart"/>
            <w:vAlign w:val="center"/>
          </w:tcPr>
          <w:p w:rsidR="00D45B6E" w:rsidRPr="00AD76E7" w:rsidRDefault="00D45B6E" w:rsidP="00D45B6E">
            <w:pPr>
              <w:shd w:val="clear" w:color="auto" w:fill="FFFFFF"/>
              <w:autoSpaceDE w:val="0"/>
              <w:autoSpaceDN w:val="0"/>
              <w:adjustRightInd w:val="0"/>
              <w:jc w:val="both"/>
              <w:rPr>
                <w:rFonts w:ascii="Calibri" w:hAnsi="Calibri" w:cs="Calibri"/>
                <w:b/>
                <w:color w:val="000000"/>
                <w:sz w:val="20"/>
              </w:rPr>
            </w:pPr>
            <w:r w:rsidRPr="00AD76E7">
              <w:rPr>
                <w:rFonts w:ascii="Calibri" w:hAnsi="Calibri" w:cs="Calibri"/>
                <w:b/>
                <w:color w:val="000000"/>
                <w:sz w:val="20"/>
              </w:rPr>
              <w:t>Ubytovňa</w:t>
            </w:r>
          </w:p>
        </w:tc>
        <w:tc>
          <w:tcPr>
            <w:tcW w:w="1698" w:type="dxa"/>
            <w:vMerge w:val="restart"/>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Ubytovacie a stravovacie zariadenia</w:t>
            </w:r>
          </w:p>
        </w:tc>
        <w:tc>
          <w:tcPr>
            <w:tcW w:w="1445" w:type="dxa"/>
            <w:vAlign w:val="center"/>
          </w:tcPr>
          <w:p w:rsidR="00D45B6E" w:rsidRPr="00AD76E7" w:rsidRDefault="00D45B6E" w:rsidP="00D45B6E">
            <w:pPr>
              <w:pStyle w:val="Zarkazkladnhotextu"/>
              <w:tabs>
                <w:tab w:val="right" w:pos="8460"/>
              </w:tabs>
              <w:ind w:left="33"/>
              <w:jc w:val="both"/>
              <w:rPr>
                <w:rFonts w:ascii="Calibri" w:hAnsi="Calibri" w:cs="Calibri"/>
                <w:sz w:val="20"/>
              </w:rPr>
            </w:pPr>
            <w:r w:rsidRPr="00AD76E7">
              <w:rPr>
                <w:rFonts w:ascii="Calibri" w:hAnsi="Calibri" w:cs="Calibri"/>
                <w:sz w:val="20"/>
              </w:rPr>
              <w:t>izby</w:t>
            </w:r>
          </w:p>
        </w:tc>
        <w:tc>
          <w:tcPr>
            <w:tcW w:w="1247" w:type="dxa"/>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0,5</w:t>
            </w:r>
          </w:p>
        </w:tc>
        <w:tc>
          <w:tcPr>
            <w:tcW w:w="1809" w:type="dxa"/>
            <w:vAlign w:val="center"/>
          </w:tcPr>
          <w:p w:rsidR="00D45B6E" w:rsidRPr="00AD76E7" w:rsidRDefault="00D45B6E" w:rsidP="00D45B6E">
            <w:pPr>
              <w:pStyle w:val="Zarkazkladnhotextu"/>
              <w:tabs>
                <w:tab w:val="right" w:pos="8460"/>
              </w:tabs>
              <w:ind w:left="0"/>
              <w:jc w:val="both"/>
              <w:rPr>
                <w:rFonts w:ascii="Calibri" w:hAnsi="Calibri" w:cs="Calibri"/>
                <w:sz w:val="20"/>
              </w:rPr>
            </w:pPr>
          </w:p>
        </w:tc>
        <w:tc>
          <w:tcPr>
            <w:tcW w:w="1886" w:type="dxa"/>
            <w:vAlign w:val="center"/>
          </w:tcPr>
          <w:p w:rsidR="00D45B6E" w:rsidRPr="00AD76E7" w:rsidRDefault="00D45B6E" w:rsidP="00D45B6E">
            <w:pPr>
              <w:pStyle w:val="Zarkazkladnhotextu"/>
              <w:tabs>
                <w:tab w:val="right" w:pos="8460"/>
              </w:tabs>
              <w:ind w:left="58"/>
              <w:jc w:val="both"/>
              <w:rPr>
                <w:rFonts w:ascii="Calibri" w:hAnsi="Calibri" w:cs="Calibri"/>
                <w:sz w:val="20"/>
              </w:rPr>
            </w:pPr>
            <w:r w:rsidRPr="00AD76E7">
              <w:rPr>
                <w:rFonts w:ascii="Calibri" w:hAnsi="Calibri" w:cs="Calibri"/>
                <w:sz w:val="20"/>
              </w:rPr>
              <w:t xml:space="preserve">3 . 0,5 </w:t>
            </w:r>
            <w:r w:rsidRPr="00AD76E7">
              <w:rPr>
                <w:rFonts w:ascii="Calibri" w:hAnsi="Calibri" w:cs="Calibri"/>
                <w:b/>
                <w:sz w:val="20"/>
              </w:rPr>
              <w:t>= 1,5</w:t>
            </w:r>
          </w:p>
        </w:tc>
      </w:tr>
      <w:tr w:rsidR="00D45B6E" w:rsidRPr="00AD76E7" w:rsidTr="004D1B1B">
        <w:trPr>
          <w:trHeight w:val="185"/>
          <w:jc w:val="center"/>
        </w:trPr>
        <w:tc>
          <w:tcPr>
            <w:tcW w:w="1658" w:type="dxa"/>
            <w:vMerge/>
            <w:vAlign w:val="center"/>
          </w:tcPr>
          <w:p w:rsidR="00D45B6E" w:rsidRPr="00AD76E7" w:rsidRDefault="00D45B6E" w:rsidP="00D45B6E">
            <w:pPr>
              <w:shd w:val="clear" w:color="auto" w:fill="FFFFFF"/>
              <w:autoSpaceDE w:val="0"/>
              <w:autoSpaceDN w:val="0"/>
              <w:adjustRightInd w:val="0"/>
              <w:jc w:val="both"/>
              <w:rPr>
                <w:rFonts w:ascii="Calibri" w:hAnsi="Calibri" w:cs="Calibri"/>
                <w:b/>
                <w:color w:val="000000"/>
                <w:sz w:val="20"/>
              </w:rPr>
            </w:pPr>
          </w:p>
        </w:tc>
        <w:tc>
          <w:tcPr>
            <w:tcW w:w="1698" w:type="dxa"/>
            <w:vMerge/>
            <w:vAlign w:val="center"/>
          </w:tcPr>
          <w:p w:rsidR="00D45B6E" w:rsidRPr="00AD76E7" w:rsidRDefault="00D45B6E" w:rsidP="00D45B6E">
            <w:pPr>
              <w:pStyle w:val="Zarkazkladnhotextu"/>
              <w:tabs>
                <w:tab w:val="right" w:pos="8460"/>
              </w:tabs>
              <w:ind w:left="0"/>
              <w:jc w:val="both"/>
              <w:rPr>
                <w:rFonts w:ascii="Calibri" w:hAnsi="Calibri" w:cs="Calibri"/>
                <w:sz w:val="20"/>
              </w:rPr>
            </w:pPr>
          </w:p>
        </w:tc>
        <w:tc>
          <w:tcPr>
            <w:tcW w:w="1445" w:type="dxa"/>
            <w:vAlign w:val="center"/>
          </w:tcPr>
          <w:p w:rsidR="00D45B6E" w:rsidRPr="00AD76E7" w:rsidRDefault="00D45B6E" w:rsidP="00D45B6E">
            <w:pPr>
              <w:pStyle w:val="Zarkazkladnhotextu"/>
              <w:tabs>
                <w:tab w:val="right" w:pos="8460"/>
              </w:tabs>
              <w:ind w:left="33"/>
              <w:jc w:val="both"/>
              <w:rPr>
                <w:rFonts w:ascii="Calibri" w:hAnsi="Calibri" w:cs="Calibri"/>
                <w:sz w:val="20"/>
              </w:rPr>
            </w:pPr>
            <w:r w:rsidRPr="00AD76E7">
              <w:rPr>
                <w:rFonts w:ascii="Calibri" w:hAnsi="Calibri" w:cs="Calibri"/>
                <w:sz w:val="20"/>
              </w:rPr>
              <w:t>Zamestnanci</w:t>
            </w:r>
          </w:p>
        </w:tc>
        <w:tc>
          <w:tcPr>
            <w:tcW w:w="1247" w:type="dxa"/>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5</w:t>
            </w:r>
          </w:p>
        </w:tc>
        <w:tc>
          <w:tcPr>
            <w:tcW w:w="1809" w:type="dxa"/>
            <w:vAlign w:val="center"/>
          </w:tcPr>
          <w:p w:rsidR="00D45B6E" w:rsidRPr="00AD76E7" w:rsidRDefault="00D45B6E" w:rsidP="00D45B6E">
            <w:pPr>
              <w:pStyle w:val="Zarkazkladnhotextu"/>
              <w:tabs>
                <w:tab w:val="right" w:pos="8460"/>
              </w:tabs>
              <w:ind w:left="0"/>
              <w:jc w:val="both"/>
              <w:rPr>
                <w:rFonts w:ascii="Calibri" w:hAnsi="Calibri" w:cs="Calibri"/>
                <w:sz w:val="20"/>
              </w:rPr>
            </w:pPr>
          </w:p>
        </w:tc>
        <w:tc>
          <w:tcPr>
            <w:tcW w:w="1886" w:type="dxa"/>
            <w:vAlign w:val="center"/>
          </w:tcPr>
          <w:p w:rsidR="00D45B6E" w:rsidRPr="00AD76E7" w:rsidRDefault="00D45B6E" w:rsidP="00D45B6E">
            <w:pPr>
              <w:pStyle w:val="Zarkazkladnhotextu"/>
              <w:tabs>
                <w:tab w:val="right" w:pos="8460"/>
              </w:tabs>
              <w:ind w:left="58"/>
              <w:jc w:val="both"/>
              <w:rPr>
                <w:rFonts w:ascii="Calibri" w:hAnsi="Calibri" w:cs="Calibri"/>
                <w:sz w:val="20"/>
              </w:rPr>
            </w:pPr>
            <w:r w:rsidRPr="00AD76E7">
              <w:rPr>
                <w:rFonts w:ascii="Calibri" w:hAnsi="Calibri" w:cs="Calibri"/>
                <w:sz w:val="20"/>
              </w:rPr>
              <w:t xml:space="preserve">0 : 5= </w:t>
            </w:r>
            <w:r w:rsidRPr="00AD76E7">
              <w:rPr>
                <w:rFonts w:ascii="Calibri" w:hAnsi="Calibri" w:cs="Calibri"/>
                <w:b/>
                <w:sz w:val="20"/>
              </w:rPr>
              <w:t>0</w:t>
            </w:r>
          </w:p>
        </w:tc>
      </w:tr>
      <w:tr w:rsidR="00D45B6E" w:rsidRPr="00AD76E7" w:rsidTr="004D1B1B">
        <w:trPr>
          <w:trHeight w:val="185"/>
          <w:jc w:val="center"/>
        </w:trPr>
        <w:tc>
          <w:tcPr>
            <w:tcW w:w="1658" w:type="dxa"/>
            <w:vMerge w:val="restart"/>
            <w:vAlign w:val="center"/>
          </w:tcPr>
          <w:p w:rsidR="00D45B6E" w:rsidRPr="00AD76E7" w:rsidRDefault="00D45B6E" w:rsidP="00D45B6E">
            <w:pPr>
              <w:shd w:val="clear" w:color="auto" w:fill="FFFFFF"/>
              <w:autoSpaceDE w:val="0"/>
              <w:autoSpaceDN w:val="0"/>
              <w:adjustRightInd w:val="0"/>
              <w:jc w:val="both"/>
              <w:rPr>
                <w:rFonts w:ascii="Calibri" w:hAnsi="Calibri" w:cs="Calibri"/>
                <w:b/>
                <w:color w:val="000000"/>
                <w:sz w:val="20"/>
              </w:rPr>
            </w:pPr>
            <w:r w:rsidRPr="00AD76E7">
              <w:rPr>
                <w:rFonts w:ascii="Calibri" w:hAnsi="Calibri" w:cs="Calibri"/>
                <w:b/>
                <w:color w:val="000000"/>
                <w:sz w:val="20"/>
              </w:rPr>
              <w:t>Stáčanie vína</w:t>
            </w:r>
          </w:p>
        </w:tc>
        <w:tc>
          <w:tcPr>
            <w:tcW w:w="1698" w:type="dxa"/>
            <w:vMerge w:val="restart"/>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Zariadenie výroby</w:t>
            </w:r>
          </w:p>
        </w:tc>
        <w:tc>
          <w:tcPr>
            <w:tcW w:w="1445" w:type="dxa"/>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Návštevníci</w:t>
            </w:r>
          </w:p>
        </w:tc>
        <w:tc>
          <w:tcPr>
            <w:tcW w:w="1247" w:type="dxa"/>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7</w:t>
            </w:r>
          </w:p>
        </w:tc>
        <w:tc>
          <w:tcPr>
            <w:tcW w:w="1809" w:type="dxa"/>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 xml:space="preserve">0 : 7  </w:t>
            </w:r>
            <w:r w:rsidRPr="00AD76E7">
              <w:rPr>
                <w:rFonts w:ascii="Calibri" w:hAnsi="Calibri" w:cs="Calibri"/>
                <w:b/>
                <w:sz w:val="20"/>
              </w:rPr>
              <w:t>= 0</w:t>
            </w:r>
          </w:p>
        </w:tc>
        <w:tc>
          <w:tcPr>
            <w:tcW w:w="1886" w:type="dxa"/>
            <w:vAlign w:val="center"/>
          </w:tcPr>
          <w:p w:rsidR="00D45B6E" w:rsidRPr="00AD76E7" w:rsidRDefault="00D45B6E" w:rsidP="00D45B6E">
            <w:pPr>
              <w:pStyle w:val="Zarkazkladnhotextu"/>
              <w:tabs>
                <w:tab w:val="right" w:pos="8460"/>
              </w:tabs>
              <w:ind w:left="58"/>
              <w:jc w:val="both"/>
              <w:rPr>
                <w:rFonts w:ascii="Calibri" w:hAnsi="Calibri" w:cs="Calibri"/>
                <w:sz w:val="20"/>
              </w:rPr>
            </w:pPr>
          </w:p>
        </w:tc>
      </w:tr>
      <w:tr w:rsidR="00D45B6E" w:rsidRPr="00AD76E7" w:rsidTr="004D1B1B">
        <w:trPr>
          <w:trHeight w:val="185"/>
          <w:jc w:val="center"/>
        </w:trPr>
        <w:tc>
          <w:tcPr>
            <w:tcW w:w="1658" w:type="dxa"/>
            <w:vMerge/>
            <w:vAlign w:val="center"/>
          </w:tcPr>
          <w:p w:rsidR="00D45B6E" w:rsidRPr="00AD76E7" w:rsidRDefault="00D45B6E" w:rsidP="00D45B6E">
            <w:pPr>
              <w:shd w:val="clear" w:color="auto" w:fill="FFFFFF"/>
              <w:autoSpaceDE w:val="0"/>
              <w:autoSpaceDN w:val="0"/>
              <w:adjustRightInd w:val="0"/>
              <w:jc w:val="both"/>
              <w:rPr>
                <w:rFonts w:ascii="Calibri" w:hAnsi="Calibri" w:cs="Calibri"/>
                <w:b/>
                <w:color w:val="000000"/>
                <w:sz w:val="20"/>
              </w:rPr>
            </w:pPr>
          </w:p>
        </w:tc>
        <w:tc>
          <w:tcPr>
            <w:tcW w:w="1698" w:type="dxa"/>
            <w:vMerge/>
            <w:vAlign w:val="center"/>
          </w:tcPr>
          <w:p w:rsidR="00D45B6E" w:rsidRPr="00AD76E7" w:rsidRDefault="00D45B6E" w:rsidP="00D45B6E">
            <w:pPr>
              <w:pStyle w:val="Zarkazkladnhotextu"/>
              <w:tabs>
                <w:tab w:val="right" w:pos="8460"/>
              </w:tabs>
              <w:ind w:left="0"/>
              <w:jc w:val="both"/>
              <w:rPr>
                <w:rFonts w:ascii="Calibri" w:hAnsi="Calibri" w:cs="Calibri"/>
                <w:sz w:val="20"/>
              </w:rPr>
            </w:pPr>
          </w:p>
        </w:tc>
        <w:tc>
          <w:tcPr>
            <w:tcW w:w="1445" w:type="dxa"/>
            <w:vAlign w:val="center"/>
          </w:tcPr>
          <w:p w:rsidR="00D45B6E" w:rsidRPr="00AD76E7" w:rsidRDefault="00D45B6E" w:rsidP="00D45B6E">
            <w:pPr>
              <w:pStyle w:val="Zarkazkladnhotextu"/>
              <w:tabs>
                <w:tab w:val="right" w:pos="8460"/>
              </w:tabs>
              <w:ind w:left="33"/>
              <w:jc w:val="both"/>
              <w:rPr>
                <w:rFonts w:ascii="Calibri" w:hAnsi="Calibri" w:cs="Calibri"/>
                <w:sz w:val="20"/>
              </w:rPr>
            </w:pPr>
            <w:r w:rsidRPr="00AD76E7">
              <w:rPr>
                <w:rFonts w:ascii="Calibri" w:hAnsi="Calibri" w:cs="Calibri"/>
                <w:sz w:val="20"/>
              </w:rPr>
              <w:t>Zamestnanci</w:t>
            </w:r>
          </w:p>
        </w:tc>
        <w:tc>
          <w:tcPr>
            <w:tcW w:w="1247" w:type="dxa"/>
            <w:vAlign w:val="center"/>
          </w:tcPr>
          <w:p w:rsidR="00D45B6E" w:rsidRPr="00AD76E7" w:rsidRDefault="00D45B6E" w:rsidP="00D45B6E">
            <w:pPr>
              <w:pStyle w:val="Zarkazkladnhotextu"/>
              <w:tabs>
                <w:tab w:val="right" w:pos="8460"/>
              </w:tabs>
              <w:ind w:left="0"/>
              <w:jc w:val="both"/>
              <w:rPr>
                <w:rFonts w:ascii="Calibri" w:hAnsi="Calibri" w:cs="Calibri"/>
                <w:sz w:val="20"/>
              </w:rPr>
            </w:pPr>
            <w:r w:rsidRPr="00AD76E7">
              <w:rPr>
                <w:rFonts w:ascii="Calibri" w:hAnsi="Calibri" w:cs="Calibri"/>
                <w:sz w:val="20"/>
              </w:rPr>
              <w:t>4</w:t>
            </w:r>
          </w:p>
        </w:tc>
        <w:tc>
          <w:tcPr>
            <w:tcW w:w="1809" w:type="dxa"/>
            <w:vAlign w:val="center"/>
          </w:tcPr>
          <w:p w:rsidR="00D45B6E" w:rsidRPr="00AD76E7" w:rsidRDefault="00D45B6E" w:rsidP="00D45B6E">
            <w:pPr>
              <w:pStyle w:val="Zarkazkladnhotextu"/>
              <w:tabs>
                <w:tab w:val="right" w:pos="8460"/>
              </w:tabs>
              <w:ind w:left="0"/>
              <w:jc w:val="both"/>
              <w:rPr>
                <w:rFonts w:ascii="Calibri" w:hAnsi="Calibri" w:cs="Calibri"/>
                <w:sz w:val="20"/>
              </w:rPr>
            </w:pPr>
          </w:p>
        </w:tc>
        <w:tc>
          <w:tcPr>
            <w:tcW w:w="1886" w:type="dxa"/>
            <w:vAlign w:val="center"/>
          </w:tcPr>
          <w:p w:rsidR="00D45B6E" w:rsidRPr="00AD76E7" w:rsidRDefault="00D45B6E" w:rsidP="00D45B6E">
            <w:pPr>
              <w:pStyle w:val="Zarkazkladnhotextu"/>
              <w:tabs>
                <w:tab w:val="right" w:pos="8460"/>
              </w:tabs>
              <w:ind w:left="58"/>
              <w:jc w:val="both"/>
              <w:rPr>
                <w:rFonts w:ascii="Calibri" w:hAnsi="Calibri" w:cs="Calibri"/>
                <w:sz w:val="20"/>
              </w:rPr>
            </w:pPr>
            <w:r w:rsidRPr="00AD76E7">
              <w:rPr>
                <w:rFonts w:ascii="Calibri" w:hAnsi="Calibri" w:cs="Calibri"/>
                <w:sz w:val="20"/>
              </w:rPr>
              <w:t xml:space="preserve">2 : 4 </w:t>
            </w:r>
            <w:r w:rsidRPr="00AD76E7">
              <w:rPr>
                <w:rFonts w:ascii="Calibri" w:hAnsi="Calibri" w:cs="Calibri"/>
                <w:b/>
                <w:sz w:val="20"/>
              </w:rPr>
              <w:t>= 0,5</w:t>
            </w:r>
          </w:p>
        </w:tc>
      </w:tr>
      <w:tr w:rsidR="00D45B6E" w:rsidRPr="00AD76E7" w:rsidTr="00616A16">
        <w:trPr>
          <w:trHeight w:val="26"/>
          <w:jc w:val="center"/>
        </w:trPr>
        <w:tc>
          <w:tcPr>
            <w:tcW w:w="6048" w:type="dxa"/>
            <w:gridSpan w:val="4"/>
            <w:shd w:val="clear" w:color="auto" w:fill="D9D9D9"/>
            <w:vAlign w:val="center"/>
          </w:tcPr>
          <w:p w:rsidR="00D45B6E" w:rsidRPr="00AD76E7" w:rsidRDefault="00D45B6E" w:rsidP="00D45B6E">
            <w:pPr>
              <w:pStyle w:val="Zarkazkladnhotextu"/>
              <w:tabs>
                <w:tab w:val="right" w:pos="8460"/>
              </w:tabs>
              <w:jc w:val="both"/>
              <w:rPr>
                <w:rFonts w:ascii="Calibri" w:hAnsi="Calibri" w:cs="Calibri"/>
                <w:b/>
                <w:sz w:val="20"/>
                <w:vertAlign w:val="subscript"/>
              </w:rPr>
            </w:pPr>
            <w:r w:rsidRPr="00AD76E7">
              <w:rPr>
                <w:rFonts w:ascii="Calibri" w:hAnsi="Calibri" w:cs="Calibri"/>
                <w:b/>
                <w:sz w:val="20"/>
              </w:rPr>
              <w:t xml:space="preserve">SPOLU  </w:t>
            </w:r>
          </w:p>
        </w:tc>
        <w:tc>
          <w:tcPr>
            <w:tcW w:w="1809" w:type="dxa"/>
            <w:shd w:val="clear" w:color="auto" w:fill="D9D9D9"/>
            <w:vAlign w:val="center"/>
          </w:tcPr>
          <w:p w:rsidR="00D45B6E" w:rsidRPr="00AD76E7" w:rsidRDefault="00D45B6E" w:rsidP="00D45B6E">
            <w:pPr>
              <w:pStyle w:val="Zarkazkladnhotextu"/>
              <w:tabs>
                <w:tab w:val="right" w:pos="8460"/>
              </w:tabs>
              <w:jc w:val="both"/>
              <w:rPr>
                <w:rFonts w:ascii="Calibri" w:hAnsi="Calibri" w:cs="Calibri"/>
                <w:b/>
                <w:sz w:val="20"/>
              </w:rPr>
            </w:pPr>
            <w:r w:rsidRPr="00AD76E7">
              <w:rPr>
                <w:rFonts w:ascii="Calibri" w:hAnsi="Calibri" w:cs="Calibri"/>
                <w:b/>
                <w:sz w:val="20"/>
              </w:rPr>
              <w:t>1,6</w:t>
            </w:r>
          </w:p>
        </w:tc>
        <w:tc>
          <w:tcPr>
            <w:tcW w:w="1886" w:type="dxa"/>
            <w:shd w:val="clear" w:color="auto" w:fill="D9D9D9"/>
            <w:vAlign w:val="center"/>
          </w:tcPr>
          <w:p w:rsidR="00D45B6E" w:rsidRPr="00AD76E7" w:rsidRDefault="00D45B6E" w:rsidP="00D45B6E">
            <w:pPr>
              <w:pStyle w:val="Zarkazkladnhotextu"/>
              <w:tabs>
                <w:tab w:val="right" w:pos="8460"/>
              </w:tabs>
              <w:ind w:left="0"/>
              <w:jc w:val="both"/>
              <w:rPr>
                <w:rFonts w:ascii="Calibri" w:hAnsi="Calibri" w:cs="Calibri"/>
                <w:b/>
                <w:sz w:val="20"/>
              </w:rPr>
            </w:pPr>
            <w:r w:rsidRPr="00AD76E7">
              <w:rPr>
                <w:rFonts w:ascii="Calibri" w:hAnsi="Calibri" w:cs="Calibri"/>
                <w:b/>
                <w:sz w:val="20"/>
              </w:rPr>
              <w:t>2</w:t>
            </w:r>
          </w:p>
        </w:tc>
      </w:tr>
      <w:tr w:rsidR="00D45B6E" w:rsidRPr="00AD76E7" w:rsidTr="00616A16">
        <w:trPr>
          <w:trHeight w:val="26"/>
          <w:jc w:val="center"/>
        </w:trPr>
        <w:tc>
          <w:tcPr>
            <w:tcW w:w="6048" w:type="dxa"/>
            <w:gridSpan w:val="4"/>
            <w:shd w:val="clear" w:color="auto" w:fill="A6A6A6"/>
            <w:vAlign w:val="center"/>
          </w:tcPr>
          <w:p w:rsidR="00D45B6E" w:rsidRPr="00AD76E7" w:rsidRDefault="00D45B6E" w:rsidP="00D45B6E">
            <w:pPr>
              <w:pStyle w:val="Zarkazkladnhotextu"/>
              <w:tabs>
                <w:tab w:val="right" w:pos="8460"/>
              </w:tabs>
              <w:jc w:val="both"/>
              <w:rPr>
                <w:rFonts w:ascii="Calibri" w:hAnsi="Calibri" w:cs="Calibri"/>
                <w:b/>
                <w:sz w:val="20"/>
              </w:rPr>
            </w:pPr>
            <w:r w:rsidRPr="00AD76E7">
              <w:rPr>
                <w:rFonts w:ascii="Calibri" w:hAnsi="Calibri" w:cs="Calibri"/>
                <w:b/>
                <w:sz w:val="20"/>
              </w:rPr>
              <w:t>SPOLU parkovacie stojiská P</w:t>
            </w:r>
            <w:r w:rsidRPr="00AD76E7">
              <w:rPr>
                <w:rFonts w:ascii="Calibri" w:hAnsi="Calibri" w:cs="Calibri"/>
                <w:b/>
                <w:sz w:val="20"/>
                <w:vertAlign w:val="subscript"/>
              </w:rPr>
              <w:t>o</w:t>
            </w:r>
            <w:r w:rsidRPr="00AD76E7">
              <w:rPr>
                <w:rFonts w:ascii="Calibri" w:hAnsi="Calibri" w:cs="Calibri"/>
                <w:b/>
                <w:sz w:val="20"/>
              </w:rPr>
              <w:t xml:space="preserve"> </w:t>
            </w:r>
          </w:p>
        </w:tc>
        <w:tc>
          <w:tcPr>
            <w:tcW w:w="3695" w:type="dxa"/>
            <w:gridSpan w:val="2"/>
            <w:shd w:val="clear" w:color="auto" w:fill="A6A6A6"/>
            <w:vAlign w:val="center"/>
          </w:tcPr>
          <w:p w:rsidR="00D45B6E" w:rsidRPr="00AD76E7" w:rsidRDefault="00D45B6E" w:rsidP="00D45B6E">
            <w:pPr>
              <w:pStyle w:val="Zarkazkladnhotextu"/>
              <w:tabs>
                <w:tab w:val="right" w:pos="8460"/>
              </w:tabs>
              <w:jc w:val="both"/>
              <w:rPr>
                <w:rFonts w:ascii="Calibri" w:hAnsi="Calibri" w:cs="Calibri"/>
                <w:b/>
                <w:sz w:val="20"/>
              </w:rPr>
            </w:pPr>
            <w:r w:rsidRPr="00AD76E7">
              <w:rPr>
                <w:rFonts w:ascii="Calibri" w:hAnsi="Calibri" w:cs="Calibri"/>
                <w:b/>
                <w:sz w:val="20"/>
              </w:rPr>
              <w:t>3,6</w:t>
            </w:r>
          </w:p>
        </w:tc>
      </w:tr>
    </w:tbl>
    <w:p w:rsidR="00D45B6E" w:rsidRPr="00AD76E7" w:rsidRDefault="00D45B6E" w:rsidP="00D45B6E">
      <w:pPr>
        <w:pStyle w:val="Zkladntext"/>
        <w:tabs>
          <w:tab w:val="left" w:pos="1134"/>
          <w:tab w:val="left" w:pos="1701"/>
          <w:tab w:val="right" w:pos="9072"/>
        </w:tabs>
        <w:spacing w:line="240" w:lineRule="atLeast"/>
        <w:ind w:right="-51"/>
        <w:rPr>
          <w:rFonts w:ascii="Calibri" w:hAnsi="Calibri" w:cs="Calibri"/>
        </w:rPr>
      </w:pPr>
    </w:p>
    <w:p w:rsidR="00D45B6E" w:rsidRPr="00AD76E7" w:rsidRDefault="00D45B6E" w:rsidP="00D45B6E">
      <w:pPr>
        <w:pStyle w:val="Zkladntext"/>
        <w:tabs>
          <w:tab w:val="left" w:pos="1134"/>
          <w:tab w:val="left" w:pos="1701"/>
          <w:tab w:val="right" w:pos="9072"/>
        </w:tabs>
        <w:spacing w:line="240" w:lineRule="atLeast"/>
        <w:ind w:right="-51"/>
        <w:rPr>
          <w:rFonts w:ascii="Calibri" w:hAnsi="Calibri" w:cs="Calibri"/>
          <w:b/>
        </w:rPr>
      </w:pPr>
    </w:p>
    <w:p w:rsidR="00D45B6E" w:rsidRPr="004D1B1B" w:rsidRDefault="00D45B6E" w:rsidP="00D45B6E">
      <w:pPr>
        <w:pStyle w:val="Zkladntext"/>
        <w:shd w:val="clear" w:color="auto" w:fill="D9D9D9"/>
        <w:tabs>
          <w:tab w:val="left" w:pos="1134"/>
          <w:tab w:val="left" w:pos="1701"/>
          <w:tab w:val="right" w:pos="9072"/>
        </w:tabs>
        <w:spacing w:line="240" w:lineRule="atLeast"/>
        <w:ind w:right="-51"/>
        <w:rPr>
          <w:rFonts w:ascii="Calibri" w:hAnsi="Calibri" w:cs="Calibri"/>
          <w:b/>
          <w:u w:val="single"/>
          <w:lang w:val="sk-SK"/>
        </w:rPr>
      </w:pPr>
      <w:r w:rsidRPr="004D1B1B">
        <w:rPr>
          <w:rFonts w:ascii="Calibri" w:hAnsi="Calibri" w:cs="Calibri"/>
          <w:b/>
        </w:rPr>
        <w:t>N= 1,1 . O</w:t>
      </w:r>
      <w:r w:rsidRPr="004D1B1B">
        <w:rPr>
          <w:rFonts w:ascii="Calibri" w:hAnsi="Calibri" w:cs="Calibri"/>
          <w:b/>
          <w:vertAlign w:val="subscript"/>
        </w:rPr>
        <w:t>o</w:t>
      </w:r>
      <w:r w:rsidRPr="004D1B1B">
        <w:rPr>
          <w:rFonts w:ascii="Calibri" w:hAnsi="Calibri" w:cs="Calibri"/>
          <w:b/>
        </w:rPr>
        <w:t>+ 1,1 . P</w:t>
      </w:r>
      <w:r w:rsidRPr="004D1B1B">
        <w:rPr>
          <w:rFonts w:ascii="Calibri" w:hAnsi="Calibri" w:cs="Calibri"/>
          <w:b/>
          <w:vertAlign w:val="subscript"/>
        </w:rPr>
        <w:t>O</w:t>
      </w:r>
      <w:r w:rsidRPr="004D1B1B">
        <w:rPr>
          <w:rFonts w:ascii="Calibri" w:hAnsi="Calibri" w:cs="Calibri"/>
          <w:b/>
        </w:rPr>
        <w:t>. k</w:t>
      </w:r>
      <w:r w:rsidRPr="004D1B1B">
        <w:rPr>
          <w:rFonts w:ascii="Calibri" w:hAnsi="Calibri" w:cs="Calibri"/>
          <w:b/>
          <w:vertAlign w:val="subscript"/>
        </w:rPr>
        <w:t xml:space="preserve">mp </w:t>
      </w:r>
      <w:r w:rsidRPr="004D1B1B">
        <w:rPr>
          <w:rFonts w:ascii="Calibri" w:hAnsi="Calibri" w:cs="Calibri"/>
          <w:b/>
        </w:rPr>
        <w:t>. k</w:t>
      </w:r>
      <w:r w:rsidRPr="004D1B1B">
        <w:rPr>
          <w:rFonts w:ascii="Calibri" w:hAnsi="Calibri" w:cs="Calibri"/>
          <w:b/>
          <w:vertAlign w:val="subscript"/>
        </w:rPr>
        <w:t xml:space="preserve">d </w:t>
      </w:r>
      <w:r w:rsidRPr="004D1B1B">
        <w:rPr>
          <w:rFonts w:ascii="Calibri" w:hAnsi="Calibri" w:cs="Calibri"/>
          <w:b/>
        </w:rPr>
        <w:t xml:space="preserve">=  1,1 . </w:t>
      </w:r>
      <w:r w:rsidRPr="004D1B1B">
        <w:rPr>
          <w:rFonts w:ascii="Calibri" w:hAnsi="Calibri" w:cs="Calibri"/>
          <w:b/>
          <w:lang w:val="sk-SK"/>
        </w:rPr>
        <w:t>0</w:t>
      </w:r>
      <w:r w:rsidRPr="004D1B1B">
        <w:rPr>
          <w:rFonts w:ascii="Calibri" w:hAnsi="Calibri" w:cs="Calibri"/>
          <w:b/>
        </w:rPr>
        <w:t xml:space="preserve"> + 1,1 . </w:t>
      </w:r>
      <w:r w:rsidRPr="004D1B1B">
        <w:rPr>
          <w:rFonts w:ascii="Calibri" w:hAnsi="Calibri" w:cs="Calibri"/>
          <w:b/>
          <w:lang w:val="sk-SK"/>
        </w:rPr>
        <w:t>3,6</w:t>
      </w:r>
      <w:r w:rsidRPr="004D1B1B">
        <w:rPr>
          <w:rFonts w:ascii="Calibri" w:hAnsi="Calibri" w:cs="Calibri"/>
          <w:b/>
        </w:rPr>
        <w:t xml:space="preserve"> . </w:t>
      </w:r>
      <w:r w:rsidRPr="004D1B1B">
        <w:rPr>
          <w:rFonts w:ascii="Calibri" w:hAnsi="Calibri" w:cs="Calibri"/>
          <w:b/>
          <w:lang w:val="sk-SK"/>
        </w:rPr>
        <w:t>1,0</w:t>
      </w:r>
      <w:r w:rsidRPr="004D1B1B">
        <w:rPr>
          <w:rFonts w:ascii="Calibri" w:hAnsi="Calibri" w:cs="Calibri"/>
          <w:b/>
        </w:rPr>
        <w:t xml:space="preserve">. </w:t>
      </w:r>
      <w:r w:rsidRPr="004D1B1B">
        <w:rPr>
          <w:rFonts w:ascii="Calibri" w:hAnsi="Calibri" w:cs="Calibri"/>
          <w:b/>
          <w:lang w:val="sk-SK"/>
        </w:rPr>
        <w:t>1,2</w:t>
      </w:r>
      <w:r w:rsidRPr="004D1B1B">
        <w:rPr>
          <w:rFonts w:ascii="Calibri" w:hAnsi="Calibri" w:cs="Calibri"/>
          <w:b/>
        </w:rPr>
        <w:t xml:space="preserve"> = </w:t>
      </w:r>
      <w:r w:rsidRPr="004D1B1B">
        <w:rPr>
          <w:rFonts w:ascii="Calibri" w:hAnsi="Calibri" w:cs="Calibri"/>
          <w:b/>
          <w:lang w:val="sk-SK"/>
        </w:rPr>
        <w:t>4,75</w:t>
      </w:r>
    </w:p>
    <w:p w:rsidR="00325E89" w:rsidRPr="004D1B1B" w:rsidRDefault="00325E89" w:rsidP="00325E89">
      <w:pPr>
        <w:pStyle w:val="Zkladntext"/>
        <w:tabs>
          <w:tab w:val="left" w:pos="720"/>
        </w:tabs>
        <w:spacing w:before="80" w:line="240" w:lineRule="atLeast"/>
        <w:ind w:left="0" w:right="-51"/>
        <w:rPr>
          <w:rFonts w:ascii="Calibri" w:hAnsi="Calibri" w:cs="Calibri"/>
        </w:rPr>
      </w:pPr>
    </w:p>
    <w:p w:rsidR="00D45B6E" w:rsidRPr="004D1B1B" w:rsidRDefault="00D45B6E" w:rsidP="00325E89">
      <w:pPr>
        <w:pStyle w:val="Zkladntext"/>
        <w:tabs>
          <w:tab w:val="left" w:pos="720"/>
        </w:tabs>
        <w:spacing w:before="80" w:line="240" w:lineRule="atLeast"/>
        <w:ind w:left="0" w:right="-51"/>
        <w:rPr>
          <w:rFonts w:ascii="Calibri" w:hAnsi="Calibri" w:cs="Calibri"/>
        </w:rPr>
      </w:pPr>
      <w:r w:rsidRPr="004D1B1B">
        <w:rPr>
          <w:rFonts w:ascii="Calibri" w:hAnsi="Calibri" w:cs="Calibri"/>
        </w:rPr>
        <w:t>k</w:t>
      </w:r>
      <w:r w:rsidRPr="004D1B1B">
        <w:rPr>
          <w:rFonts w:ascii="Calibri" w:hAnsi="Calibri" w:cs="Calibri"/>
          <w:vertAlign w:val="subscript"/>
        </w:rPr>
        <w:t>mp</w:t>
      </w:r>
      <w:r w:rsidRPr="004D1B1B">
        <w:rPr>
          <w:rFonts w:ascii="Calibri" w:hAnsi="Calibri" w:cs="Calibri"/>
        </w:rPr>
        <w:tab/>
        <w:t xml:space="preserve">= </w:t>
      </w:r>
      <w:r w:rsidRPr="004D1B1B">
        <w:rPr>
          <w:rFonts w:ascii="Calibri" w:hAnsi="Calibri" w:cs="Calibri"/>
          <w:lang w:val="sk-SK"/>
        </w:rPr>
        <w:t>1,0</w:t>
      </w:r>
      <w:r w:rsidRPr="004D1B1B">
        <w:rPr>
          <w:rFonts w:ascii="Calibri" w:hAnsi="Calibri" w:cs="Calibri"/>
        </w:rPr>
        <w:tab/>
        <w:t>(</w:t>
      </w:r>
      <w:r w:rsidRPr="004D1B1B">
        <w:rPr>
          <w:rFonts w:ascii="Calibri" w:hAnsi="Calibri" w:cs="Calibri"/>
          <w:lang w:val="sk-SK"/>
        </w:rPr>
        <w:t>ostatné územie</w:t>
      </w:r>
      <w:r w:rsidRPr="004D1B1B">
        <w:rPr>
          <w:rFonts w:ascii="Calibri" w:hAnsi="Calibri" w:cs="Calibri"/>
        </w:rPr>
        <w:t>)</w:t>
      </w:r>
    </w:p>
    <w:p w:rsidR="00D45B6E" w:rsidRPr="004D1B1B" w:rsidRDefault="00D45B6E" w:rsidP="00325E89">
      <w:pPr>
        <w:pStyle w:val="Zkladntext"/>
        <w:tabs>
          <w:tab w:val="left" w:pos="720"/>
        </w:tabs>
        <w:spacing w:line="240" w:lineRule="atLeast"/>
        <w:ind w:left="0" w:right="-51"/>
        <w:rPr>
          <w:rFonts w:ascii="Calibri" w:hAnsi="Calibri" w:cs="Calibri"/>
        </w:rPr>
      </w:pPr>
      <w:r w:rsidRPr="004D1B1B">
        <w:rPr>
          <w:rFonts w:ascii="Calibri" w:hAnsi="Calibri" w:cs="Calibri"/>
        </w:rPr>
        <w:t>k</w:t>
      </w:r>
      <w:r w:rsidRPr="004D1B1B">
        <w:rPr>
          <w:rFonts w:ascii="Calibri" w:hAnsi="Calibri" w:cs="Calibri"/>
          <w:vertAlign w:val="subscript"/>
        </w:rPr>
        <w:t>d</w:t>
      </w:r>
      <w:r w:rsidRPr="004D1B1B">
        <w:rPr>
          <w:rFonts w:ascii="Calibri" w:hAnsi="Calibri" w:cs="Calibri"/>
        </w:rPr>
        <w:tab/>
        <w:t xml:space="preserve">= </w:t>
      </w:r>
      <w:r w:rsidRPr="004D1B1B">
        <w:rPr>
          <w:rFonts w:ascii="Calibri" w:hAnsi="Calibri" w:cs="Calibri"/>
          <w:lang w:val="sk-SK"/>
        </w:rPr>
        <w:t>1,2</w:t>
      </w:r>
      <w:r w:rsidRPr="004D1B1B">
        <w:rPr>
          <w:rFonts w:ascii="Calibri" w:hAnsi="Calibri" w:cs="Calibri"/>
        </w:rPr>
        <w:tab/>
        <w:t xml:space="preserve">(súčiniteľ vplyvu deľby prepravnej práce </w:t>
      </w:r>
      <w:r w:rsidRPr="004D1B1B">
        <w:rPr>
          <w:rFonts w:ascii="Calibri" w:hAnsi="Calibri" w:cs="Calibri"/>
          <w:lang w:val="sk-SK"/>
        </w:rPr>
        <w:t>45</w:t>
      </w:r>
      <w:r w:rsidRPr="004D1B1B">
        <w:rPr>
          <w:rFonts w:ascii="Calibri" w:hAnsi="Calibri" w:cs="Calibri"/>
        </w:rPr>
        <w:t>:</w:t>
      </w:r>
      <w:r w:rsidRPr="004D1B1B">
        <w:rPr>
          <w:rFonts w:ascii="Calibri" w:hAnsi="Calibri" w:cs="Calibri"/>
          <w:lang w:val="sk-SK"/>
        </w:rPr>
        <w:t>55</w:t>
      </w:r>
      <w:r w:rsidRPr="004D1B1B">
        <w:rPr>
          <w:rFonts w:ascii="Calibri" w:hAnsi="Calibri" w:cs="Calibri"/>
        </w:rPr>
        <w:t>, IAD : ostatná doprava)</w:t>
      </w:r>
    </w:p>
    <w:p w:rsidR="004D1B1B" w:rsidRPr="004D1B1B" w:rsidRDefault="004D1B1B" w:rsidP="00325E89">
      <w:pPr>
        <w:pStyle w:val="Zkladntext"/>
        <w:tabs>
          <w:tab w:val="right" w:pos="8222"/>
        </w:tabs>
        <w:spacing w:before="80"/>
        <w:ind w:left="0" w:right="-51"/>
        <w:rPr>
          <w:rFonts w:ascii="Calibri" w:hAnsi="Calibri" w:cs="Calibri"/>
          <w:b/>
          <w:u w:val="single"/>
        </w:rPr>
      </w:pPr>
    </w:p>
    <w:p w:rsidR="00D45B6E" w:rsidRPr="004D1B1B" w:rsidRDefault="00D45B6E" w:rsidP="00325E89">
      <w:pPr>
        <w:pStyle w:val="Zkladntext"/>
        <w:tabs>
          <w:tab w:val="right" w:pos="8222"/>
        </w:tabs>
        <w:spacing w:before="80"/>
        <w:ind w:left="0" w:right="-51"/>
        <w:rPr>
          <w:rFonts w:ascii="Calibri" w:hAnsi="Calibri" w:cs="Calibri"/>
          <w:b/>
          <w:u w:val="single"/>
        </w:rPr>
      </w:pPr>
      <w:r w:rsidRPr="004D1B1B">
        <w:rPr>
          <w:rFonts w:ascii="Calibri" w:hAnsi="Calibri" w:cs="Calibri"/>
          <w:b/>
          <w:u w:val="single"/>
        </w:rPr>
        <w:lastRenderedPageBreak/>
        <w:t>Vyhodnotenie objektu:</w:t>
      </w:r>
    </w:p>
    <w:p w:rsidR="004D1B1B" w:rsidRPr="004D1B1B" w:rsidRDefault="004D1B1B" w:rsidP="004D1B1B">
      <w:pPr>
        <w:pStyle w:val="Zkladntext"/>
        <w:tabs>
          <w:tab w:val="right" w:pos="8222"/>
        </w:tabs>
        <w:spacing w:before="80"/>
        <w:ind w:left="0" w:right="-51"/>
        <w:rPr>
          <w:rFonts w:asciiTheme="majorHAnsi" w:hAnsiTheme="majorHAnsi" w:cstheme="majorHAnsi"/>
          <w:b/>
        </w:rPr>
      </w:pPr>
      <w:r w:rsidRPr="004D1B1B">
        <w:rPr>
          <w:rFonts w:asciiTheme="majorHAnsi" w:hAnsiTheme="majorHAnsi" w:cstheme="majorHAnsi"/>
          <w:b/>
        </w:rPr>
        <w:t>Potrebný počet parkovacích státí:</w:t>
      </w:r>
      <w:r w:rsidRPr="004D1B1B">
        <w:rPr>
          <w:rFonts w:asciiTheme="majorHAnsi" w:hAnsiTheme="majorHAnsi" w:cstheme="majorHAnsi"/>
          <w:b/>
        </w:rPr>
        <w:tab/>
      </w:r>
      <w:r w:rsidRPr="004D1B1B">
        <w:rPr>
          <w:rFonts w:asciiTheme="majorHAnsi" w:hAnsiTheme="majorHAnsi" w:cstheme="majorHAnsi"/>
          <w:b/>
          <w:lang w:val="sk-SK"/>
        </w:rPr>
        <w:t xml:space="preserve">5 </w:t>
      </w:r>
      <w:r w:rsidRPr="004D1B1B">
        <w:rPr>
          <w:rFonts w:asciiTheme="majorHAnsi" w:hAnsiTheme="majorHAnsi" w:cstheme="majorHAnsi"/>
          <w:b/>
        </w:rPr>
        <w:t>stojísk</w:t>
      </w:r>
    </w:p>
    <w:p w:rsidR="004D1B1B" w:rsidRPr="004D1B1B" w:rsidRDefault="004D1B1B" w:rsidP="004D1B1B">
      <w:pPr>
        <w:pStyle w:val="Zkladntext"/>
        <w:tabs>
          <w:tab w:val="right" w:pos="8222"/>
        </w:tabs>
        <w:spacing w:before="80"/>
        <w:ind w:left="0" w:right="-51"/>
        <w:rPr>
          <w:rFonts w:asciiTheme="majorHAnsi" w:hAnsiTheme="majorHAnsi" w:cstheme="majorHAnsi"/>
          <w:b/>
        </w:rPr>
      </w:pPr>
      <w:r w:rsidRPr="004D1B1B">
        <w:rPr>
          <w:rFonts w:asciiTheme="majorHAnsi" w:hAnsiTheme="majorHAnsi" w:cstheme="majorHAnsi"/>
          <w:b/>
        </w:rPr>
        <w:t>Navrhovaný celkový počet parkovacích státí</w:t>
      </w:r>
      <w:r w:rsidRPr="004D1B1B">
        <w:rPr>
          <w:rFonts w:asciiTheme="majorHAnsi" w:hAnsiTheme="majorHAnsi" w:cstheme="majorHAnsi"/>
          <w:b/>
        </w:rPr>
        <w:tab/>
      </w:r>
      <w:r w:rsidRPr="004D1B1B">
        <w:rPr>
          <w:rFonts w:asciiTheme="majorHAnsi" w:hAnsiTheme="majorHAnsi" w:cstheme="majorHAnsi"/>
          <w:b/>
          <w:lang w:val="sk-SK"/>
        </w:rPr>
        <w:t xml:space="preserve">6 </w:t>
      </w:r>
      <w:r w:rsidRPr="004D1B1B">
        <w:rPr>
          <w:rFonts w:asciiTheme="majorHAnsi" w:hAnsiTheme="majorHAnsi" w:cstheme="majorHAnsi"/>
          <w:b/>
        </w:rPr>
        <w:t>stojísk</w:t>
      </w:r>
    </w:p>
    <w:p w:rsidR="004D1B1B" w:rsidRPr="004D1B1B" w:rsidRDefault="004D1B1B" w:rsidP="004D1B1B">
      <w:pPr>
        <w:pStyle w:val="Zkladntext"/>
        <w:tabs>
          <w:tab w:val="right" w:pos="8222"/>
        </w:tabs>
        <w:spacing w:before="80"/>
        <w:ind w:left="0" w:right="-51"/>
        <w:rPr>
          <w:rFonts w:asciiTheme="majorHAnsi" w:hAnsiTheme="majorHAnsi" w:cstheme="majorHAnsi"/>
          <w:b/>
        </w:rPr>
      </w:pPr>
      <w:r w:rsidRPr="004D1B1B">
        <w:rPr>
          <w:rFonts w:asciiTheme="majorHAnsi" w:hAnsiTheme="majorHAnsi" w:cstheme="majorHAnsi"/>
          <w:b/>
        </w:rPr>
        <w:t>Bilancia:</w:t>
      </w:r>
      <w:r w:rsidRPr="004D1B1B">
        <w:rPr>
          <w:rFonts w:asciiTheme="majorHAnsi" w:hAnsiTheme="majorHAnsi" w:cstheme="majorHAnsi"/>
          <w:b/>
        </w:rPr>
        <w:tab/>
      </w:r>
      <w:r w:rsidRPr="004D1B1B">
        <w:rPr>
          <w:rFonts w:asciiTheme="majorHAnsi" w:hAnsiTheme="majorHAnsi" w:cstheme="majorHAnsi"/>
          <w:b/>
          <w:lang w:val="sk-SK"/>
        </w:rPr>
        <w:t xml:space="preserve">+1 </w:t>
      </w:r>
    </w:p>
    <w:p w:rsidR="004D1B1B" w:rsidRPr="004D1B1B" w:rsidRDefault="004D1B1B" w:rsidP="00763F78">
      <w:pPr>
        <w:autoSpaceDE w:val="0"/>
        <w:autoSpaceDN w:val="0"/>
        <w:adjustRightInd w:val="0"/>
        <w:rPr>
          <w:rFonts w:asciiTheme="majorHAnsi" w:hAnsiTheme="majorHAnsi" w:cstheme="majorHAnsi"/>
          <w:b/>
          <w:iCs/>
          <w:sz w:val="24"/>
        </w:rPr>
      </w:pPr>
    </w:p>
    <w:p w:rsidR="004D1B1B" w:rsidRPr="004D1B1B" w:rsidRDefault="004D1B1B" w:rsidP="00763F78">
      <w:pPr>
        <w:autoSpaceDE w:val="0"/>
        <w:autoSpaceDN w:val="0"/>
        <w:adjustRightInd w:val="0"/>
        <w:rPr>
          <w:rFonts w:ascii="Calibri" w:hAnsi="Calibri" w:cs="Calibri"/>
          <w:b/>
          <w:iCs/>
          <w:sz w:val="24"/>
        </w:rPr>
      </w:pPr>
    </w:p>
    <w:p w:rsidR="00763F78" w:rsidRPr="004D1B1B" w:rsidRDefault="00763F78" w:rsidP="00763F78">
      <w:pPr>
        <w:autoSpaceDE w:val="0"/>
        <w:autoSpaceDN w:val="0"/>
        <w:adjustRightInd w:val="0"/>
        <w:rPr>
          <w:rFonts w:ascii="Calibri" w:hAnsi="Calibri" w:cs="Calibri"/>
          <w:b/>
          <w:iCs/>
          <w:sz w:val="24"/>
        </w:rPr>
      </w:pPr>
      <w:r w:rsidRPr="004D1B1B">
        <w:rPr>
          <w:rFonts w:ascii="Calibri" w:hAnsi="Calibri" w:cs="Calibri"/>
          <w:b/>
          <w:iCs/>
          <w:sz w:val="24"/>
        </w:rPr>
        <w:t>TERÉNNE A SADOVÉ ÚPRAVY</w:t>
      </w:r>
      <w:bookmarkStart w:id="178" w:name="_Toc393700984"/>
    </w:p>
    <w:p w:rsidR="00763F78" w:rsidRPr="004D1B1B" w:rsidRDefault="00763F78" w:rsidP="00763F78">
      <w:pPr>
        <w:autoSpaceDE w:val="0"/>
        <w:autoSpaceDN w:val="0"/>
        <w:adjustRightInd w:val="0"/>
        <w:rPr>
          <w:rFonts w:ascii="Calibri" w:hAnsi="Calibri" w:cs="Calibri"/>
          <w:b/>
          <w:iCs/>
          <w:sz w:val="24"/>
        </w:rPr>
      </w:pPr>
    </w:p>
    <w:p w:rsidR="004D1B1B" w:rsidRPr="004D1B1B" w:rsidRDefault="004D1B1B" w:rsidP="004D1B1B">
      <w:pPr>
        <w:pStyle w:val="Nadpis2"/>
        <w:numPr>
          <w:ilvl w:val="0"/>
          <w:numId w:val="0"/>
        </w:numPr>
        <w:ind w:left="397" w:hanging="397"/>
        <w:rPr>
          <w:rFonts w:asciiTheme="majorHAnsi" w:hAnsiTheme="majorHAnsi" w:cstheme="majorHAnsi"/>
          <w:color w:val="000000" w:themeColor="text1"/>
        </w:rPr>
      </w:pPr>
      <w:bookmarkStart w:id="179" w:name="_Toc18486336"/>
      <w:bookmarkEnd w:id="178"/>
      <w:r w:rsidRPr="004D1B1B">
        <w:rPr>
          <w:rFonts w:asciiTheme="majorHAnsi" w:hAnsiTheme="majorHAnsi" w:cstheme="majorHAnsi"/>
          <w:color w:val="000000" w:themeColor="text1"/>
        </w:rPr>
        <w:t>Rozdelenie areálu vinárstva na funkčné celky</w:t>
      </w:r>
      <w:bookmarkEnd w:id="179"/>
    </w:p>
    <w:p w:rsidR="004D1B1B" w:rsidRPr="004D1B1B" w:rsidRDefault="004D1B1B" w:rsidP="004D1B1B">
      <w:pPr>
        <w:rPr>
          <w:rFonts w:asciiTheme="majorHAnsi" w:hAnsiTheme="majorHAnsi" w:cstheme="majorHAnsi"/>
        </w:rPr>
      </w:pPr>
    </w:p>
    <w:p w:rsidR="004D1B1B" w:rsidRPr="004D1B1B" w:rsidRDefault="004D1B1B" w:rsidP="004D1B1B">
      <w:pPr>
        <w:ind w:firstLine="708"/>
        <w:rPr>
          <w:rFonts w:asciiTheme="majorHAnsi" w:hAnsiTheme="majorHAnsi" w:cstheme="majorHAnsi"/>
          <w:sz w:val="18"/>
        </w:rPr>
      </w:pPr>
      <w:r w:rsidRPr="004D1B1B">
        <w:rPr>
          <w:rFonts w:asciiTheme="majorHAnsi" w:hAnsiTheme="majorHAnsi" w:cstheme="majorHAnsi"/>
          <w:sz w:val="18"/>
        </w:rPr>
        <w:t>Navrhovaný vinohradnícky areál je situovaný v extraviláne obce Strekov, a svojou funkciou a formou zapadá do prirodzeného prostredia vinohradníckeho regiónu. Rovnako navrhované krajinárske úpravy vytvorené v areály rešpektujú krajinársky ráz a zároveň predstavujú krajinársky upravené plochy vychádzajúce z naturelu prostredia. Výber drevín  navrhnutých pre jednotlivé časti vychádza z prirodzenej vegetácie danej lokality a sleduje autorské zámery spolupráce architektov a krajinných architektov.</w:t>
      </w:r>
    </w:p>
    <w:p w:rsidR="004D1B1B" w:rsidRPr="004D1B1B" w:rsidRDefault="004D1B1B" w:rsidP="004D1B1B">
      <w:pPr>
        <w:rPr>
          <w:rFonts w:asciiTheme="majorHAnsi" w:hAnsiTheme="majorHAnsi" w:cstheme="majorHAnsi"/>
          <w:sz w:val="18"/>
        </w:rPr>
      </w:pPr>
      <w:r w:rsidRPr="004D1B1B">
        <w:rPr>
          <w:rFonts w:asciiTheme="majorHAnsi" w:hAnsiTheme="majorHAnsi" w:cstheme="majorHAnsi"/>
          <w:sz w:val="18"/>
        </w:rPr>
        <w:t xml:space="preserve"> </w:t>
      </w:r>
      <w:r w:rsidRPr="004D1B1B">
        <w:rPr>
          <w:rFonts w:asciiTheme="majorHAnsi" w:hAnsiTheme="majorHAnsi" w:cstheme="majorHAnsi"/>
          <w:sz w:val="18"/>
        </w:rPr>
        <w:tab/>
        <w:t>Jednotlivé pobytové plochy sú v priamej nadväznosti na objekty a tak vytvárajú zosúladenie vonkajšieho i vnútorného obytného priestoru, dopĺňajú architektúru vinohradníckych objektov, zároveň vytvoria priestor pre pobyt zamestnancov i návštevníkov areálu. Funkčne ich možno  rozdeliť na pobytové dvory, záhrady, uličná zeleň  a zeleň ako súčasť fasády objektu veže.</w:t>
      </w:r>
    </w:p>
    <w:p w:rsidR="004D1B1B" w:rsidRPr="004D1B1B" w:rsidRDefault="004D1B1B" w:rsidP="004D1B1B">
      <w:pPr>
        <w:rPr>
          <w:rFonts w:asciiTheme="majorHAnsi" w:hAnsiTheme="majorHAnsi" w:cstheme="majorHAnsi"/>
          <w:sz w:val="18"/>
        </w:rPr>
      </w:pPr>
    </w:p>
    <w:p w:rsidR="004D1B1B" w:rsidRPr="004D1B1B" w:rsidRDefault="004D1B1B" w:rsidP="004D1B1B">
      <w:pPr>
        <w:rPr>
          <w:rFonts w:asciiTheme="majorHAnsi" w:hAnsiTheme="majorHAnsi" w:cstheme="majorHAnsi"/>
          <w:b/>
          <w:color w:val="000000" w:themeColor="text1"/>
        </w:rPr>
      </w:pPr>
      <w:r w:rsidRPr="004D1B1B">
        <w:rPr>
          <w:rFonts w:asciiTheme="majorHAnsi" w:hAnsiTheme="majorHAnsi" w:cstheme="majorHAnsi"/>
          <w:b/>
          <w:color w:val="000000" w:themeColor="text1"/>
        </w:rPr>
        <w:t>Jednotlivé dvory:</w:t>
      </w:r>
    </w:p>
    <w:p w:rsidR="004D1B1B" w:rsidRPr="004D1B1B" w:rsidRDefault="004D1B1B" w:rsidP="004D1B1B">
      <w:pPr>
        <w:rPr>
          <w:rFonts w:asciiTheme="majorHAnsi" w:hAnsiTheme="majorHAnsi" w:cstheme="majorHAnsi"/>
          <w:sz w:val="18"/>
        </w:rPr>
      </w:pPr>
      <w:r w:rsidRPr="004D1B1B">
        <w:rPr>
          <w:rFonts w:asciiTheme="majorHAnsi" w:hAnsiTheme="majorHAnsi" w:cstheme="majorHAnsi"/>
          <w:sz w:val="18"/>
        </w:rPr>
        <w:t>Dubový dvor</w:t>
      </w:r>
    </w:p>
    <w:p w:rsidR="004D1B1B" w:rsidRPr="004D1B1B" w:rsidRDefault="004D1B1B" w:rsidP="004D1B1B">
      <w:pPr>
        <w:rPr>
          <w:rFonts w:asciiTheme="majorHAnsi" w:hAnsiTheme="majorHAnsi" w:cstheme="majorHAnsi"/>
          <w:sz w:val="18"/>
        </w:rPr>
      </w:pPr>
      <w:r w:rsidRPr="004D1B1B">
        <w:rPr>
          <w:rFonts w:asciiTheme="majorHAnsi" w:hAnsiTheme="majorHAnsi" w:cstheme="majorHAnsi"/>
          <w:sz w:val="18"/>
        </w:rPr>
        <w:t>Hospodársky dvor</w:t>
      </w:r>
    </w:p>
    <w:p w:rsidR="004D1B1B" w:rsidRPr="004D1B1B" w:rsidRDefault="004D1B1B" w:rsidP="004D1B1B">
      <w:pPr>
        <w:rPr>
          <w:rFonts w:asciiTheme="majorHAnsi" w:hAnsiTheme="majorHAnsi" w:cstheme="majorHAnsi"/>
          <w:sz w:val="18"/>
        </w:rPr>
      </w:pPr>
      <w:r w:rsidRPr="004D1B1B">
        <w:rPr>
          <w:rFonts w:asciiTheme="majorHAnsi" w:hAnsiTheme="majorHAnsi" w:cstheme="majorHAnsi"/>
          <w:sz w:val="18"/>
        </w:rPr>
        <w:t>Jaseňové stromoradie</w:t>
      </w:r>
    </w:p>
    <w:p w:rsidR="004D1B1B" w:rsidRPr="004D1B1B" w:rsidRDefault="004D1B1B" w:rsidP="004D1B1B">
      <w:pPr>
        <w:rPr>
          <w:rFonts w:asciiTheme="majorHAnsi" w:hAnsiTheme="majorHAnsi" w:cstheme="majorHAnsi"/>
          <w:b/>
        </w:rPr>
      </w:pPr>
      <w:r w:rsidRPr="004D1B1B">
        <w:rPr>
          <w:rFonts w:asciiTheme="majorHAnsi" w:hAnsiTheme="majorHAnsi" w:cstheme="majorHAnsi"/>
          <w:b/>
        </w:rPr>
        <w:t>Krajinársky  upravené záhrady:</w:t>
      </w:r>
    </w:p>
    <w:p w:rsidR="004D1B1B" w:rsidRPr="004D1B1B" w:rsidRDefault="004D1B1B" w:rsidP="004D1B1B">
      <w:pPr>
        <w:rPr>
          <w:rFonts w:asciiTheme="majorHAnsi" w:hAnsiTheme="majorHAnsi" w:cstheme="majorHAnsi"/>
          <w:sz w:val="18"/>
        </w:rPr>
      </w:pPr>
      <w:r w:rsidRPr="004D1B1B">
        <w:rPr>
          <w:rFonts w:asciiTheme="majorHAnsi" w:hAnsiTheme="majorHAnsi" w:cstheme="majorHAnsi"/>
          <w:sz w:val="18"/>
        </w:rPr>
        <w:t>Trávobylinné kvitnúce plochy</w:t>
      </w:r>
    </w:p>
    <w:p w:rsidR="004D1B1B" w:rsidRPr="004D1B1B" w:rsidRDefault="004D1B1B" w:rsidP="004D1B1B">
      <w:pPr>
        <w:rPr>
          <w:rFonts w:asciiTheme="majorHAnsi" w:hAnsiTheme="majorHAnsi" w:cstheme="majorHAnsi"/>
          <w:sz w:val="18"/>
        </w:rPr>
      </w:pPr>
      <w:r w:rsidRPr="004D1B1B">
        <w:rPr>
          <w:rFonts w:asciiTheme="majorHAnsi" w:hAnsiTheme="majorHAnsi" w:cstheme="majorHAnsi"/>
          <w:sz w:val="18"/>
        </w:rPr>
        <w:t xml:space="preserve">Obvodový plášť vyhliadkovej veže doplnený popínavými rastlinami </w:t>
      </w:r>
    </w:p>
    <w:p w:rsidR="004D1B1B" w:rsidRPr="004D1B1B" w:rsidRDefault="004D1B1B" w:rsidP="004D1B1B">
      <w:pPr>
        <w:rPr>
          <w:rFonts w:asciiTheme="majorHAnsi" w:hAnsiTheme="majorHAnsi" w:cstheme="majorHAnsi"/>
          <w:sz w:val="18"/>
        </w:rPr>
      </w:pPr>
      <w:r w:rsidRPr="004D1B1B">
        <w:rPr>
          <w:rFonts w:asciiTheme="majorHAnsi" w:hAnsiTheme="majorHAnsi" w:cstheme="majorHAnsi"/>
          <w:sz w:val="18"/>
        </w:rPr>
        <w:t>Pochôdzna vegetačná strecha s trávno-lúčnou výsadbou</w:t>
      </w:r>
    </w:p>
    <w:p w:rsidR="004D1B1B" w:rsidRPr="004D1B1B" w:rsidRDefault="004D1B1B" w:rsidP="00165ED7">
      <w:pPr>
        <w:pStyle w:val="Nadpis1"/>
      </w:pPr>
      <w:bookmarkStart w:id="180" w:name="_Toc18486337"/>
      <w:r w:rsidRPr="004D1B1B">
        <w:t>SADOVÉ A TERÉNNE ÚPRAVY</w:t>
      </w:r>
      <w:bookmarkEnd w:id="180"/>
    </w:p>
    <w:p w:rsidR="004D1B1B" w:rsidRPr="004D1B1B" w:rsidRDefault="004D1B1B" w:rsidP="004D1B1B">
      <w:pPr>
        <w:pStyle w:val="Nadpis2"/>
        <w:numPr>
          <w:ilvl w:val="0"/>
          <w:numId w:val="0"/>
        </w:numPr>
        <w:ind w:left="397" w:hanging="397"/>
        <w:rPr>
          <w:rFonts w:asciiTheme="majorHAnsi" w:hAnsiTheme="majorHAnsi" w:cstheme="majorHAnsi"/>
          <w:color w:val="000000" w:themeColor="text1"/>
        </w:rPr>
      </w:pPr>
      <w:bookmarkStart w:id="181" w:name="_Toc18486338"/>
      <w:r w:rsidRPr="004D1B1B">
        <w:rPr>
          <w:rFonts w:asciiTheme="majorHAnsi" w:hAnsiTheme="majorHAnsi" w:cstheme="majorHAnsi"/>
          <w:color w:val="000000" w:themeColor="text1"/>
        </w:rPr>
        <w:t>Navrhované vegetačné plochy:</w:t>
      </w:r>
      <w:bookmarkEnd w:id="181"/>
    </w:p>
    <w:p w:rsidR="004D1B1B" w:rsidRPr="004D1B1B" w:rsidRDefault="004D1B1B" w:rsidP="004D1B1B">
      <w:pPr>
        <w:rPr>
          <w:rFonts w:asciiTheme="majorHAnsi" w:hAnsiTheme="majorHAnsi" w:cstheme="majorHAnsi"/>
          <w:sz w:val="18"/>
        </w:rPr>
      </w:pPr>
    </w:p>
    <w:p w:rsidR="004D1B1B" w:rsidRPr="004D1B1B" w:rsidRDefault="004D1B1B" w:rsidP="004D1B1B">
      <w:pPr>
        <w:ind w:firstLine="708"/>
        <w:rPr>
          <w:rFonts w:asciiTheme="majorHAnsi" w:hAnsiTheme="majorHAnsi" w:cstheme="majorHAnsi"/>
          <w:b/>
          <w:bCs/>
          <w:sz w:val="18"/>
        </w:rPr>
      </w:pPr>
      <w:r w:rsidRPr="004D1B1B">
        <w:rPr>
          <w:rFonts w:asciiTheme="majorHAnsi" w:hAnsiTheme="majorHAnsi" w:cstheme="majorHAnsi"/>
          <w:sz w:val="18"/>
        </w:rPr>
        <w:t xml:space="preserve">Krajinárske úpravy v areály zahŕňajú výsadbu stromov, ovocných  krov, popínavých rastlín doplňujúcich obvodový plášť vyhliadkovej veže a výsadbu trvaliek s ozdobnými trávami, pričom druhová skladba vychádza zo stanovištných podmienok. Terénne úpravy počítajú len s dorovnanám terénu po osadení stavieb a niveláciou s okolím. </w:t>
      </w:r>
    </w:p>
    <w:p w:rsidR="004D1B1B" w:rsidRPr="004D1B1B" w:rsidRDefault="004D1B1B" w:rsidP="004D1B1B">
      <w:pPr>
        <w:pStyle w:val="Nadpis2"/>
        <w:numPr>
          <w:ilvl w:val="0"/>
          <w:numId w:val="0"/>
        </w:numPr>
        <w:ind w:left="397" w:hanging="397"/>
        <w:rPr>
          <w:rFonts w:asciiTheme="majorHAnsi" w:hAnsiTheme="majorHAnsi" w:cstheme="majorHAnsi"/>
        </w:rPr>
      </w:pPr>
      <w:bookmarkStart w:id="182" w:name="_Toc18486339"/>
      <w:r w:rsidRPr="004D1B1B">
        <w:rPr>
          <w:rFonts w:asciiTheme="majorHAnsi" w:hAnsiTheme="majorHAnsi" w:cstheme="majorHAnsi"/>
        </w:rPr>
        <w:t>Kvetnatá lúka do sucha SLNOVRAT</w:t>
      </w:r>
      <w:bookmarkEnd w:id="182"/>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sz w:val="18"/>
        </w:rPr>
      </w:pPr>
      <w:r w:rsidRPr="004D1B1B">
        <w:rPr>
          <w:rFonts w:asciiTheme="majorHAnsi" w:hAnsiTheme="majorHAnsi" w:cstheme="majorHAnsi"/>
          <w:sz w:val="18"/>
        </w:rPr>
        <w:t>Obsahuje 41 rastlinných druhov. Ponúka úchvatný zážitok v krajine. Zmes dopovedá architektonický zámer a akcentuje areál vinárstva vo vzťahu k okoliu.</w:t>
      </w:r>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rPr>
      </w:pPr>
      <w:r w:rsidRPr="004D1B1B">
        <w:rPr>
          <w:rFonts w:asciiTheme="majorHAnsi" w:hAnsiTheme="majorHAnsi" w:cstheme="majorHAnsi"/>
          <w:noProof/>
        </w:rPr>
        <w:lastRenderedPageBreak/>
        <w:drawing>
          <wp:inline distT="0" distB="0" distL="0" distR="0" wp14:anchorId="240D0FE4" wp14:editId="5322FC35">
            <wp:extent cx="5732585" cy="3821723"/>
            <wp:effectExtent l="0" t="0" r="1905" b="7620"/>
            <wp:docPr id="7"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1173" cy="3834115"/>
                    </a:xfrm>
                    <a:prstGeom prst="rect">
                      <a:avLst/>
                    </a:prstGeom>
                    <a:noFill/>
                    <a:ln>
                      <a:noFill/>
                    </a:ln>
                  </pic:spPr>
                </pic:pic>
              </a:graphicData>
            </a:graphic>
          </wp:inline>
        </w:drawing>
      </w:r>
    </w:p>
    <w:p w:rsidR="004D1B1B" w:rsidRPr="004D1B1B" w:rsidRDefault="004D1B1B" w:rsidP="004D1B1B">
      <w:pPr>
        <w:rPr>
          <w:rFonts w:asciiTheme="majorHAnsi" w:hAnsiTheme="majorHAnsi" w:cstheme="majorHAnsi"/>
        </w:rPr>
      </w:pPr>
    </w:p>
    <w:p w:rsidR="004D1B1B" w:rsidRDefault="004D1B1B" w:rsidP="004D1B1B">
      <w:pPr>
        <w:rPr>
          <w:rFonts w:asciiTheme="majorHAnsi" w:hAnsiTheme="majorHAnsi" w:cstheme="majorHAnsi"/>
        </w:rPr>
      </w:pPr>
    </w:p>
    <w:tbl>
      <w:tblPr>
        <w:tblStyle w:val="Mriekatabuky"/>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620"/>
        <w:gridCol w:w="1319"/>
        <w:gridCol w:w="1630"/>
        <w:gridCol w:w="1703"/>
        <w:gridCol w:w="1680"/>
        <w:gridCol w:w="811"/>
        <w:gridCol w:w="1309"/>
      </w:tblGrid>
      <w:tr w:rsidR="004D1B1B" w:rsidRPr="004D1B1B" w:rsidTr="004D1B1B">
        <w:tc>
          <w:tcPr>
            <w:tcW w:w="620" w:type="dxa"/>
            <w:vAlign w:val="center"/>
          </w:tcPr>
          <w:p w:rsidR="004D1B1B" w:rsidRPr="004D1B1B" w:rsidRDefault="004D1B1B" w:rsidP="004D1B1B">
            <w:pPr>
              <w:rPr>
                <w:rFonts w:asciiTheme="majorHAnsi" w:hAnsiTheme="majorHAnsi" w:cstheme="majorHAnsi"/>
              </w:rPr>
            </w:pPr>
            <w:r w:rsidRPr="004D1B1B">
              <w:rPr>
                <w:rFonts w:asciiTheme="majorHAnsi" w:hAnsiTheme="majorHAnsi" w:cstheme="majorHAnsi"/>
              </w:rPr>
              <w:t>Ozn.</w:t>
            </w:r>
          </w:p>
        </w:tc>
        <w:tc>
          <w:tcPr>
            <w:tcW w:w="1319" w:type="dxa"/>
            <w:vAlign w:val="center"/>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Názov zmesí</w:t>
            </w:r>
          </w:p>
        </w:tc>
        <w:tc>
          <w:tcPr>
            <w:tcW w:w="1630" w:type="dxa"/>
            <w:vAlign w:val="center"/>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Trávy</w:t>
            </w:r>
          </w:p>
        </w:tc>
        <w:tc>
          <w:tcPr>
            <w:tcW w:w="1703" w:type="dxa"/>
            <w:vAlign w:val="center"/>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Byliny</w:t>
            </w:r>
          </w:p>
        </w:tc>
        <w:tc>
          <w:tcPr>
            <w:tcW w:w="1680" w:type="dxa"/>
            <w:vAlign w:val="center"/>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ďateliny</w:t>
            </w:r>
          </w:p>
        </w:tc>
        <w:tc>
          <w:tcPr>
            <w:tcW w:w="811" w:type="dxa"/>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Plocha</w:t>
            </w:r>
          </w:p>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[m</w:t>
            </w:r>
            <w:r w:rsidRPr="004D1B1B">
              <w:rPr>
                <w:rFonts w:asciiTheme="majorHAnsi" w:hAnsiTheme="majorHAnsi" w:cstheme="majorHAnsi"/>
                <w:vertAlign w:val="superscript"/>
              </w:rPr>
              <w:t>2</w:t>
            </w:r>
            <w:r w:rsidRPr="004D1B1B">
              <w:rPr>
                <w:rFonts w:asciiTheme="majorHAnsi" w:hAnsiTheme="majorHAnsi" w:cstheme="majorHAnsi"/>
              </w:rPr>
              <w:t>]</w:t>
            </w:r>
          </w:p>
        </w:tc>
        <w:tc>
          <w:tcPr>
            <w:tcW w:w="1309" w:type="dxa"/>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Doporučený výsev</w:t>
            </w:r>
          </w:p>
        </w:tc>
      </w:tr>
      <w:tr w:rsidR="004D1B1B" w:rsidRPr="004D1B1B" w:rsidTr="004D1B1B">
        <w:tc>
          <w:tcPr>
            <w:tcW w:w="620" w:type="dxa"/>
          </w:tcPr>
          <w:p w:rsidR="004D1B1B" w:rsidRPr="004D1B1B" w:rsidRDefault="004D1B1B" w:rsidP="004D1B1B">
            <w:pPr>
              <w:rPr>
                <w:rFonts w:asciiTheme="majorHAnsi" w:hAnsiTheme="majorHAnsi" w:cstheme="majorHAnsi"/>
              </w:rPr>
            </w:pPr>
          </w:p>
        </w:tc>
        <w:tc>
          <w:tcPr>
            <w:tcW w:w="1319" w:type="dxa"/>
          </w:tcPr>
          <w:p w:rsidR="004D1B1B" w:rsidRPr="004D1B1B" w:rsidRDefault="004D1B1B" w:rsidP="004D1B1B">
            <w:pPr>
              <w:rPr>
                <w:rFonts w:asciiTheme="majorHAnsi" w:hAnsiTheme="majorHAnsi" w:cstheme="majorHAnsi"/>
                <w:sz w:val="18"/>
                <w:szCs w:val="18"/>
              </w:rPr>
            </w:pPr>
            <w:r w:rsidRPr="004D1B1B">
              <w:rPr>
                <w:rFonts w:asciiTheme="majorHAnsi" w:hAnsiTheme="majorHAnsi" w:cstheme="majorHAnsi"/>
                <w:sz w:val="18"/>
                <w:szCs w:val="18"/>
              </w:rPr>
              <w:t>SLNOVRAT</w:t>
            </w:r>
          </w:p>
        </w:tc>
        <w:tc>
          <w:tcPr>
            <w:tcW w:w="1630" w:type="dxa"/>
          </w:tcPr>
          <w:p w:rsidR="004D1B1B" w:rsidRPr="004D1B1B" w:rsidRDefault="004D1B1B" w:rsidP="004D1B1B">
            <w:pPr>
              <w:rPr>
                <w:rFonts w:asciiTheme="majorHAnsi" w:hAnsiTheme="majorHAnsi" w:cstheme="majorHAnsi"/>
                <w:sz w:val="18"/>
                <w:szCs w:val="18"/>
              </w:rPr>
            </w:pPr>
            <w:r w:rsidRPr="004D1B1B">
              <w:rPr>
                <w:rFonts w:asciiTheme="majorHAnsi" w:hAnsiTheme="majorHAnsi" w:cstheme="majorHAnsi"/>
                <w:sz w:val="18"/>
                <w:szCs w:val="18"/>
              </w:rPr>
              <w:t xml:space="preserve">70%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Agrostis capillaris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Anthoxanthum odoratum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Festuca nigrescens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Festuca rubra commutata</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Festuca rubra rubra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Festuca rubra trichophylla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Festuca rupicola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Festuca trachyphylla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Koeleria macrantha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Koeleria pyramidata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Poa angustifolia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Poa compressa</w:t>
            </w:r>
          </w:p>
          <w:p w:rsidR="004D1B1B" w:rsidRPr="004D1B1B" w:rsidRDefault="004D1B1B" w:rsidP="004D1B1B">
            <w:pPr>
              <w:rPr>
                <w:rFonts w:asciiTheme="majorHAnsi" w:hAnsiTheme="majorHAnsi" w:cstheme="majorHAnsi"/>
                <w:sz w:val="16"/>
                <w:szCs w:val="16"/>
              </w:rPr>
            </w:pPr>
          </w:p>
        </w:tc>
        <w:tc>
          <w:tcPr>
            <w:tcW w:w="1703" w:type="dxa"/>
          </w:tcPr>
          <w:p w:rsidR="004D1B1B" w:rsidRPr="004D1B1B" w:rsidRDefault="004D1B1B" w:rsidP="004D1B1B">
            <w:pPr>
              <w:rPr>
                <w:rFonts w:asciiTheme="majorHAnsi" w:hAnsiTheme="majorHAnsi" w:cstheme="majorHAnsi"/>
                <w:sz w:val="18"/>
                <w:szCs w:val="18"/>
              </w:rPr>
            </w:pPr>
            <w:r w:rsidRPr="004D1B1B">
              <w:rPr>
                <w:rFonts w:asciiTheme="majorHAnsi" w:hAnsiTheme="majorHAnsi" w:cstheme="majorHAnsi"/>
                <w:sz w:val="18"/>
                <w:szCs w:val="18"/>
              </w:rPr>
              <w:t xml:space="preserve">28,2%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Agrimonia eupatoria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Agrimonia procera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Agrostemma githago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Anthemis tinctoria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Aster amellus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Berteroa incana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Centaurea cyanus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Centaurea jacea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Cerastium holosteoides</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Dianthus carthusianorum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Dianthus deltoides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Galium album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Galium verum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Gysophilla paniculata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Helianthemum grandiflorum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Hieracium sabaudum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Hypericum perforatum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Leontodon hispidus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Leucanthemum vulgare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Linum austriacum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Linum perenne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Lychnis coronaria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Lychnis viscaria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Malva moschata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Matricaria chammomilla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Origanum vulgare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Papaver rhoeas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Plantago media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lastRenderedPageBreak/>
              <w:t xml:space="preserve">Potentilla argentea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Potentilla recta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Prunella vulgaris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Pyrethrum parthenium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Sanguisorba minor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Silene nutans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Stachys recta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Thymus vulgaris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Veronica teucrium</w:t>
            </w:r>
          </w:p>
          <w:p w:rsidR="004D1B1B" w:rsidRPr="004D1B1B" w:rsidRDefault="004D1B1B" w:rsidP="004D1B1B">
            <w:pPr>
              <w:rPr>
                <w:rFonts w:asciiTheme="majorHAnsi" w:hAnsiTheme="majorHAnsi" w:cstheme="majorHAnsi"/>
                <w:sz w:val="16"/>
                <w:szCs w:val="16"/>
              </w:rPr>
            </w:pPr>
          </w:p>
        </w:tc>
        <w:tc>
          <w:tcPr>
            <w:tcW w:w="1680" w:type="dxa"/>
          </w:tcPr>
          <w:p w:rsidR="004D1B1B" w:rsidRPr="004D1B1B" w:rsidRDefault="004D1B1B" w:rsidP="004D1B1B">
            <w:pPr>
              <w:rPr>
                <w:rFonts w:asciiTheme="majorHAnsi" w:hAnsiTheme="majorHAnsi" w:cstheme="majorHAnsi"/>
                <w:sz w:val="18"/>
                <w:szCs w:val="18"/>
              </w:rPr>
            </w:pPr>
            <w:r w:rsidRPr="004D1B1B">
              <w:rPr>
                <w:rFonts w:asciiTheme="majorHAnsi" w:hAnsiTheme="majorHAnsi" w:cstheme="majorHAnsi"/>
                <w:sz w:val="18"/>
                <w:szCs w:val="18"/>
              </w:rPr>
              <w:lastRenderedPageBreak/>
              <w:t xml:space="preserve">1,8%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Anthyllis vulneraria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Lotus corniculatus</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Medicago lupulina</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Securigera varia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Vicia villosa</w:t>
            </w:r>
          </w:p>
          <w:p w:rsidR="004D1B1B" w:rsidRPr="004D1B1B" w:rsidRDefault="004D1B1B" w:rsidP="004D1B1B">
            <w:pPr>
              <w:rPr>
                <w:rFonts w:asciiTheme="majorHAnsi" w:hAnsiTheme="majorHAnsi" w:cstheme="majorHAnsi"/>
                <w:sz w:val="16"/>
                <w:szCs w:val="16"/>
              </w:rPr>
            </w:pPr>
          </w:p>
        </w:tc>
        <w:tc>
          <w:tcPr>
            <w:tcW w:w="811" w:type="dxa"/>
          </w:tcPr>
          <w:p w:rsidR="004D1B1B" w:rsidRPr="004D1B1B" w:rsidRDefault="004D1B1B" w:rsidP="004D1B1B">
            <w:pPr>
              <w:jc w:val="center"/>
              <w:rPr>
                <w:rFonts w:asciiTheme="majorHAnsi" w:hAnsiTheme="majorHAnsi" w:cstheme="majorHAnsi"/>
                <w:sz w:val="18"/>
                <w:szCs w:val="18"/>
              </w:rPr>
            </w:pPr>
            <w:r w:rsidRPr="004D1B1B">
              <w:rPr>
                <w:rFonts w:asciiTheme="majorHAnsi" w:hAnsiTheme="majorHAnsi" w:cstheme="majorHAnsi"/>
                <w:sz w:val="18"/>
                <w:szCs w:val="18"/>
              </w:rPr>
              <w:t>427,6</w:t>
            </w:r>
          </w:p>
        </w:tc>
        <w:tc>
          <w:tcPr>
            <w:tcW w:w="1309" w:type="dxa"/>
          </w:tcPr>
          <w:p w:rsidR="004D1B1B" w:rsidRPr="004D1B1B" w:rsidRDefault="004D1B1B" w:rsidP="004D1B1B">
            <w:pPr>
              <w:jc w:val="center"/>
              <w:rPr>
                <w:rFonts w:asciiTheme="majorHAnsi" w:hAnsiTheme="majorHAnsi" w:cstheme="majorHAnsi"/>
                <w:sz w:val="18"/>
                <w:szCs w:val="18"/>
              </w:rPr>
            </w:pPr>
            <w:r w:rsidRPr="004D1B1B">
              <w:rPr>
                <w:rFonts w:asciiTheme="majorHAnsi" w:hAnsiTheme="majorHAnsi" w:cstheme="majorHAnsi"/>
                <w:sz w:val="18"/>
                <w:szCs w:val="18"/>
              </w:rPr>
              <w:t>4–6 g/m2</w:t>
            </w:r>
          </w:p>
        </w:tc>
      </w:tr>
    </w:tbl>
    <w:p w:rsidR="004D1B1B" w:rsidRDefault="004D1B1B" w:rsidP="004D1B1B">
      <w:pPr>
        <w:pStyle w:val="Nadpis2"/>
        <w:numPr>
          <w:ilvl w:val="0"/>
          <w:numId w:val="0"/>
        </w:numPr>
        <w:ind w:left="397" w:hanging="397"/>
        <w:rPr>
          <w:rFonts w:asciiTheme="majorHAnsi" w:hAnsiTheme="majorHAnsi" w:cstheme="majorHAnsi"/>
        </w:rPr>
      </w:pPr>
      <w:bookmarkStart w:id="183" w:name="_Toc18486340"/>
      <w:r w:rsidRPr="004D1B1B">
        <w:rPr>
          <w:rFonts w:asciiTheme="majorHAnsi" w:hAnsiTheme="majorHAnsi" w:cstheme="majorHAnsi"/>
        </w:rPr>
        <w:t>Trávobylinná klasická lúka KLASIK</w:t>
      </w:r>
      <w:bookmarkEnd w:id="183"/>
    </w:p>
    <w:p w:rsidR="004D1B1B" w:rsidRPr="004D1B1B" w:rsidRDefault="004D1B1B" w:rsidP="004D1B1B">
      <w:pPr>
        <w:rPr>
          <w:lang w:val="cs-CZ"/>
        </w:rPr>
      </w:pPr>
    </w:p>
    <w:p w:rsidR="004D1B1B" w:rsidRDefault="004D1B1B" w:rsidP="004D1B1B">
      <w:pPr>
        <w:ind w:firstLine="708"/>
        <w:rPr>
          <w:rFonts w:asciiTheme="majorHAnsi" w:hAnsiTheme="majorHAnsi" w:cstheme="majorHAnsi"/>
          <w:sz w:val="18"/>
        </w:rPr>
      </w:pPr>
      <w:r w:rsidRPr="004D1B1B">
        <w:rPr>
          <w:rFonts w:asciiTheme="majorHAnsi" w:hAnsiTheme="majorHAnsi" w:cstheme="majorHAnsi"/>
          <w:sz w:val="18"/>
        </w:rPr>
        <w:t>Obsahuje 35 rastlinných druhov. Klasická lúka pre univerzálne použitie umožňuje obnoviť krjinný charakter po stavebných činnostiach a podporiť zachovanie biodiverzity. Tento typ výsadby adekvátne nadviaže na okolitú krajinu.</w:t>
      </w:r>
    </w:p>
    <w:p w:rsidR="004A2B2B" w:rsidRDefault="004A2B2B" w:rsidP="004D1B1B">
      <w:pPr>
        <w:ind w:firstLine="708"/>
        <w:rPr>
          <w:rFonts w:asciiTheme="majorHAnsi" w:hAnsiTheme="majorHAnsi" w:cstheme="majorHAnsi"/>
          <w:sz w:val="18"/>
        </w:rPr>
      </w:pPr>
    </w:p>
    <w:p w:rsidR="004D1B1B" w:rsidRDefault="004A2B2B" w:rsidP="004D1B1B">
      <w:pPr>
        <w:ind w:firstLine="708"/>
        <w:rPr>
          <w:rFonts w:asciiTheme="majorHAnsi" w:hAnsiTheme="majorHAnsi" w:cstheme="majorHAnsi"/>
          <w:sz w:val="18"/>
        </w:rPr>
      </w:pPr>
      <w:r w:rsidRPr="004D1B1B">
        <w:rPr>
          <w:rFonts w:asciiTheme="majorHAnsi" w:hAnsiTheme="majorHAnsi" w:cstheme="majorHAnsi"/>
          <w:noProof/>
        </w:rPr>
        <w:drawing>
          <wp:anchor distT="0" distB="0" distL="114300" distR="114300" simplePos="0" relativeHeight="251679744" behindDoc="0" locked="0" layoutInCell="1" allowOverlap="1" wp14:anchorId="75788D98" wp14:editId="1768CEA8">
            <wp:simplePos x="0" y="0"/>
            <wp:positionH relativeFrom="column">
              <wp:posOffset>2882</wp:posOffset>
            </wp:positionH>
            <wp:positionV relativeFrom="paragraph">
              <wp:posOffset>-2052</wp:posOffset>
            </wp:positionV>
            <wp:extent cx="5539154" cy="4154366"/>
            <wp:effectExtent l="0" t="0" r="4445" b="0"/>
            <wp:wrapNone/>
            <wp:docPr id="67"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43720" cy="4157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Default="004D1B1B" w:rsidP="004D1B1B">
      <w:pPr>
        <w:ind w:firstLine="708"/>
        <w:rPr>
          <w:rFonts w:asciiTheme="majorHAnsi" w:hAnsiTheme="majorHAnsi" w:cstheme="majorHAnsi"/>
          <w:sz w:val="18"/>
        </w:rPr>
      </w:pPr>
    </w:p>
    <w:p w:rsidR="004D1B1B" w:rsidRPr="004D1B1B" w:rsidRDefault="004D1B1B" w:rsidP="004D1B1B">
      <w:pPr>
        <w:ind w:firstLine="708"/>
        <w:rPr>
          <w:rFonts w:asciiTheme="majorHAnsi" w:hAnsiTheme="majorHAnsi" w:cstheme="majorHAnsi"/>
          <w:sz w:val="18"/>
        </w:rPr>
      </w:pPr>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rPr>
      </w:pPr>
    </w:p>
    <w:p w:rsidR="004D1B1B" w:rsidRPr="004D1B1B" w:rsidRDefault="004D1B1B" w:rsidP="004D1B1B">
      <w:pPr>
        <w:rPr>
          <w:rFonts w:asciiTheme="majorHAnsi" w:hAnsiTheme="majorHAnsi" w:cstheme="majorHAnsi"/>
        </w:rPr>
      </w:pPr>
    </w:p>
    <w:p w:rsidR="004D1B1B" w:rsidRPr="004D1B1B" w:rsidRDefault="004D1B1B" w:rsidP="004D1B1B">
      <w:pPr>
        <w:ind w:firstLine="576"/>
        <w:rPr>
          <w:rFonts w:asciiTheme="majorHAnsi" w:hAnsiTheme="majorHAnsi" w:cstheme="majorHAnsi"/>
          <w:color w:val="FF0000"/>
          <w:sz w:val="18"/>
        </w:rPr>
      </w:pPr>
    </w:p>
    <w:tbl>
      <w:tblPr>
        <w:tblStyle w:val="Mriekatabuky"/>
        <w:tblW w:w="0" w:type="auto"/>
        <w:tblBorders>
          <w:top w:val="none" w:sz="0" w:space="0" w:color="auto"/>
          <w:left w:val="none" w:sz="0" w:space="0" w:color="auto"/>
          <w:bottom w:val="none" w:sz="0" w:space="0" w:color="auto"/>
          <w:right w:val="none" w:sz="0" w:space="0" w:color="auto"/>
          <w:insideH w:val="single" w:sz="6" w:space="0" w:color="auto"/>
          <w:insideV w:val="none" w:sz="0" w:space="0" w:color="auto"/>
        </w:tblBorders>
        <w:tblLook w:val="04A0" w:firstRow="1" w:lastRow="0" w:firstColumn="1" w:lastColumn="0" w:noHBand="0" w:noVBand="1"/>
      </w:tblPr>
      <w:tblGrid>
        <w:gridCol w:w="620"/>
        <w:gridCol w:w="1274"/>
        <w:gridCol w:w="1644"/>
        <w:gridCol w:w="1713"/>
        <w:gridCol w:w="1701"/>
        <w:gridCol w:w="811"/>
        <w:gridCol w:w="1309"/>
      </w:tblGrid>
      <w:tr w:rsidR="004D1B1B" w:rsidRPr="004D1B1B" w:rsidTr="004D1B1B">
        <w:tc>
          <w:tcPr>
            <w:tcW w:w="615" w:type="dxa"/>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Ozn.</w:t>
            </w:r>
          </w:p>
        </w:tc>
        <w:tc>
          <w:tcPr>
            <w:tcW w:w="1427" w:type="dxa"/>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Názov zmesí</w:t>
            </w:r>
          </w:p>
        </w:tc>
        <w:tc>
          <w:tcPr>
            <w:tcW w:w="1779" w:type="dxa"/>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Trávy</w:t>
            </w:r>
          </w:p>
        </w:tc>
        <w:tc>
          <w:tcPr>
            <w:tcW w:w="1857" w:type="dxa"/>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Byliny</w:t>
            </w:r>
          </w:p>
        </w:tc>
        <w:tc>
          <w:tcPr>
            <w:tcW w:w="1909" w:type="dxa"/>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ďateliny</w:t>
            </w:r>
          </w:p>
        </w:tc>
        <w:tc>
          <w:tcPr>
            <w:tcW w:w="802" w:type="dxa"/>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Plocha</w:t>
            </w:r>
          </w:p>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[m</w:t>
            </w:r>
            <w:r w:rsidRPr="004D1B1B">
              <w:rPr>
                <w:rFonts w:asciiTheme="majorHAnsi" w:hAnsiTheme="majorHAnsi" w:cstheme="majorHAnsi"/>
                <w:vertAlign w:val="superscript"/>
              </w:rPr>
              <w:t>2</w:t>
            </w:r>
            <w:r w:rsidRPr="004D1B1B">
              <w:rPr>
                <w:rFonts w:asciiTheme="majorHAnsi" w:hAnsiTheme="majorHAnsi" w:cstheme="majorHAnsi"/>
              </w:rPr>
              <w:t>]</w:t>
            </w:r>
          </w:p>
        </w:tc>
        <w:tc>
          <w:tcPr>
            <w:tcW w:w="683" w:type="dxa"/>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rPr>
              <w:t>Doporučený výsev</w:t>
            </w:r>
          </w:p>
        </w:tc>
      </w:tr>
      <w:tr w:rsidR="004D1B1B" w:rsidRPr="004D1B1B" w:rsidTr="004D1B1B">
        <w:tc>
          <w:tcPr>
            <w:tcW w:w="615" w:type="dxa"/>
          </w:tcPr>
          <w:p w:rsidR="004D1B1B" w:rsidRPr="004D1B1B" w:rsidRDefault="004D1B1B" w:rsidP="004D1B1B">
            <w:pPr>
              <w:rPr>
                <w:rFonts w:asciiTheme="majorHAnsi" w:hAnsiTheme="majorHAnsi" w:cstheme="majorHAnsi"/>
                <w:sz w:val="18"/>
                <w:szCs w:val="18"/>
              </w:rPr>
            </w:pPr>
          </w:p>
        </w:tc>
        <w:tc>
          <w:tcPr>
            <w:tcW w:w="1427" w:type="dxa"/>
          </w:tcPr>
          <w:p w:rsidR="004D1B1B" w:rsidRPr="004D1B1B" w:rsidRDefault="004D1B1B" w:rsidP="004D1B1B">
            <w:pPr>
              <w:rPr>
                <w:rFonts w:asciiTheme="majorHAnsi" w:hAnsiTheme="majorHAnsi" w:cstheme="majorHAnsi"/>
                <w:sz w:val="18"/>
                <w:szCs w:val="18"/>
              </w:rPr>
            </w:pPr>
            <w:r w:rsidRPr="004D1B1B">
              <w:rPr>
                <w:rFonts w:asciiTheme="majorHAnsi" w:hAnsiTheme="majorHAnsi" w:cstheme="majorHAnsi"/>
                <w:sz w:val="18"/>
                <w:szCs w:val="18"/>
              </w:rPr>
              <w:t>KLASIK</w:t>
            </w:r>
          </w:p>
        </w:tc>
        <w:tc>
          <w:tcPr>
            <w:tcW w:w="1779" w:type="dxa"/>
          </w:tcPr>
          <w:p w:rsidR="004D1B1B" w:rsidRPr="004D1B1B" w:rsidRDefault="004D1B1B" w:rsidP="004D1B1B">
            <w:pPr>
              <w:rPr>
                <w:rFonts w:asciiTheme="majorHAnsi" w:hAnsiTheme="majorHAnsi" w:cstheme="majorHAnsi"/>
                <w:sz w:val="18"/>
                <w:szCs w:val="18"/>
              </w:rPr>
            </w:pPr>
            <w:r w:rsidRPr="004D1B1B">
              <w:rPr>
                <w:rFonts w:asciiTheme="majorHAnsi" w:hAnsiTheme="majorHAnsi" w:cstheme="majorHAnsi"/>
                <w:sz w:val="18"/>
                <w:szCs w:val="18"/>
              </w:rPr>
              <w:t xml:space="preserve">90%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Agrostis capillaris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Agrostis gigantea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Anthoxanthum odoratum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Bromus inermis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Cynosurus cristatus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Deschampsia caespitosa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Festuca rubra commutata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Festuca rubra rubra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Festuca rubra trichophylla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lastRenderedPageBreak/>
              <w:t xml:space="preserve">Festuca trachyphylla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Lolium perenne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Poa pratensis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Trisetum flavescens</w:t>
            </w:r>
          </w:p>
          <w:p w:rsidR="004D1B1B" w:rsidRPr="004D1B1B" w:rsidRDefault="004D1B1B" w:rsidP="004D1B1B">
            <w:pPr>
              <w:rPr>
                <w:rFonts w:asciiTheme="majorHAnsi" w:hAnsiTheme="majorHAnsi" w:cstheme="majorHAnsi"/>
                <w:sz w:val="16"/>
                <w:szCs w:val="16"/>
              </w:rPr>
            </w:pPr>
          </w:p>
        </w:tc>
        <w:tc>
          <w:tcPr>
            <w:tcW w:w="1857" w:type="dxa"/>
          </w:tcPr>
          <w:p w:rsidR="004D1B1B" w:rsidRPr="004D1B1B" w:rsidRDefault="004D1B1B" w:rsidP="004D1B1B">
            <w:pPr>
              <w:rPr>
                <w:rFonts w:asciiTheme="majorHAnsi" w:hAnsiTheme="majorHAnsi" w:cstheme="majorHAnsi"/>
                <w:sz w:val="18"/>
                <w:szCs w:val="18"/>
              </w:rPr>
            </w:pPr>
            <w:r w:rsidRPr="004D1B1B">
              <w:rPr>
                <w:rFonts w:asciiTheme="majorHAnsi" w:hAnsiTheme="majorHAnsi" w:cstheme="majorHAnsi"/>
                <w:sz w:val="18"/>
                <w:szCs w:val="18"/>
              </w:rPr>
              <w:lastRenderedPageBreak/>
              <w:t xml:space="preserve">6,3%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Agrimonia eupatoria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Agrostemma githago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Achillea millefolium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Anthemis tinctoria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Carum carvi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Centaurea jacea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Daucus carota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Echium vulgare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Galium album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Hypericum perforatum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Leontodon hispidus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Leucanthemum vulgare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lastRenderedPageBreak/>
              <w:t xml:space="preserve">Malva moschata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Matricaria chamomilla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Origanum vulgare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Papaver rhoeas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Plantago lanceolata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Salvia pratensis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Sanguisorba minor </w:t>
            </w:r>
          </w:p>
          <w:p w:rsid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Silene dioica</w:t>
            </w:r>
          </w:p>
          <w:p w:rsidR="004A2B2B" w:rsidRPr="004D1B1B" w:rsidRDefault="004A2B2B" w:rsidP="004D1B1B">
            <w:pPr>
              <w:rPr>
                <w:rFonts w:asciiTheme="majorHAnsi" w:hAnsiTheme="majorHAnsi" w:cstheme="majorHAnsi"/>
                <w:sz w:val="16"/>
                <w:szCs w:val="16"/>
              </w:rPr>
            </w:pPr>
          </w:p>
        </w:tc>
        <w:tc>
          <w:tcPr>
            <w:tcW w:w="1909" w:type="dxa"/>
          </w:tcPr>
          <w:p w:rsidR="004D1B1B" w:rsidRPr="004D1B1B" w:rsidRDefault="004D1B1B" w:rsidP="004D1B1B">
            <w:pPr>
              <w:spacing w:line="276" w:lineRule="auto"/>
              <w:rPr>
                <w:rFonts w:asciiTheme="majorHAnsi" w:hAnsiTheme="majorHAnsi" w:cstheme="majorHAnsi"/>
                <w:sz w:val="18"/>
                <w:szCs w:val="18"/>
              </w:rPr>
            </w:pPr>
            <w:r w:rsidRPr="004D1B1B">
              <w:rPr>
                <w:rFonts w:asciiTheme="majorHAnsi" w:hAnsiTheme="majorHAnsi" w:cstheme="majorHAnsi"/>
                <w:sz w:val="18"/>
                <w:szCs w:val="18"/>
              </w:rPr>
              <w:lastRenderedPageBreak/>
              <w:t xml:space="preserve">3,7%,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Anthyllis vulneraria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Lotus corniculatus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Medicago lupulina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Onobrychis vicifolia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 xml:space="preserve">Trifolium incarnatum </w:t>
            </w:r>
          </w:p>
          <w:p w:rsidR="004D1B1B" w:rsidRPr="004D1B1B" w:rsidRDefault="004D1B1B" w:rsidP="004D1B1B">
            <w:pPr>
              <w:rPr>
                <w:rFonts w:asciiTheme="majorHAnsi" w:hAnsiTheme="majorHAnsi" w:cstheme="majorHAnsi"/>
                <w:sz w:val="16"/>
                <w:szCs w:val="16"/>
              </w:rPr>
            </w:pPr>
            <w:r w:rsidRPr="004D1B1B">
              <w:rPr>
                <w:rFonts w:asciiTheme="majorHAnsi" w:hAnsiTheme="majorHAnsi" w:cstheme="majorHAnsi"/>
                <w:sz w:val="16"/>
                <w:szCs w:val="16"/>
              </w:rPr>
              <w:t>Vicia villosa</w:t>
            </w:r>
          </w:p>
          <w:p w:rsidR="004D1B1B" w:rsidRPr="004D1B1B" w:rsidRDefault="004D1B1B" w:rsidP="004D1B1B">
            <w:pPr>
              <w:rPr>
                <w:rFonts w:asciiTheme="majorHAnsi" w:hAnsiTheme="majorHAnsi" w:cstheme="majorHAnsi"/>
                <w:sz w:val="16"/>
                <w:szCs w:val="16"/>
              </w:rPr>
            </w:pPr>
          </w:p>
        </w:tc>
        <w:tc>
          <w:tcPr>
            <w:tcW w:w="802" w:type="dxa"/>
          </w:tcPr>
          <w:p w:rsidR="004D1B1B" w:rsidRPr="004D1B1B" w:rsidRDefault="004D1B1B" w:rsidP="004D1B1B">
            <w:pPr>
              <w:jc w:val="center"/>
              <w:rPr>
                <w:rFonts w:asciiTheme="majorHAnsi" w:hAnsiTheme="majorHAnsi" w:cstheme="majorHAnsi"/>
                <w:sz w:val="18"/>
                <w:szCs w:val="18"/>
              </w:rPr>
            </w:pPr>
            <w:r w:rsidRPr="004D1B1B">
              <w:rPr>
                <w:rFonts w:asciiTheme="majorHAnsi" w:hAnsiTheme="majorHAnsi" w:cstheme="majorHAnsi"/>
                <w:sz w:val="18"/>
                <w:szCs w:val="18"/>
              </w:rPr>
              <w:t>744</w:t>
            </w:r>
          </w:p>
        </w:tc>
        <w:tc>
          <w:tcPr>
            <w:tcW w:w="683" w:type="dxa"/>
          </w:tcPr>
          <w:p w:rsidR="004D1B1B" w:rsidRPr="004D1B1B" w:rsidRDefault="004D1B1B" w:rsidP="004D1B1B">
            <w:pPr>
              <w:jc w:val="center"/>
              <w:rPr>
                <w:rFonts w:asciiTheme="majorHAnsi" w:hAnsiTheme="majorHAnsi" w:cstheme="majorHAnsi"/>
                <w:sz w:val="18"/>
                <w:szCs w:val="18"/>
              </w:rPr>
            </w:pPr>
            <w:r w:rsidRPr="004D1B1B">
              <w:rPr>
                <w:rFonts w:asciiTheme="majorHAnsi" w:hAnsiTheme="majorHAnsi" w:cstheme="majorHAnsi"/>
                <w:sz w:val="18"/>
                <w:szCs w:val="18"/>
              </w:rPr>
              <w:t>5–8 g/m2</w:t>
            </w:r>
          </w:p>
        </w:tc>
      </w:tr>
    </w:tbl>
    <w:p w:rsidR="004D1B1B" w:rsidRPr="004D1B1B" w:rsidRDefault="004D1B1B" w:rsidP="004A2B2B">
      <w:pPr>
        <w:pStyle w:val="Nadpis2"/>
        <w:numPr>
          <w:ilvl w:val="0"/>
          <w:numId w:val="0"/>
        </w:numPr>
        <w:rPr>
          <w:rFonts w:asciiTheme="majorHAnsi" w:hAnsiTheme="majorHAnsi" w:cstheme="majorHAnsi"/>
        </w:rPr>
      </w:pPr>
      <w:bookmarkStart w:id="184" w:name="_Toc18486341"/>
      <w:r w:rsidRPr="004D1B1B">
        <w:rPr>
          <w:rFonts w:asciiTheme="majorHAnsi" w:hAnsiTheme="majorHAnsi" w:cstheme="majorHAnsi"/>
        </w:rPr>
        <w:t>Stromy a kry</w:t>
      </w:r>
      <w:bookmarkEnd w:id="184"/>
    </w:p>
    <w:p w:rsidR="004D1B1B" w:rsidRPr="004D1B1B" w:rsidRDefault="004D1B1B" w:rsidP="004D1B1B">
      <w:pPr>
        <w:rPr>
          <w:rFonts w:asciiTheme="majorHAnsi" w:hAnsiTheme="majorHAnsi" w:cstheme="majorHAnsi"/>
        </w:rPr>
      </w:pPr>
    </w:p>
    <w:p w:rsidR="004D1B1B" w:rsidRPr="004D1B1B" w:rsidRDefault="004D1B1B" w:rsidP="004D1B1B">
      <w:pPr>
        <w:ind w:firstLine="708"/>
        <w:rPr>
          <w:rFonts w:asciiTheme="majorHAnsi" w:hAnsiTheme="majorHAnsi" w:cstheme="majorHAnsi"/>
          <w:sz w:val="18"/>
          <w:szCs w:val="18"/>
        </w:rPr>
      </w:pPr>
      <w:r w:rsidRPr="004D1B1B">
        <w:rPr>
          <w:rFonts w:asciiTheme="majorHAnsi" w:hAnsiTheme="majorHAnsi" w:cstheme="majorHAnsi"/>
          <w:sz w:val="18"/>
          <w:szCs w:val="18"/>
        </w:rPr>
        <w:t xml:space="preserve">Navrhovaná vegetácia pre areál vinárstva vychádza z typickej druhovej skladby danej lokality. Výsadba stromov v zastúpení rodov </w:t>
      </w:r>
      <w:r w:rsidRPr="004D1B1B">
        <w:rPr>
          <w:rFonts w:asciiTheme="majorHAnsi" w:hAnsiTheme="majorHAnsi" w:cstheme="majorHAnsi"/>
          <w:i/>
          <w:iCs/>
          <w:sz w:val="18"/>
          <w:szCs w:val="18"/>
        </w:rPr>
        <w:t>Fraxinus, Acer, Prunus, Betula</w:t>
      </w:r>
      <w:r w:rsidRPr="004D1B1B">
        <w:rPr>
          <w:rFonts w:asciiTheme="majorHAnsi" w:hAnsiTheme="majorHAnsi" w:cstheme="majorHAnsi"/>
          <w:sz w:val="18"/>
          <w:szCs w:val="18"/>
        </w:rPr>
        <w:t>, a </w:t>
      </w:r>
      <w:r w:rsidRPr="004D1B1B">
        <w:rPr>
          <w:rFonts w:asciiTheme="majorHAnsi" w:hAnsiTheme="majorHAnsi" w:cstheme="majorHAnsi"/>
          <w:i/>
          <w:iCs/>
          <w:sz w:val="18"/>
          <w:szCs w:val="18"/>
        </w:rPr>
        <w:t>Quercus</w:t>
      </w:r>
      <w:r w:rsidRPr="004D1B1B">
        <w:rPr>
          <w:rFonts w:asciiTheme="majorHAnsi" w:hAnsiTheme="majorHAnsi" w:cstheme="majorHAnsi"/>
          <w:sz w:val="18"/>
          <w:szCs w:val="18"/>
        </w:rPr>
        <w:t xml:space="preserve">, spolu s výsadbou krov </w:t>
      </w:r>
      <w:r w:rsidRPr="004D1B1B">
        <w:rPr>
          <w:rFonts w:asciiTheme="majorHAnsi" w:hAnsiTheme="majorHAnsi" w:cstheme="majorHAnsi"/>
          <w:i/>
          <w:iCs/>
          <w:sz w:val="18"/>
          <w:szCs w:val="18"/>
        </w:rPr>
        <w:t>Amelanchier, Sambucus</w:t>
      </w:r>
      <w:r w:rsidRPr="004D1B1B">
        <w:rPr>
          <w:rFonts w:asciiTheme="majorHAnsi" w:hAnsiTheme="majorHAnsi" w:cstheme="majorHAnsi"/>
          <w:sz w:val="18"/>
          <w:szCs w:val="18"/>
        </w:rPr>
        <w:t xml:space="preserve">, </w:t>
      </w:r>
      <w:r w:rsidRPr="004D1B1B">
        <w:rPr>
          <w:rFonts w:asciiTheme="majorHAnsi" w:hAnsiTheme="majorHAnsi" w:cstheme="majorHAnsi"/>
          <w:i/>
          <w:iCs/>
          <w:sz w:val="18"/>
          <w:szCs w:val="18"/>
        </w:rPr>
        <w:t>Syringa</w:t>
      </w:r>
      <w:r w:rsidRPr="004D1B1B">
        <w:rPr>
          <w:rFonts w:asciiTheme="majorHAnsi" w:hAnsiTheme="majorHAnsi" w:cstheme="majorHAnsi"/>
          <w:sz w:val="18"/>
          <w:szCs w:val="18"/>
        </w:rPr>
        <w:t xml:space="preserve"> a </w:t>
      </w:r>
      <w:r w:rsidRPr="004D1B1B">
        <w:rPr>
          <w:rFonts w:asciiTheme="majorHAnsi" w:hAnsiTheme="majorHAnsi" w:cstheme="majorHAnsi"/>
          <w:i/>
          <w:iCs/>
          <w:sz w:val="18"/>
          <w:szCs w:val="18"/>
        </w:rPr>
        <w:t>Prunus spinosa</w:t>
      </w:r>
      <w:r w:rsidRPr="004D1B1B">
        <w:rPr>
          <w:rFonts w:asciiTheme="majorHAnsi" w:hAnsiTheme="majorHAnsi" w:cstheme="majorHAnsi"/>
          <w:sz w:val="18"/>
          <w:szCs w:val="18"/>
        </w:rPr>
        <w:t xml:space="preserve"> predstavujú prirodzenú drevitú vegetáciu vidieckeho prostredia. </w:t>
      </w:r>
    </w:p>
    <w:p w:rsidR="004D1B1B" w:rsidRPr="004D1B1B" w:rsidRDefault="004D1B1B" w:rsidP="004D1B1B">
      <w:pPr>
        <w:ind w:firstLine="708"/>
        <w:rPr>
          <w:rFonts w:asciiTheme="majorHAnsi" w:hAnsiTheme="majorHAnsi" w:cstheme="majorHAnsi"/>
          <w:sz w:val="18"/>
          <w:szCs w:val="18"/>
        </w:rPr>
      </w:pPr>
      <w:r w:rsidRPr="004D1B1B">
        <w:rPr>
          <w:rFonts w:asciiTheme="majorHAnsi" w:hAnsiTheme="majorHAnsi" w:cstheme="majorHAnsi"/>
          <w:i/>
          <w:iCs/>
          <w:sz w:val="18"/>
          <w:szCs w:val="18"/>
        </w:rPr>
        <w:t>Fraxinus excelsior</w:t>
      </w:r>
      <w:r w:rsidRPr="004D1B1B">
        <w:rPr>
          <w:rFonts w:asciiTheme="majorHAnsi" w:hAnsiTheme="majorHAnsi" w:cstheme="majorHAnsi"/>
          <w:sz w:val="18"/>
          <w:szCs w:val="18"/>
        </w:rPr>
        <w:t xml:space="preserve"> možno v krajine nájsť vo forme sprievodnej zelene komunikácií, stromoradí ako aj rozptýlenej zelene v krajine, možno teda docieliť prepojenie areálu s okolitou krajinou. Stromoradie navrhnuté ako sprievodná zeleň komunikácie vytvára prirodzený tieň a zároveň vizuálne oddeľuje pobytovú plochu dubového dvora od cesty. Línia stromov podporuje charakter vidieckej ulice. </w:t>
      </w:r>
    </w:p>
    <w:p w:rsidR="004D1B1B" w:rsidRPr="004D1B1B" w:rsidRDefault="004D1B1B" w:rsidP="004D1B1B">
      <w:pPr>
        <w:ind w:firstLine="708"/>
        <w:rPr>
          <w:rFonts w:asciiTheme="majorHAnsi" w:hAnsiTheme="majorHAnsi" w:cstheme="majorHAnsi"/>
          <w:sz w:val="18"/>
          <w:szCs w:val="18"/>
        </w:rPr>
      </w:pPr>
      <w:r w:rsidRPr="004D1B1B">
        <w:rPr>
          <w:rFonts w:asciiTheme="majorHAnsi" w:hAnsiTheme="majorHAnsi" w:cstheme="majorHAnsi"/>
          <w:sz w:val="18"/>
          <w:szCs w:val="18"/>
        </w:rPr>
        <w:t>Pre zabezpečenie lepších podmienok rastu stromov  bol navrhnutý systém Silva Cell koreňových buniek. Vytvára objem pre rast koreňov pri maximalizácií využiteľného priestoru, stromy tak rastú v plnej veľkosti a lepšie absorbujú vodu. Koreňové bunky sú vyplnené substrátom pre stromy a zabezpečujú adekvátnu nosnosť spevnených plôch na povrchu.</w:t>
      </w:r>
    </w:p>
    <w:p w:rsidR="004D1B1B" w:rsidRDefault="004D1B1B" w:rsidP="004D1B1B">
      <w:pPr>
        <w:ind w:firstLine="708"/>
        <w:rPr>
          <w:rFonts w:asciiTheme="majorHAnsi" w:hAnsiTheme="majorHAnsi" w:cstheme="majorHAnsi"/>
          <w:sz w:val="18"/>
          <w:szCs w:val="18"/>
        </w:rPr>
      </w:pPr>
      <w:r w:rsidRPr="004D1B1B">
        <w:rPr>
          <w:rFonts w:asciiTheme="majorHAnsi" w:hAnsiTheme="majorHAnsi" w:cstheme="majorHAnsi"/>
          <w:sz w:val="18"/>
          <w:szCs w:val="18"/>
        </w:rPr>
        <w:t xml:space="preserve">V centrálnej časti areálu, v pobytovom dvore je navrhovaný </w:t>
      </w:r>
      <w:r w:rsidRPr="004D1B1B">
        <w:rPr>
          <w:rFonts w:asciiTheme="majorHAnsi" w:hAnsiTheme="majorHAnsi" w:cstheme="majorHAnsi"/>
          <w:i/>
          <w:iCs/>
          <w:sz w:val="18"/>
          <w:szCs w:val="18"/>
        </w:rPr>
        <w:t>Quercus robur</w:t>
      </w:r>
      <w:r w:rsidRPr="004D1B1B">
        <w:rPr>
          <w:rFonts w:asciiTheme="majorHAnsi" w:hAnsiTheme="majorHAnsi" w:cstheme="majorHAnsi"/>
          <w:sz w:val="18"/>
          <w:szCs w:val="18"/>
        </w:rPr>
        <w:t xml:space="preserve">. Ten vytvára prirodzený tieň, zároveň ide o typickú drevinu danej lokality. Areál je v časti hospodárskeho dvora ďalej doplnený o dreviny </w:t>
      </w:r>
      <w:r w:rsidRPr="004D1B1B">
        <w:rPr>
          <w:rFonts w:asciiTheme="majorHAnsi" w:hAnsiTheme="majorHAnsi" w:cstheme="majorHAnsi"/>
          <w:i/>
          <w:iCs/>
          <w:sz w:val="18"/>
          <w:szCs w:val="18"/>
        </w:rPr>
        <w:t xml:space="preserve">Acer platanoides </w:t>
      </w:r>
      <w:r w:rsidRPr="004D1B1B">
        <w:rPr>
          <w:rFonts w:asciiTheme="majorHAnsi" w:hAnsiTheme="majorHAnsi" w:cstheme="majorHAnsi"/>
          <w:sz w:val="18"/>
          <w:szCs w:val="18"/>
        </w:rPr>
        <w:t>ako solitérna drevina</w:t>
      </w:r>
      <w:r w:rsidRPr="004D1B1B">
        <w:rPr>
          <w:rFonts w:asciiTheme="majorHAnsi" w:hAnsiTheme="majorHAnsi" w:cstheme="majorHAnsi"/>
          <w:i/>
          <w:iCs/>
          <w:sz w:val="18"/>
          <w:szCs w:val="18"/>
        </w:rPr>
        <w:t>, Acer campestre a Fraxinus ornus ako skupina</w:t>
      </w:r>
      <w:r w:rsidRPr="004D1B1B">
        <w:rPr>
          <w:rFonts w:asciiTheme="majorHAnsi" w:hAnsiTheme="majorHAnsi" w:cstheme="majorHAnsi"/>
          <w:sz w:val="18"/>
          <w:szCs w:val="18"/>
        </w:rPr>
        <w:t xml:space="preserve">. V pobytovej záhrade je navrhovaná drevina </w:t>
      </w:r>
      <w:r w:rsidRPr="004D1B1B">
        <w:rPr>
          <w:rFonts w:asciiTheme="majorHAnsi" w:hAnsiTheme="majorHAnsi" w:cstheme="majorHAnsi"/>
          <w:i/>
          <w:iCs/>
          <w:sz w:val="18"/>
          <w:szCs w:val="18"/>
        </w:rPr>
        <w:t>Prunus padus</w:t>
      </w:r>
      <w:r w:rsidRPr="004D1B1B">
        <w:rPr>
          <w:rFonts w:asciiTheme="majorHAnsi" w:hAnsiTheme="majorHAnsi" w:cstheme="majorHAnsi"/>
          <w:sz w:val="18"/>
          <w:szCs w:val="18"/>
        </w:rPr>
        <w:t xml:space="preserve">  a kry </w:t>
      </w:r>
      <w:r w:rsidRPr="004D1B1B">
        <w:rPr>
          <w:rFonts w:asciiTheme="majorHAnsi" w:hAnsiTheme="majorHAnsi" w:cstheme="majorHAnsi"/>
          <w:i/>
          <w:iCs/>
          <w:sz w:val="18"/>
          <w:szCs w:val="18"/>
        </w:rPr>
        <w:t xml:space="preserve">Amelanchier lamarckii, Sambucus nigra </w:t>
      </w:r>
      <w:r w:rsidRPr="004D1B1B">
        <w:rPr>
          <w:rFonts w:asciiTheme="majorHAnsi" w:hAnsiTheme="majorHAnsi" w:cstheme="majorHAnsi"/>
          <w:sz w:val="18"/>
          <w:szCs w:val="18"/>
        </w:rPr>
        <w:t>a</w:t>
      </w:r>
      <w:r w:rsidRPr="004D1B1B">
        <w:rPr>
          <w:rFonts w:asciiTheme="majorHAnsi" w:hAnsiTheme="majorHAnsi" w:cstheme="majorHAnsi"/>
          <w:i/>
          <w:iCs/>
          <w:sz w:val="18"/>
          <w:szCs w:val="18"/>
        </w:rPr>
        <w:t> Prunus spinosa</w:t>
      </w:r>
      <w:r w:rsidRPr="004D1B1B">
        <w:rPr>
          <w:rFonts w:asciiTheme="majorHAnsi" w:hAnsiTheme="majorHAnsi" w:cstheme="majorHAnsi"/>
          <w:sz w:val="18"/>
          <w:szCs w:val="18"/>
        </w:rPr>
        <w:t xml:space="preserve">. Sedenie pri vyhliadkovej veži je doplnené drevinou </w:t>
      </w:r>
      <w:r w:rsidRPr="004D1B1B">
        <w:rPr>
          <w:rFonts w:asciiTheme="majorHAnsi" w:hAnsiTheme="majorHAnsi" w:cstheme="majorHAnsi"/>
          <w:i/>
          <w:iCs/>
          <w:sz w:val="18"/>
          <w:szCs w:val="18"/>
        </w:rPr>
        <w:t>Betula pendula</w:t>
      </w:r>
      <w:r w:rsidRPr="004D1B1B">
        <w:rPr>
          <w:rFonts w:asciiTheme="majorHAnsi" w:hAnsiTheme="majorHAnsi" w:cstheme="majorHAnsi"/>
          <w:sz w:val="18"/>
          <w:szCs w:val="18"/>
        </w:rPr>
        <w:t xml:space="preserve"> vo forme viackmenného stromu. </w:t>
      </w:r>
    </w:p>
    <w:p w:rsidR="008F58C0" w:rsidRDefault="008F58C0" w:rsidP="004D1B1B">
      <w:pPr>
        <w:ind w:firstLine="708"/>
        <w:rPr>
          <w:rFonts w:asciiTheme="majorHAnsi" w:hAnsiTheme="majorHAnsi" w:cstheme="majorHAnsi"/>
          <w:sz w:val="18"/>
          <w:szCs w:val="18"/>
        </w:rPr>
      </w:pPr>
    </w:p>
    <w:p w:rsidR="008F58C0" w:rsidRDefault="008F58C0" w:rsidP="004D1B1B">
      <w:pPr>
        <w:ind w:firstLine="708"/>
        <w:rPr>
          <w:rFonts w:asciiTheme="majorHAnsi" w:hAnsiTheme="majorHAnsi" w:cstheme="majorHAnsi"/>
          <w:sz w:val="18"/>
          <w:szCs w:val="18"/>
        </w:rPr>
      </w:pPr>
    </w:p>
    <w:p w:rsidR="008F58C0" w:rsidRPr="004D1B1B" w:rsidRDefault="008F58C0" w:rsidP="004D1B1B">
      <w:pPr>
        <w:ind w:firstLine="708"/>
        <w:rPr>
          <w:rFonts w:asciiTheme="majorHAnsi" w:hAnsiTheme="majorHAnsi" w:cstheme="majorHAnsi"/>
          <w:sz w:val="18"/>
          <w:szCs w:val="18"/>
        </w:rPr>
      </w:pPr>
    </w:p>
    <w:tbl>
      <w:tblPr>
        <w:tblStyle w:val="Mriekatabuky"/>
        <w:tblW w:w="0" w:type="auto"/>
        <w:tblLook w:val="04A0" w:firstRow="1" w:lastRow="0" w:firstColumn="1" w:lastColumn="0" w:noHBand="0" w:noVBand="1"/>
      </w:tblPr>
      <w:tblGrid>
        <w:gridCol w:w="620"/>
        <w:gridCol w:w="1543"/>
        <w:gridCol w:w="1670"/>
        <w:gridCol w:w="722"/>
        <w:gridCol w:w="1395"/>
        <w:gridCol w:w="1435"/>
        <w:gridCol w:w="1677"/>
      </w:tblGrid>
      <w:tr w:rsidR="004D1B1B" w:rsidRPr="004D1B1B" w:rsidTr="008F58C0">
        <w:tc>
          <w:tcPr>
            <w:tcW w:w="9062" w:type="dxa"/>
            <w:gridSpan w:val="7"/>
          </w:tcPr>
          <w:p w:rsidR="004D1B1B" w:rsidRPr="004D1B1B" w:rsidRDefault="004D1B1B" w:rsidP="004D1B1B">
            <w:pPr>
              <w:jc w:val="center"/>
              <w:rPr>
                <w:rFonts w:asciiTheme="majorHAnsi" w:hAnsiTheme="majorHAnsi" w:cstheme="majorHAnsi"/>
              </w:rPr>
            </w:pPr>
            <w:r w:rsidRPr="004D1B1B">
              <w:rPr>
                <w:rFonts w:asciiTheme="majorHAnsi" w:hAnsiTheme="majorHAnsi" w:cstheme="majorHAnsi"/>
                <w:sz w:val="18"/>
              </w:rPr>
              <w:t>ŠPECIFIKÁCIA RASTLINNÉHO MATERIÁLU (NÁVRH)</w:t>
            </w:r>
          </w:p>
        </w:tc>
      </w:tr>
      <w:tr w:rsidR="004D1B1B" w:rsidRPr="004D1B1B" w:rsidTr="008F58C0">
        <w:tc>
          <w:tcPr>
            <w:tcW w:w="9062" w:type="dxa"/>
            <w:gridSpan w:val="7"/>
          </w:tcPr>
          <w:p w:rsidR="004D1B1B" w:rsidRPr="004D1B1B" w:rsidRDefault="004D1B1B" w:rsidP="004D1B1B">
            <w:pPr>
              <w:jc w:val="center"/>
              <w:rPr>
                <w:rFonts w:asciiTheme="majorHAnsi" w:hAnsiTheme="majorHAnsi" w:cstheme="majorHAnsi"/>
                <w:sz w:val="18"/>
              </w:rPr>
            </w:pPr>
            <w:r w:rsidRPr="004D1B1B">
              <w:rPr>
                <w:rFonts w:asciiTheme="majorHAnsi" w:hAnsiTheme="majorHAnsi" w:cstheme="majorHAnsi"/>
                <w:sz w:val="18"/>
              </w:rPr>
              <w:t>Stromy/ kry</w:t>
            </w:r>
          </w:p>
        </w:tc>
      </w:tr>
      <w:tr w:rsidR="004D1B1B" w:rsidRPr="008F58C0" w:rsidTr="008F58C0">
        <w:tc>
          <w:tcPr>
            <w:tcW w:w="620" w:type="dxa"/>
          </w:tcPr>
          <w:p w:rsidR="004D1B1B" w:rsidRPr="008F58C0" w:rsidRDefault="004D1B1B" w:rsidP="004D1B1B">
            <w:pPr>
              <w:rPr>
                <w:rFonts w:asciiTheme="majorHAnsi" w:hAnsiTheme="majorHAnsi" w:cstheme="majorHAnsi"/>
                <w:sz w:val="20"/>
              </w:rPr>
            </w:pPr>
            <w:r w:rsidRPr="008F58C0">
              <w:rPr>
                <w:rFonts w:asciiTheme="majorHAnsi" w:hAnsiTheme="majorHAnsi" w:cstheme="majorHAnsi"/>
                <w:sz w:val="20"/>
              </w:rPr>
              <w:t>Ozn.</w:t>
            </w:r>
          </w:p>
        </w:tc>
        <w:tc>
          <w:tcPr>
            <w:tcW w:w="1543" w:type="dxa"/>
          </w:tcPr>
          <w:p w:rsidR="004D1B1B" w:rsidRPr="008F58C0" w:rsidRDefault="004D1B1B" w:rsidP="004D1B1B">
            <w:pPr>
              <w:rPr>
                <w:rFonts w:asciiTheme="majorHAnsi" w:hAnsiTheme="majorHAnsi" w:cstheme="majorHAnsi"/>
                <w:sz w:val="20"/>
              </w:rPr>
            </w:pPr>
            <w:r w:rsidRPr="008F58C0">
              <w:rPr>
                <w:rFonts w:asciiTheme="majorHAnsi" w:hAnsiTheme="majorHAnsi" w:cstheme="majorHAnsi"/>
                <w:sz w:val="20"/>
              </w:rPr>
              <w:t>Slovenský názov</w:t>
            </w:r>
          </w:p>
        </w:tc>
        <w:tc>
          <w:tcPr>
            <w:tcW w:w="1670" w:type="dxa"/>
          </w:tcPr>
          <w:p w:rsidR="004D1B1B" w:rsidRPr="008F58C0" w:rsidRDefault="004D1B1B" w:rsidP="004D1B1B">
            <w:pPr>
              <w:rPr>
                <w:rFonts w:asciiTheme="majorHAnsi" w:hAnsiTheme="majorHAnsi" w:cstheme="majorHAnsi"/>
                <w:sz w:val="20"/>
              </w:rPr>
            </w:pPr>
            <w:r w:rsidRPr="008F58C0">
              <w:rPr>
                <w:rFonts w:asciiTheme="majorHAnsi" w:hAnsiTheme="majorHAnsi" w:cstheme="majorHAnsi"/>
                <w:sz w:val="20"/>
              </w:rPr>
              <w:t xml:space="preserve">Latinský názov </w:t>
            </w:r>
          </w:p>
        </w:tc>
        <w:tc>
          <w:tcPr>
            <w:tcW w:w="722" w:type="dxa"/>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Počet</w:t>
            </w:r>
          </w:p>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[ks]</w:t>
            </w:r>
          </w:p>
        </w:tc>
        <w:tc>
          <w:tcPr>
            <w:tcW w:w="1395" w:type="dxa"/>
          </w:tcPr>
          <w:p w:rsidR="004D1B1B" w:rsidRPr="008F58C0" w:rsidRDefault="004D1B1B" w:rsidP="004D1B1B">
            <w:pPr>
              <w:rPr>
                <w:rFonts w:asciiTheme="majorHAnsi" w:hAnsiTheme="majorHAnsi" w:cstheme="majorHAnsi"/>
                <w:sz w:val="20"/>
              </w:rPr>
            </w:pPr>
            <w:r w:rsidRPr="008F58C0">
              <w:rPr>
                <w:rFonts w:asciiTheme="majorHAnsi" w:hAnsiTheme="majorHAnsi" w:cstheme="majorHAnsi"/>
                <w:sz w:val="20"/>
              </w:rPr>
              <w:t>Obvod kmeňa</w:t>
            </w:r>
          </w:p>
          <w:p w:rsidR="004D1B1B" w:rsidRPr="008F58C0" w:rsidRDefault="004D1B1B" w:rsidP="004D1B1B">
            <w:pPr>
              <w:rPr>
                <w:rFonts w:asciiTheme="majorHAnsi" w:hAnsiTheme="majorHAnsi" w:cstheme="majorHAnsi"/>
                <w:sz w:val="20"/>
              </w:rPr>
            </w:pPr>
            <w:r w:rsidRPr="008F58C0">
              <w:rPr>
                <w:rFonts w:asciiTheme="majorHAnsi" w:hAnsiTheme="majorHAnsi" w:cstheme="majorHAnsi"/>
                <w:sz w:val="20"/>
              </w:rPr>
              <w:t>/cm výška /m/</w:t>
            </w:r>
          </w:p>
        </w:tc>
        <w:tc>
          <w:tcPr>
            <w:tcW w:w="1435" w:type="dxa"/>
          </w:tcPr>
          <w:p w:rsidR="004D1B1B" w:rsidRPr="008F58C0" w:rsidRDefault="004D1B1B" w:rsidP="004D1B1B">
            <w:pPr>
              <w:rPr>
                <w:rFonts w:asciiTheme="majorHAnsi" w:hAnsiTheme="majorHAnsi" w:cstheme="majorHAnsi"/>
                <w:sz w:val="20"/>
              </w:rPr>
            </w:pPr>
            <w:r w:rsidRPr="008F58C0">
              <w:rPr>
                <w:rFonts w:asciiTheme="majorHAnsi" w:hAnsiTheme="majorHAnsi" w:cstheme="majorHAnsi"/>
                <w:sz w:val="20"/>
              </w:rPr>
              <w:t>Bal/ kontajner</w:t>
            </w:r>
          </w:p>
        </w:tc>
        <w:tc>
          <w:tcPr>
            <w:tcW w:w="1677" w:type="dxa"/>
          </w:tcPr>
          <w:p w:rsidR="004D1B1B" w:rsidRPr="008F58C0" w:rsidRDefault="004D1B1B" w:rsidP="004D1B1B">
            <w:pPr>
              <w:rPr>
                <w:rFonts w:asciiTheme="majorHAnsi" w:hAnsiTheme="majorHAnsi" w:cstheme="majorHAnsi"/>
                <w:sz w:val="20"/>
              </w:rPr>
            </w:pPr>
            <w:r w:rsidRPr="008F58C0">
              <w:rPr>
                <w:rFonts w:asciiTheme="majorHAnsi" w:hAnsiTheme="majorHAnsi" w:cstheme="majorHAnsi"/>
                <w:sz w:val="20"/>
              </w:rPr>
              <w:t>Poznámka</w:t>
            </w:r>
          </w:p>
        </w:tc>
      </w:tr>
      <w:tr w:rsidR="004D1B1B" w:rsidRPr="008F58C0" w:rsidTr="008F58C0">
        <w:tc>
          <w:tcPr>
            <w:tcW w:w="9062" w:type="dxa"/>
            <w:gridSpan w:val="7"/>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Stromy</w:t>
            </w:r>
          </w:p>
        </w:tc>
      </w:tr>
      <w:tr w:rsidR="004D1B1B" w:rsidRPr="008F58C0" w:rsidTr="008F58C0">
        <w:tc>
          <w:tcPr>
            <w:tcW w:w="620"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Fe</w:t>
            </w:r>
          </w:p>
        </w:tc>
        <w:tc>
          <w:tcPr>
            <w:tcW w:w="1543"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Jaseň štíhly</w:t>
            </w:r>
          </w:p>
        </w:tc>
        <w:tc>
          <w:tcPr>
            <w:tcW w:w="1670" w:type="dxa"/>
            <w:vAlign w:val="center"/>
          </w:tcPr>
          <w:p w:rsidR="004D1B1B" w:rsidRPr="008F58C0" w:rsidRDefault="004D1B1B" w:rsidP="004D1B1B">
            <w:pPr>
              <w:jc w:val="center"/>
              <w:rPr>
                <w:rFonts w:asciiTheme="majorHAnsi" w:hAnsiTheme="majorHAnsi" w:cstheme="majorHAnsi"/>
                <w:i/>
                <w:iCs/>
                <w:sz w:val="20"/>
              </w:rPr>
            </w:pPr>
            <w:r w:rsidRPr="008F58C0">
              <w:rPr>
                <w:rFonts w:asciiTheme="majorHAnsi" w:hAnsiTheme="majorHAnsi" w:cstheme="majorHAnsi"/>
                <w:i/>
                <w:iCs/>
                <w:sz w:val="20"/>
              </w:rPr>
              <w:t>Fraxinus excelsior</w:t>
            </w:r>
          </w:p>
        </w:tc>
        <w:tc>
          <w:tcPr>
            <w:tcW w:w="722"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6</w:t>
            </w:r>
          </w:p>
        </w:tc>
        <w:tc>
          <w:tcPr>
            <w:tcW w:w="139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25- 30, 4-6</w:t>
            </w:r>
          </w:p>
        </w:tc>
        <w:tc>
          <w:tcPr>
            <w:tcW w:w="143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bal</w:t>
            </w:r>
          </w:p>
        </w:tc>
        <w:tc>
          <w:tcPr>
            <w:tcW w:w="1677" w:type="dxa"/>
            <w:vMerge w:val="restart"/>
            <w:vAlign w:val="center"/>
          </w:tcPr>
          <w:p w:rsidR="004D1B1B" w:rsidRPr="008F58C0" w:rsidRDefault="004D1B1B" w:rsidP="004D1B1B">
            <w:pPr>
              <w:jc w:val="center"/>
              <w:rPr>
                <w:rFonts w:asciiTheme="majorHAnsi" w:hAnsiTheme="majorHAnsi" w:cstheme="majorHAnsi"/>
                <w:color w:val="FF0000"/>
                <w:sz w:val="20"/>
              </w:rPr>
            </w:pPr>
          </w:p>
        </w:tc>
      </w:tr>
      <w:tr w:rsidR="004D1B1B" w:rsidRPr="008F58C0" w:rsidTr="008F58C0">
        <w:tc>
          <w:tcPr>
            <w:tcW w:w="620"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Fo</w:t>
            </w:r>
          </w:p>
        </w:tc>
        <w:tc>
          <w:tcPr>
            <w:tcW w:w="1543"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Jaseň mannový</w:t>
            </w:r>
          </w:p>
        </w:tc>
        <w:tc>
          <w:tcPr>
            <w:tcW w:w="1670" w:type="dxa"/>
            <w:vAlign w:val="center"/>
          </w:tcPr>
          <w:p w:rsidR="004D1B1B" w:rsidRPr="008F58C0" w:rsidRDefault="004D1B1B" w:rsidP="004D1B1B">
            <w:pPr>
              <w:jc w:val="center"/>
              <w:rPr>
                <w:rFonts w:asciiTheme="majorHAnsi" w:hAnsiTheme="majorHAnsi" w:cstheme="majorHAnsi"/>
                <w:i/>
                <w:iCs/>
                <w:sz w:val="20"/>
              </w:rPr>
            </w:pPr>
            <w:r w:rsidRPr="008F58C0">
              <w:rPr>
                <w:rFonts w:asciiTheme="majorHAnsi" w:hAnsiTheme="majorHAnsi" w:cstheme="majorHAnsi"/>
                <w:i/>
                <w:iCs/>
                <w:sz w:val="20"/>
              </w:rPr>
              <w:t>Fraxinus ornus</w:t>
            </w:r>
          </w:p>
        </w:tc>
        <w:tc>
          <w:tcPr>
            <w:tcW w:w="722"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3</w:t>
            </w:r>
          </w:p>
        </w:tc>
        <w:tc>
          <w:tcPr>
            <w:tcW w:w="139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20- 25, 4-5</w:t>
            </w:r>
          </w:p>
        </w:tc>
        <w:tc>
          <w:tcPr>
            <w:tcW w:w="143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bal</w:t>
            </w:r>
          </w:p>
        </w:tc>
        <w:tc>
          <w:tcPr>
            <w:tcW w:w="1677" w:type="dxa"/>
            <w:vMerge/>
            <w:vAlign w:val="center"/>
          </w:tcPr>
          <w:p w:rsidR="004D1B1B" w:rsidRPr="008F58C0" w:rsidRDefault="004D1B1B" w:rsidP="004D1B1B">
            <w:pPr>
              <w:jc w:val="center"/>
              <w:rPr>
                <w:rFonts w:asciiTheme="majorHAnsi" w:hAnsiTheme="majorHAnsi" w:cstheme="majorHAnsi"/>
                <w:sz w:val="20"/>
              </w:rPr>
            </w:pPr>
          </w:p>
        </w:tc>
      </w:tr>
      <w:tr w:rsidR="004D1B1B" w:rsidRPr="008F58C0" w:rsidTr="008F58C0">
        <w:tc>
          <w:tcPr>
            <w:tcW w:w="620"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Ap</w:t>
            </w:r>
          </w:p>
        </w:tc>
        <w:tc>
          <w:tcPr>
            <w:tcW w:w="1543"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Javor mliečny</w:t>
            </w:r>
          </w:p>
        </w:tc>
        <w:tc>
          <w:tcPr>
            <w:tcW w:w="1670" w:type="dxa"/>
            <w:vAlign w:val="center"/>
          </w:tcPr>
          <w:p w:rsidR="004D1B1B" w:rsidRPr="008F58C0" w:rsidRDefault="004D1B1B" w:rsidP="004D1B1B">
            <w:pPr>
              <w:jc w:val="center"/>
              <w:rPr>
                <w:rFonts w:asciiTheme="majorHAnsi" w:hAnsiTheme="majorHAnsi" w:cstheme="majorHAnsi"/>
                <w:i/>
                <w:iCs/>
                <w:sz w:val="20"/>
              </w:rPr>
            </w:pPr>
            <w:r w:rsidRPr="008F58C0">
              <w:rPr>
                <w:rFonts w:asciiTheme="majorHAnsi" w:hAnsiTheme="majorHAnsi" w:cstheme="majorHAnsi"/>
                <w:i/>
                <w:iCs/>
                <w:sz w:val="20"/>
              </w:rPr>
              <w:t>Acer platanoides</w:t>
            </w:r>
          </w:p>
        </w:tc>
        <w:tc>
          <w:tcPr>
            <w:tcW w:w="722"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1</w:t>
            </w:r>
          </w:p>
        </w:tc>
        <w:tc>
          <w:tcPr>
            <w:tcW w:w="139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25- 30, 4-5</w:t>
            </w:r>
          </w:p>
        </w:tc>
        <w:tc>
          <w:tcPr>
            <w:tcW w:w="143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bal</w:t>
            </w:r>
          </w:p>
        </w:tc>
        <w:tc>
          <w:tcPr>
            <w:tcW w:w="1677" w:type="dxa"/>
            <w:vMerge/>
            <w:vAlign w:val="center"/>
          </w:tcPr>
          <w:p w:rsidR="004D1B1B" w:rsidRPr="008F58C0" w:rsidRDefault="004D1B1B" w:rsidP="004D1B1B">
            <w:pPr>
              <w:jc w:val="center"/>
              <w:rPr>
                <w:rFonts w:asciiTheme="majorHAnsi" w:hAnsiTheme="majorHAnsi" w:cstheme="majorHAnsi"/>
                <w:sz w:val="20"/>
              </w:rPr>
            </w:pPr>
          </w:p>
        </w:tc>
      </w:tr>
      <w:tr w:rsidR="004D1B1B" w:rsidRPr="008F58C0" w:rsidTr="008F58C0">
        <w:tc>
          <w:tcPr>
            <w:tcW w:w="620"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Ac</w:t>
            </w:r>
          </w:p>
        </w:tc>
        <w:tc>
          <w:tcPr>
            <w:tcW w:w="1543"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Javor poľny</w:t>
            </w:r>
          </w:p>
        </w:tc>
        <w:tc>
          <w:tcPr>
            <w:tcW w:w="1670" w:type="dxa"/>
            <w:vAlign w:val="center"/>
          </w:tcPr>
          <w:p w:rsidR="004D1B1B" w:rsidRPr="008F58C0" w:rsidRDefault="004D1B1B" w:rsidP="004D1B1B">
            <w:pPr>
              <w:jc w:val="center"/>
              <w:rPr>
                <w:rFonts w:asciiTheme="majorHAnsi" w:hAnsiTheme="majorHAnsi" w:cstheme="majorHAnsi"/>
                <w:i/>
                <w:iCs/>
                <w:sz w:val="20"/>
              </w:rPr>
            </w:pPr>
            <w:r w:rsidRPr="008F58C0">
              <w:rPr>
                <w:rFonts w:asciiTheme="majorHAnsi" w:hAnsiTheme="majorHAnsi" w:cstheme="majorHAnsi"/>
                <w:i/>
                <w:iCs/>
                <w:sz w:val="20"/>
              </w:rPr>
              <w:t>Acer campestre</w:t>
            </w:r>
          </w:p>
        </w:tc>
        <w:tc>
          <w:tcPr>
            <w:tcW w:w="722"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2</w:t>
            </w:r>
          </w:p>
        </w:tc>
        <w:tc>
          <w:tcPr>
            <w:tcW w:w="139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20- 25, 4-5</w:t>
            </w:r>
          </w:p>
        </w:tc>
        <w:tc>
          <w:tcPr>
            <w:tcW w:w="143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bal</w:t>
            </w:r>
          </w:p>
        </w:tc>
        <w:tc>
          <w:tcPr>
            <w:tcW w:w="1677" w:type="dxa"/>
            <w:vMerge/>
            <w:vAlign w:val="center"/>
          </w:tcPr>
          <w:p w:rsidR="004D1B1B" w:rsidRPr="008F58C0" w:rsidRDefault="004D1B1B" w:rsidP="004D1B1B">
            <w:pPr>
              <w:jc w:val="center"/>
              <w:rPr>
                <w:rFonts w:asciiTheme="majorHAnsi" w:hAnsiTheme="majorHAnsi" w:cstheme="majorHAnsi"/>
                <w:sz w:val="20"/>
              </w:rPr>
            </w:pPr>
          </w:p>
        </w:tc>
      </w:tr>
      <w:tr w:rsidR="004D1B1B" w:rsidRPr="008F58C0" w:rsidTr="008F58C0">
        <w:tc>
          <w:tcPr>
            <w:tcW w:w="620"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Pp</w:t>
            </w:r>
          </w:p>
        </w:tc>
        <w:tc>
          <w:tcPr>
            <w:tcW w:w="1543"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Čremcha obyčajná</w:t>
            </w:r>
          </w:p>
        </w:tc>
        <w:tc>
          <w:tcPr>
            <w:tcW w:w="1670" w:type="dxa"/>
            <w:vAlign w:val="center"/>
          </w:tcPr>
          <w:p w:rsidR="004D1B1B" w:rsidRPr="008F58C0" w:rsidRDefault="004D1B1B" w:rsidP="004D1B1B">
            <w:pPr>
              <w:jc w:val="center"/>
              <w:rPr>
                <w:rFonts w:asciiTheme="majorHAnsi" w:hAnsiTheme="majorHAnsi" w:cstheme="majorHAnsi"/>
                <w:i/>
                <w:iCs/>
                <w:sz w:val="20"/>
              </w:rPr>
            </w:pPr>
            <w:r w:rsidRPr="008F58C0">
              <w:rPr>
                <w:rFonts w:asciiTheme="majorHAnsi" w:hAnsiTheme="majorHAnsi" w:cstheme="majorHAnsi"/>
                <w:i/>
                <w:iCs/>
                <w:sz w:val="20"/>
              </w:rPr>
              <w:t>Prunus padus</w:t>
            </w:r>
          </w:p>
        </w:tc>
        <w:tc>
          <w:tcPr>
            <w:tcW w:w="722"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1</w:t>
            </w:r>
          </w:p>
        </w:tc>
        <w:tc>
          <w:tcPr>
            <w:tcW w:w="139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20- 25, 4-5</w:t>
            </w:r>
          </w:p>
        </w:tc>
        <w:tc>
          <w:tcPr>
            <w:tcW w:w="143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bal</w:t>
            </w:r>
          </w:p>
        </w:tc>
        <w:tc>
          <w:tcPr>
            <w:tcW w:w="1677" w:type="dxa"/>
            <w:vMerge/>
            <w:vAlign w:val="center"/>
          </w:tcPr>
          <w:p w:rsidR="004D1B1B" w:rsidRPr="008F58C0" w:rsidRDefault="004D1B1B" w:rsidP="004D1B1B">
            <w:pPr>
              <w:jc w:val="center"/>
              <w:rPr>
                <w:rFonts w:asciiTheme="majorHAnsi" w:hAnsiTheme="majorHAnsi" w:cstheme="majorHAnsi"/>
                <w:sz w:val="20"/>
              </w:rPr>
            </w:pPr>
          </w:p>
        </w:tc>
      </w:tr>
      <w:tr w:rsidR="004D1B1B" w:rsidRPr="008F58C0" w:rsidTr="008F58C0">
        <w:tc>
          <w:tcPr>
            <w:tcW w:w="620"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Bp</w:t>
            </w:r>
          </w:p>
        </w:tc>
        <w:tc>
          <w:tcPr>
            <w:tcW w:w="1543"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Breza previsnutá</w:t>
            </w:r>
          </w:p>
        </w:tc>
        <w:tc>
          <w:tcPr>
            <w:tcW w:w="1670" w:type="dxa"/>
            <w:vAlign w:val="center"/>
          </w:tcPr>
          <w:p w:rsidR="004D1B1B" w:rsidRPr="008F58C0" w:rsidRDefault="004D1B1B" w:rsidP="004D1B1B">
            <w:pPr>
              <w:jc w:val="center"/>
              <w:rPr>
                <w:rFonts w:asciiTheme="majorHAnsi" w:hAnsiTheme="majorHAnsi" w:cstheme="majorHAnsi"/>
                <w:i/>
                <w:iCs/>
                <w:sz w:val="20"/>
              </w:rPr>
            </w:pPr>
            <w:r w:rsidRPr="008F58C0">
              <w:rPr>
                <w:rFonts w:asciiTheme="majorHAnsi" w:hAnsiTheme="majorHAnsi" w:cstheme="majorHAnsi"/>
                <w:i/>
                <w:iCs/>
                <w:sz w:val="20"/>
              </w:rPr>
              <w:t>Betula pendula</w:t>
            </w:r>
          </w:p>
        </w:tc>
        <w:tc>
          <w:tcPr>
            <w:tcW w:w="722"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1</w:t>
            </w:r>
          </w:p>
        </w:tc>
        <w:tc>
          <w:tcPr>
            <w:tcW w:w="139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4-5</w:t>
            </w:r>
          </w:p>
        </w:tc>
        <w:tc>
          <w:tcPr>
            <w:tcW w:w="143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bal</w:t>
            </w:r>
          </w:p>
        </w:tc>
        <w:tc>
          <w:tcPr>
            <w:tcW w:w="1677"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Viac kmeň</w:t>
            </w:r>
          </w:p>
        </w:tc>
      </w:tr>
      <w:tr w:rsidR="004D1B1B" w:rsidRPr="008F58C0" w:rsidTr="008F58C0">
        <w:tc>
          <w:tcPr>
            <w:tcW w:w="620"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Qr</w:t>
            </w:r>
          </w:p>
        </w:tc>
        <w:tc>
          <w:tcPr>
            <w:tcW w:w="1543"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Dub letný</w:t>
            </w:r>
          </w:p>
        </w:tc>
        <w:tc>
          <w:tcPr>
            <w:tcW w:w="1670" w:type="dxa"/>
            <w:vAlign w:val="center"/>
          </w:tcPr>
          <w:p w:rsidR="004D1B1B" w:rsidRPr="008F58C0" w:rsidRDefault="004D1B1B" w:rsidP="004D1B1B">
            <w:pPr>
              <w:jc w:val="center"/>
              <w:rPr>
                <w:rFonts w:asciiTheme="majorHAnsi" w:hAnsiTheme="majorHAnsi" w:cstheme="majorHAnsi"/>
                <w:i/>
                <w:iCs/>
                <w:sz w:val="20"/>
              </w:rPr>
            </w:pPr>
            <w:r w:rsidRPr="008F58C0">
              <w:rPr>
                <w:rFonts w:asciiTheme="majorHAnsi" w:hAnsiTheme="majorHAnsi" w:cstheme="majorHAnsi"/>
                <w:i/>
                <w:iCs/>
                <w:sz w:val="20"/>
              </w:rPr>
              <w:t>Quercus robur</w:t>
            </w:r>
          </w:p>
        </w:tc>
        <w:tc>
          <w:tcPr>
            <w:tcW w:w="722"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1</w:t>
            </w:r>
          </w:p>
        </w:tc>
        <w:tc>
          <w:tcPr>
            <w:tcW w:w="139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45- 50, 7-9</w:t>
            </w:r>
          </w:p>
        </w:tc>
        <w:tc>
          <w:tcPr>
            <w:tcW w:w="143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bal</w:t>
            </w:r>
          </w:p>
        </w:tc>
        <w:tc>
          <w:tcPr>
            <w:tcW w:w="1677" w:type="dxa"/>
            <w:vAlign w:val="center"/>
          </w:tcPr>
          <w:p w:rsidR="004D1B1B" w:rsidRPr="008F58C0" w:rsidRDefault="004D1B1B" w:rsidP="004D1B1B">
            <w:pPr>
              <w:jc w:val="center"/>
              <w:rPr>
                <w:rFonts w:asciiTheme="majorHAnsi" w:hAnsiTheme="majorHAnsi" w:cstheme="majorHAnsi"/>
                <w:sz w:val="20"/>
              </w:rPr>
            </w:pPr>
          </w:p>
        </w:tc>
      </w:tr>
      <w:tr w:rsidR="004D1B1B" w:rsidRPr="008F58C0" w:rsidTr="008F58C0">
        <w:tc>
          <w:tcPr>
            <w:tcW w:w="9062" w:type="dxa"/>
            <w:gridSpan w:val="7"/>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Kry</w:t>
            </w:r>
          </w:p>
        </w:tc>
      </w:tr>
      <w:tr w:rsidR="004D1B1B" w:rsidRPr="008F58C0" w:rsidTr="008F58C0">
        <w:tc>
          <w:tcPr>
            <w:tcW w:w="620"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Al</w:t>
            </w:r>
          </w:p>
        </w:tc>
        <w:tc>
          <w:tcPr>
            <w:tcW w:w="1543"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Muchovník lamarckov</w:t>
            </w:r>
          </w:p>
        </w:tc>
        <w:tc>
          <w:tcPr>
            <w:tcW w:w="1670" w:type="dxa"/>
            <w:vAlign w:val="center"/>
          </w:tcPr>
          <w:p w:rsidR="004D1B1B" w:rsidRPr="008F58C0" w:rsidRDefault="004D1B1B" w:rsidP="004D1B1B">
            <w:pPr>
              <w:jc w:val="center"/>
              <w:rPr>
                <w:rFonts w:asciiTheme="majorHAnsi" w:hAnsiTheme="majorHAnsi" w:cstheme="majorHAnsi"/>
                <w:i/>
                <w:iCs/>
                <w:sz w:val="20"/>
              </w:rPr>
            </w:pPr>
            <w:r w:rsidRPr="008F58C0">
              <w:rPr>
                <w:rFonts w:asciiTheme="majorHAnsi" w:hAnsiTheme="majorHAnsi" w:cstheme="majorHAnsi"/>
                <w:i/>
                <w:iCs/>
                <w:sz w:val="20"/>
              </w:rPr>
              <w:t>Amelanchier lamarckii</w:t>
            </w:r>
          </w:p>
        </w:tc>
        <w:tc>
          <w:tcPr>
            <w:tcW w:w="722"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5</w:t>
            </w:r>
          </w:p>
        </w:tc>
        <w:tc>
          <w:tcPr>
            <w:tcW w:w="1395" w:type="dxa"/>
            <w:vMerge w:val="restart"/>
            <w:vAlign w:val="center"/>
          </w:tcPr>
          <w:p w:rsidR="004D1B1B" w:rsidRPr="008F58C0" w:rsidRDefault="004D1B1B" w:rsidP="004D1B1B">
            <w:pPr>
              <w:jc w:val="center"/>
              <w:rPr>
                <w:rFonts w:asciiTheme="majorHAnsi" w:hAnsiTheme="majorHAnsi" w:cstheme="majorHAnsi"/>
                <w:sz w:val="20"/>
              </w:rPr>
            </w:pPr>
          </w:p>
        </w:tc>
        <w:tc>
          <w:tcPr>
            <w:tcW w:w="143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kontajner</w:t>
            </w:r>
          </w:p>
        </w:tc>
        <w:tc>
          <w:tcPr>
            <w:tcW w:w="1677" w:type="dxa"/>
            <w:vMerge w:val="restart"/>
          </w:tcPr>
          <w:p w:rsidR="004D1B1B" w:rsidRPr="008F58C0" w:rsidRDefault="004D1B1B" w:rsidP="004D1B1B">
            <w:pPr>
              <w:jc w:val="center"/>
              <w:rPr>
                <w:rFonts w:asciiTheme="majorHAnsi" w:hAnsiTheme="majorHAnsi" w:cstheme="majorHAnsi"/>
                <w:sz w:val="20"/>
              </w:rPr>
            </w:pPr>
          </w:p>
        </w:tc>
      </w:tr>
      <w:tr w:rsidR="004D1B1B" w:rsidRPr="008F58C0" w:rsidTr="008F58C0">
        <w:tc>
          <w:tcPr>
            <w:tcW w:w="620"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Sn</w:t>
            </w:r>
          </w:p>
        </w:tc>
        <w:tc>
          <w:tcPr>
            <w:tcW w:w="1543"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Baza čierna</w:t>
            </w:r>
          </w:p>
        </w:tc>
        <w:tc>
          <w:tcPr>
            <w:tcW w:w="1670" w:type="dxa"/>
            <w:vAlign w:val="center"/>
          </w:tcPr>
          <w:p w:rsidR="004D1B1B" w:rsidRPr="008F58C0" w:rsidRDefault="004D1B1B" w:rsidP="004D1B1B">
            <w:pPr>
              <w:jc w:val="center"/>
              <w:rPr>
                <w:rFonts w:asciiTheme="majorHAnsi" w:hAnsiTheme="majorHAnsi" w:cstheme="majorHAnsi"/>
                <w:i/>
                <w:iCs/>
                <w:sz w:val="20"/>
              </w:rPr>
            </w:pPr>
            <w:r w:rsidRPr="008F58C0">
              <w:rPr>
                <w:rFonts w:asciiTheme="majorHAnsi" w:hAnsiTheme="majorHAnsi" w:cstheme="majorHAnsi"/>
                <w:i/>
                <w:iCs/>
                <w:sz w:val="20"/>
              </w:rPr>
              <w:t>Sambucus nigra</w:t>
            </w:r>
          </w:p>
        </w:tc>
        <w:tc>
          <w:tcPr>
            <w:tcW w:w="722"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1</w:t>
            </w:r>
          </w:p>
        </w:tc>
        <w:tc>
          <w:tcPr>
            <w:tcW w:w="1395" w:type="dxa"/>
            <w:vMerge/>
            <w:vAlign w:val="center"/>
          </w:tcPr>
          <w:p w:rsidR="004D1B1B" w:rsidRPr="008F58C0" w:rsidRDefault="004D1B1B" w:rsidP="004D1B1B">
            <w:pPr>
              <w:jc w:val="center"/>
              <w:rPr>
                <w:rFonts w:asciiTheme="majorHAnsi" w:hAnsiTheme="majorHAnsi" w:cstheme="majorHAnsi"/>
                <w:sz w:val="20"/>
              </w:rPr>
            </w:pPr>
          </w:p>
        </w:tc>
        <w:tc>
          <w:tcPr>
            <w:tcW w:w="143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kontajner</w:t>
            </w:r>
          </w:p>
        </w:tc>
        <w:tc>
          <w:tcPr>
            <w:tcW w:w="1677" w:type="dxa"/>
            <w:vMerge/>
          </w:tcPr>
          <w:p w:rsidR="004D1B1B" w:rsidRPr="008F58C0" w:rsidRDefault="004D1B1B" w:rsidP="004D1B1B">
            <w:pPr>
              <w:jc w:val="center"/>
              <w:rPr>
                <w:rFonts w:asciiTheme="majorHAnsi" w:hAnsiTheme="majorHAnsi" w:cstheme="majorHAnsi"/>
                <w:sz w:val="20"/>
              </w:rPr>
            </w:pPr>
          </w:p>
        </w:tc>
      </w:tr>
      <w:tr w:rsidR="004D1B1B" w:rsidRPr="008F58C0" w:rsidTr="008F58C0">
        <w:tc>
          <w:tcPr>
            <w:tcW w:w="620"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Sv</w:t>
            </w:r>
          </w:p>
        </w:tc>
        <w:tc>
          <w:tcPr>
            <w:tcW w:w="1543"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Orgován obyčajný</w:t>
            </w:r>
          </w:p>
        </w:tc>
        <w:tc>
          <w:tcPr>
            <w:tcW w:w="1670" w:type="dxa"/>
            <w:vAlign w:val="center"/>
          </w:tcPr>
          <w:p w:rsidR="004D1B1B" w:rsidRPr="008F58C0" w:rsidRDefault="004D1B1B" w:rsidP="004D1B1B">
            <w:pPr>
              <w:jc w:val="center"/>
              <w:rPr>
                <w:rFonts w:asciiTheme="majorHAnsi" w:hAnsiTheme="majorHAnsi" w:cstheme="majorHAnsi"/>
                <w:i/>
                <w:iCs/>
                <w:sz w:val="20"/>
              </w:rPr>
            </w:pPr>
            <w:r w:rsidRPr="008F58C0">
              <w:rPr>
                <w:rFonts w:asciiTheme="majorHAnsi" w:hAnsiTheme="majorHAnsi" w:cstheme="majorHAnsi"/>
                <w:i/>
                <w:iCs/>
                <w:sz w:val="20"/>
              </w:rPr>
              <w:t>Syringa vulgaris</w:t>
            </w:r>
          </w:p>
        </w:tc>
        <w:tc>
          <w:tcPr>
            <w:tcW w:w="722"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3</w:t>
            </w:r>
          </w:p>
        </w:tc>
        <w:tc>
          <w:tcPr>
            <w:tcW w:w="1395" w:type="dxa"/>
            <w:vMerge/>
            <w:vAlign w:val="center"/>
          </w:tcPr>
          <w:p w:rsidR="004D1B1B" w:rsidRPr="008F58C0" w:rsidRDefault="004D1B1B" w:rsidP="004D1B1B">
            <w:pPr>
              <w:jc w:val="center"/>
              <w:rPr>
                <w:rFonts w:asciiTheme="majorHAnsi" w:hAnsiTheme="majorHAnsi" w:cstheme="majorHAnsi"/>
                <w:sz w:val="20"/>
              </w:rPr>
            </w:pPr>
          </w:p>
        </w:tc>
        <w:tc>
          <w:tcPr>
            <w:tcW w:w="143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kontajner</w:t>
            </w:r>
          </w:p>
        </w:tc>
        <w:tc>
          <w:tcPr>
            <w:tcW w:w="1677" w:type="dxa"/>
            <w:vMerge/>
          </w:tcPr>
          <w:p w:rsidR="004D1B1B" w:rsidRPr="008F58C0" w:rsidRDefault="004D1B1B" w:rsidP="004D1B1B">
            <w:pPr>
              <w:jc w:val="center"/>
              <w:rPr>
                <w:rFonts w:asciiTheme="majorHAnsi" w:hAnsiTheme="majorHAnsi" w:cstheme="majorHAnsi"/>
                <w:sz w:val="20"/>
              </w:rPr>
            </w:pPr>
          </w:p>
        </w:tc>
      </w:tr>
      <w:tr w:rsidR="004D1B1B" w:rsidRPr="008F58C0" w:rsidTr="008F58C0">
        <w:tc>
          <w:tcPr>
            <w:tcW w:w="620"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Ps</w:t>
            </w:r>
          </w:p>
        </w:tc>
        <w:tc>
          <w:tcPr>
            <w:tcW w:w="1543"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Slivka trnková</w:t>
            </w:r>
          </w:p>
        </w:tc>
        <w:tc>
          <w:tcPr>
            <w:tcW w:w="1670" w:type="dxa"/>
            <w:vAlign w:val="center"/>
          </w:tcPr>
          <w:p w:rsidR="004D1B1B" w:rsidRPr="008F58C0" w:rsidRDefault="004D1B1B" w:rsidP="004D1B1B">
            <w:pPr>
              <w:jc w:val="center"/>
              <w:rPr>
                <w:rFonts w:asciiTheme="majorHAnsi" w:hAnsiTheme="majorHAnsi" w:cstheme="majorHAnsi"/>
                <w:i/>
                <w:iCs/>
                <w:sz w:val="20"/>
              </w:rPr>
            </w:pPr>
            <w:r w:rsidRPr="008F58C0">
              <w:rPr>
                <w:rFonts w:asciiTheme="majorHAnsi" w:hAnsiTheme="majorHAnsi" w:cstheme="majorHAnsi"/>
                <w:i/>
                <w:iCs/>
                <w:sz w:val="20"/>
              </w:rPr>
              <w:t>Prunus spinosa</w:t>
            </w:r>
          </w:p>
        </w:tc>
        <w:tc>
          <w:tcPr>
            <w:tcW w:w="722"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1</w:t>
            </w:r>
          </w:p>
        </w:tc>
        <w:tc>
          <w:tcPr>
            <w:tcW w:w="1395" w:type="dxa"/>
            <w:vMerge/>
            <w:vAlign w:val="center"/>
          </w:tcPr>
          <w:p w:rsidR="004D1B1B" w:rsidRPr="008F58C0" w:rsidRDefault="004D1B1B" w:rsidP="004D1B1B">
            <w:pPr>
              <w:jc w:val="center"/>
              <w:rPr>
                <w:rFonts w:asciiTheme="majorHAnsi" w:hAnsiTheme="majorHAnsi" w:cstheme="majorHAnsi"/>
                <w:sz w:val="20"/>
              </w:rPr>
            </w:pPr>
          </w:p>
        </w:tc>
        <w:tc>
          <w:tcPr>
            <w:tcW w:w="1435" w:type="dxa"/>
            <w:vAlign w:val="center"/>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kontajner</w:t>
            </w:r>
          </w:p>
        </w:tc>
        <w:tc>
          <w:tcPr>
            <w:tcW w:w="1677" w:type="dxa"/>
            <w:vMerge/>
          </w:tcPr>
          <w:p w:rsidR="004D1B1B" w:rsidRPr="008F58C0" w:rsidRDefault="004D1B1B" w:rsidP="004D1B1B">
            <w:pPr>
              <w:jc w:val="center"/>
              <w:rPr>
                <w:rFonts w:asciiTheme="majorHAnsi" w:hAnsiTheme="majorHAnsi" w:cstheme="majorHAnsi"/>
                <w:sz w:val="20"/>
              </w:rPr>
            </w:pPr>
          </w:p>
        </w:tc>
      </w:tr>
    </w:tbl>
    <w:p w:rsidR="004D1B1B" w:rsidRPr="008F58C0" w:rsidRDefault="004D1B1B" w:rsidP="008F58C0">
      <w:pPr>
        <w:pStyle w:val="Nadpis2"/>
        <w:numPr>
          <w:ilvl w:val="0"/>
          <w:numId w:val="0"/>
        </w:numPr>
        <w:ind w:left="397"/>
        <w:rPr>
          <w:rFonts w:asciiTheme="majorHAnsi" w:hAnsiTheme="majorHAnsi" w:cstheme="majorHAnsi"/>
          <w:color w:val="000000" w:themeColor="text1"/>
          <w:szCs w:val="20"/>
        </w:rPr>
      </w:pPr>
    </w:p>
    <w:p w:rsidR="004D1B1B" w:rsidRDefault="004D1B1B" w:rsidP="004D1B1B">
      <w:pPr>
        <w:rPr>
          <w:rFonts w:asciiTheme="majorHAnsi" w:hAnsiTheme="majorHAnsi" w:cstheme="majorHAnsi"/>
        </w:rPr>
      </w:pPr>
    </w:p>
    <w:p w:rsidR="008F58C0" w:rsidRDefault="008F58C0" w:rsidP="004D1B1B">
      <w:pPr>
        <w:rPr>
          <w:rFonts w:asciiTheme="majorHAnsi" w:hAnsiTheme="majorHAnsi" w:cstheme="majorHAnsi"/>
        </w:rPr>
      </w:pPr>
    </w:p>
    <w:p w:rsidR="008F58C0" w:rsidRDefault="008F58C0" w:rsidP="004D1B1B">
      <w:pPr>
        <w:rPr>
          <w:rFonts w:asciiTheme="majorHAnsi" w:hAnsiTheme="majorHAnsi" w:cstheme="majorHAnsi"/>
        </w:rPr>
      </w:pPr>
    </w:p>
    <w:p w:rsidR="008F58C0" w:rsidRDefault="008F58C0" w:rsidP="004D1B1B">
      <w:pPr>
        <w:rPr>
          <w:rFonts w:asciiTheme="majorHAnsi" w:hAnsiTheme="majorHAnsi" w:cstheme="majorHAnsi"/>
        </w:rPr>
      </w:pPr>
    </w:p>
    <w:p w:rsidR="008F58C0" w:rsidRDefault="008F58C0" w:rsidP="004D1B1B">
      <w:pPr>
        <w:rPr>
          <w:rFonts w:asciiTheme="majorHAnsi" w:hAnsiTheme="majorHAnsi" w:cstheme="majorHAnsi"/>
        </w:rPr>
      </w:pPr>
    </w:p>
    <w:p w:rsidR="008F58C0" w:rsidRPr="004D1B1B" w:rsidRDefault="008F58C0" w:rsidP="004D1B1B">
      <w:pPr>
        <w:rPr>
          <w:rFonts w:asciiTheme="majorHAnsi" w:hAnsiTheme="majorHAnsi" w:cstheme="majorHAnsi"/>
        </w:rPr>
      </w:pPr>
    </w:p>
    <w:p w:rsidR="004D1B1B" w:rsidRPr="004D1B1B" w:rsidRDefault="004D1B1B" w:rsidP="008F58C0">
      <w:pPr>
        <w:pStyle w:val="Nadpis2"/>
        <w:numPr>
          <w:ilvl w:val="0"/>
          <w:numId w:val="0"/>
        </w:numPr>
        <w:ind w:left="397"/>
        <w:rPr>
          <w:rFonts w:asciiTheme="majorHAnsi" w:hAnsiTheme="majorHAnsi" w:cstheme="majorHAnsi"/>
          <w:color w:val="000000" w:themeColor="text1"/>
        </w:rPr>
      </w:pPr>
    </w:p>
    <w:p w:rsidR="004D1B1B" w:rsidRPr="004D1B1B" w:rsidRDefault="004D1B1B" w:rsidP="004D1B1B">
      <w:pPr>
        <w:rPr>
          <w:rFonts w:asciiTheme="majorHAnsi" w:hAnsiTheme="majorHAnsi" w:cstheme="majorHAnsi"/>
        </w:rPr>
      </w:pPr>
    </w:p>
    <w:p w:rsidR="004D1B1B" w:rsidRPr="004D1B1B" w:rsidRDefault="004D1B1B" w:rsidP="004D1B1B">
      <w:pPr>
        <w:pStyle w:val="Nadpis2"/>
        <w:rPr>
          <w:rFonts w:asciiTheme="majorHAnsi" w:hAnsiTheme="majorHAnsi" w:cstheme="majorHAnsi"/>
          <w:color w:val="000000" w:themeColor="text1"/>
          <w:szCs w:val="20"/>
        </w:rPr>
      </w:pPr>
      <w:bookmarkStart w:id="185" w:name="_Toc18486342"/>
      <w:r w:rsidRPr="004D1B1B">
        <w:rPr>
          <w:rFonts w:asciiTheme="majorHAnsi" w:hAnsiTheme="majorHAnsi" w:cstheme="majorHAnsi"/>
          <w:noProof/>
          <w:lang w:val="sk-SK"/>
        </w:rPr>
        <w:drawing>
          <wp:anchor distT="0" distB="0" distL="114300" distR="114300" simplePos="0" relativeHeight="251678720" behindDoc="0" locked="0" layoutInCell="1" allowOverlap="1" wp14:anchorId="1F0E3C81" wp14:editId="0033E594">
            <wp:simplePos x="0" y="0"/>
            <wp:positionH relativeFrom="page">
              <wp:posOffset>11430</wp:posOffset>
            </wp:positionH>
            <wp:positionV relativeFrom="paragraph">
              <wp:posOffset>-631190</wp:posOffset>
            </wp:positionV>
            <wp:extent cx="7536180" cy="10401300"/>
            <wp:effectExtent l="0" t="0" r="7620" b="12700"/>
            <wp:wrapNone/>
            <wp:docPr id="68" name="Obrázok 4" descr="Obrázok, na ktorom je zelené, brokolica,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DEX RASTLÍNp.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536180" cy="10401300"/>
                    </a:xfrm>
                    <a:prstGeom prst="rect">
                      <a:avLst/>
                    </a:prstGeom>
                  </pic:spPr>
                </pic:pic>
              </a:graphicData>
            </a:graphic>
            <wp14:sizeRelH relativeFrom="page">
              <wp14:pctWidth>0</wp14:pctWidth>
            </wp14:sizeRelH>
            <wp14:sizeRelV relativeFrom="page">
              <wp14:pctHeight>0</wp14:pctHeight>
            </wp14:sizeRelV>
          </wp:anchor>
        </w:drawing>
      </w:r>
      <w:bookmarkEnd w:id="185"/>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p>
    <w:p w:rsidR="004D1B1B" w:rsidRPr="004D1B1B" w:rsidRDefault="004D1B1B" w:rsidP="004D1B1B">
      <w:pPr>
        <w:pStyle w:val="Nadpis2"/>
        <w:rPr>
          <w:rFonts w:asciiTheme="majorHAnsi" w:hAnsiTheme="majorHAnsi" w:cstheme="majorHAnsi"/>
          <w:color w:val="000000" w:themeColor="text1"/>
          <w:szCs w:val="20"/>
        </w:rPr>
      </w:pPr>
      <w:bookmarkStart w:id="186" w:name="_Toc18486343"/>
      <w:r w:rsidRPr="004D1B1B">
        <w:rPr>
          <w:rFonts w:asciiTheme="majorHAnsi" w:hAnsiTheme="majorHAnsi" w:cstheme="majorHAnsi"/>
          <w:color w:val="000000" w:themeColor="text1"/>
          <w:szCs w:val="20"/>
        </w:rPr>
        <w:t>Zeleň ako súčasť fasády objektu veže</w:t>
      </w:r>
      <w:bookmarkEnd w:id="186"/>
    </w:p>
    <w:p w:rsidR="004D1B1B" w:rsidRPr="004D1B1B" w:rsidRDefault="004D1B1B" w:rsidP="004D1B1B">
      <w:pPr>
        <w:rPr>
          <w:rFonts w:asciiTheme="majorHAnsi" w:hAnsiTheme="majorHAnsi" w:cstheme="majorHAnsi"/>
        </w:rPr>
      </w:pPr>
    </w:p>
    <w:p w:rsidR="008F58C0" w:rsidRPr="004856DB" w:rsidRDefault="008F58C0" w:rsidP="008F58C0">
      <w:pPr>
        <w:pStyle w:val="Nadpis2"/>
        <w:rPr>
          <w:rFonts w:ascii="Arial" w:hAnsi="Arial"/>
          <w:color w:val="000000" w:themeColor="text1"/>
          <w:szCs w:val="20"/>
        </w:rPr>
      </w:pPr>
      <w:r w:rsidRPr="004856DB">
        <w:rPr>
          <w:rFonts w:ascii="Arial" w:hAnsi="Arial"/>
          <w:color w:val="000000" w:themeColor="text1"/>
          <w:szCs w:val="20"/>
        </w:rPr>
        <w:lastRenderedPageBreak/>
        <w:t>Zeleň ako súčasť fasády objektu veže</w:t>
      </w:r>
    </w:p>
    <w:p w:rsidR="008F58C0" w:rsidRPr="004856DB" w:rsidRDefault="008F58C0" w:rsidP="008F58C0"/>
    <w:p w:rsidR="008F58C0" w:rsidRDefault="008F58C0" w:rsidP="008F58C0">
      <w:pPr>
        <w:rPr>
          <w:rFonts w:cs="Arial"/>
          <w:sz w:val="18"/>
        </w:rPr>
      </w:pPr>
    </w:p>
    <w:p w:rsidR="00D717DF" w:rsidRPr="00D717DF" w:rsidRDefault="008F58C0" w:rsidP="00D717DF">
      <w:pPr>
        <w:pStyle w:val="Nadpis2"/>
        <w:numPr>
          <w:ilvl w:val="0"/>
          <w:numId w:val="0"/>
        </w:numPr>
        <w:ind w:left="397" w:hanging="397"/>
        <w:rPr>
          <w:rFonts w:asciiTheme="majorHAnsi" w:hAnsiTheme="majorHAnsi" w:cstheme="majorHAnsi"/>
          <w:color w:val="000000" w:themeColor="text1"/>
          <w:szCs w:val="20"/>
        </w:rPr>
      </w:pPr>
      <w:r w:rsidRPr="008F58C0">
        <w:rPr>
          <w:rFonts w:asciiTheme="majorHAnsi" w:hAnsiTheme="majorHAnsi" w:cstheme="majorHAnsi"/>
          <w:color w:val="000000" w:themeColor="text1"/>
          <w:szCs w:val="20"/>
        </w:rPr>
        <w:t>Zeleň ako súčasť fasády objektu veže</w:t>
      </w:r>
    </w:p>
    <w:p w:rsidR="008F58C0" w:rsidRPr="008F58C0" w:rsidRDefault="008F58C0" w:rsidP="008F58C0">
      <w:pPr>
        <w:rPr>
          <w:rFonts w:asciiTheme="majorHAnsi" w:hAnsiTheme="majorHAnsi" w:cstheme="majorHAnsi"/>
          <w:sz w:val="18"/>
        </w:rPr>
      </w:pPr>
    </w:p>
    <w:p w:rsidR="008F58C0" w:rsidRPr="008F58C0" w:rsidRDefault="008F58C0" w:rsidP="008F58C0">
      <w:pPr>
        <w:ind w:firstLine="397"/>
        <w:rPr>
          <w:rFonts w:asciiTheme="majorHAnsi" w:hAnsiTheme="majorHAnsi" w:cstheme="majorHAnsi"/>
          <w:sz w:val="18"/>
        </w:rPr>
      </w:pPr>
      <w:r w:rsidRPr="008F58C0">
        <w:rPr>
          <w:rFonts w:asciiTheme="majorHAnsi" w:hAnsiTheme="majorHAnsi" w:cstheme="majorHAnsi"/>
          <w:sz w:val="18"/>
        </w:rPr>
        <w:t xml:space="preserve">Prostredie vyhliadkovej veže zasahuje do okolitej krajiny, výsadba pochôdznej vegetačnej strechy je teda navrhnutá ako krajinárska zmes, aby prirodzene splynula s vidieckym prostredím. Po obvode vyhliadkovej veže sú vysadené popínavé rastliny rodu </w:t>
      </w:r>
      <w:r w:rsidRPr="008F58C0">
        <w:rPr>
          <w:rFonts w:asciiTheme="majorHAnsi" w:hAnsiTheme="majorHAnsi" w:cstheme="majorHAnsi"/>
          <w:i/>
          <w:sz w:val="18"/>
        </w:rPr>
        <w:t>vitales</w:t>
      </w:r>
      <w:r w:rsidRPr="008F58C0">
        <w:rPr>
          <w:rFonts w:asciiTheme="majorHAnsi" w:hAnsiTheme="majorHAnsi" w:cstheme="majorHAnsi"/>
          <w:sz w:val="18"/>
        </w:rPr>
        <w:t>, a to pavinič trojlaločný /</w:t>
      </w:r>
      <w:r w:rsidRPr="008F58C0">
        <w:rPr>
          <w:rFonts w:asciiTheme="majorHAnsi" w:hAnsiTheme="majorHAnsi" w:cstheme="majorHAnsi"/>
          <w:i/>
          <w:sz w:val="18"/>
        </w:rPr>
        <w:t xml:space="preserve">pathenocissus tricuspidata/ </w:t>
      </w:r>
      <w:r w:rsidRPr="008F58C0">
        <w:rPr>
          <w:rFonts w:asciiTheme="majorHAnsi" w:hAnsiTheme="majorHAnsi" w:cstheme="majorHAnsi"/>
          <w:sz w:val="18"/>
        </w:rPr>
        <w:t>a pavinič päťlistý /</w:t>
      </w:r>
      <w:r w:rsidRPr="008F58C0">
        <w:rPr>
          <w:rFonts w:asciiTheme="majorHAnsi" w:hAnsiTheme="majorHAnsi" w:cstheme="majorHAnsi"/>
          <w:i/>
          <w:sz w:val="18"/>
        </w:rPr>
        <w:t xml:space="preserve">parthenocissus quinquefolia/. </w:t>
      </w:r>
      <w:r w:rsidRPr="008F58C0">
        <w:rPr>
          <w:rFonts w:asciiTheme="majorHAnsi" w:hAnsiTheme="majorHAnsi" w:cstheme="majorHAnsi"/>
          <w:sz w:val="18"/>
        </w:rPr>
        <w:t>Ide o opadavé popínavé rastliny ktoré počas jesenných  mesiacov  efektívne vyfarbujú do červených odtieňov. Popínavé rastliny si vyžadujú usmerňovací rez.</w:t>
      </w:r>
    </w:p>
    <w:p w:rsidR="004D1B1B" w:rsidRPr="004D1B1B" w:rsidRDefault="004D1B1B" w:rsidP="004D1B1B">
      <w:pPr>
        <w:ind w:firstLine="708"/>
        <w:rPr>
          <w:rFonts w:asciiTheme="majorHAnsi" w:hAnsiTheme="majorHAnsi" w:cstheme="majorHAnsi"/>
          <w:sz w:val="18"/>
        </w:rPr>
      </w:pPr>
    </w:p>
    <w:tbl>
      <w:tblPr>
        <w:tblStyle w:val="Mriekatabuky"/>
        <w:tblW w:w="9322" w:type="dxa"/>
        <w:tblLook w:val="04A0" w:firstRow="1" w:lastRow="0" w:firstColumn="1" w:lastColumn="0" w:noHBand="0" w:noVBand="1"/>
      </w:tblPr>
      <w:tblGrid>
        <w:gridCol w:w="854"/>
        <w:gridCol w:w="3257"/>
        <w:gridCol w:w="3369"/>
        <w:gridCol w:w="1842"/>
      </w:tblGrid>
      <w:tr w:rsidR="004D1B1B" w:rsidRPr="008F58C0" w:rsidTr="004D1B1B">
        <w:tc>
          <w:tcPr>
            <w:tcW w:w="9322" w:type="dxa"/>
            <w:gridSpan w:val="4"/>
            <w:vAlign w:val="bottom"/>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ŠPECIFIKÁCIA RASTLINNÉHO MATERIÁLU (NÁVRH)</w:t>
            </w:r>
          </w:p>
        </w:tc>
      </w:tr>
      <w:tr w:rsidR="004D1B1B" w:rsidRPr="008F58C0" w:rsidTr="004D1B1B">
        <w:tc>
          <w:tcPr>
            <w:tcW w:w="9322" w:type="dxa"/>
            <w:gridSpan w:val="4"/>
            <w:vAlign w:val="bottom"/>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POPÍNAVÉ RASTLINY</w:t>
            </w:r>
          </w:p>
        </w:tc>
      </w:tr>
      <w:tr w:rsidR="004D1B1B" w:rsidRPr="008F58C0" w:rsidTr="004D1B1B">
        <w:tc>
          <w:tcPr>
            <w:tcW w:w="847" w:type="dxa"/>
            <w:vAlign w:val="bottom"/>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Ozn.</w:t>
            </w:r>
          </w:p>
        </w:tc>
        <w:tc>
          <w:tcPr>
            <w:tcW w:w="3260" w:type="dxa"/>
            <w:vAlign w:val="bottom"/>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Rod, druh, kultivar</w:t>
            </w:r>
          </w:p>
        </w:tc>
        <w:tc>
          <w:tcPr>
            <w:tcW w:w="3372" w:type="dxa"/>
            <w:vAlign w:val="bottom"/>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Veľkosť kontajnera</w:t>
            </w:r>
          </w:p>
        </w:tc>
        <w:tc>
          <w:tcPr>
            <w:tcW w:w="1843" w:type="dxa"/>
            <w:vAlign w:val="bottom"/>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INTENZITA VÝSADBY</w:t>
            </w:r>
          </w:p>
        </w:tc>
      </w:tr>
      <w:tr w:rsidR="004D1B1B" w:rsidRPr="008F58C0" w:rsidTr="004D1B1B">
        <w:tc>
          <w:tcPr>
            <w:tcW w:w="847" w:type="dxa"/>
            <w:vAlign w:val="bottom"/>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grafická</w:t>
            </w:r>
          </w:p>
        </w:tc>
        <w:tc>
          <w:tcPr>
            <w:tcW w:w="3260" w:type="dxa"/>
            <w:vAlign w:val="bottom"/>
          </w:tcPr>
          <w:p w:rsidR="004D1B1B" w:rsidRPr="008F58C0" w:rsidRDefault="004D1B1B" w:rsidP="004D1B1B">
            <w:pPr>
              <w:jc w:val="center"/>
              <w:rPr>
                <w:rFonts w:asciiTheme="majorHAnsi" w:hAnsiTheme="majorHAnsi" w:cstheme="majorHAnsi"/>
                <w:i/>
                <w:sz w:val="20"/>
              </w:rPr>
            </w:pPr>
            <w:r w:rsidRPr="008F58C0">
              <w:rPr>
                <w:rFonts w:asciiTheme="majorHAnsi" w:hAnsiTheme="majorHAnsi" w:cstheme="majorHAnsi"/>
                <w:i/>
                <w:sz w:val="20"/>
              </w:rPr>
              <w:t>Parthenocissus tricuspidata</w:t>
            </w:r>
          </w:p>
        </w:tc>
        <w:tc>
          <w:tcPr>
            <w:tcW w:w="3372" w:type="dxa"/>
            <w:vAlign w:val="bottom"/>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K9</w:t>
            </w:r>
          </w:p>
        </w:tc>
        <w:tc>
          <w:tcPr>
            <w:tcW w:w="1843" w:type="dxa"/>
            <w:vMerge w:val="restart"/>
            <w:vAlign w:val="center"/>
          </w:tcPr>
          <w:p w:rsidR="004D1B1B" w:rsidRPr="008F58C0" w:rsidRDefault="004D1B1B" w:rsidP="004D1B1B">
            <w:pPr>
              <w:jc w:val="center"/>
              <w:rPr>
                <w:rFonts w:asciiTheme="majorHAnsi" w:hAnsiTheme="majorHAnsi" w:cstheme="majorHAnsi"/>
                <w:sz w:val="20"/>
              </w:rPr>
            </w:pPr>
            <w:r w:rsidRPr="008F58C0">
              <w:rPr>
                <w:rFonts w:asciiTheme="majorHAnsi" w:eastAsiaTheme="minorHAnsi" w:hAnsiTheme="majorHAnsi" w:cstheme="majorHAnsi"/>
                <w:color w:val="000000"/>
                <w:sz w:val="20"/>
              </w:rPr>
              <w:t>0,5 M – koreň</w:t>
            </w:r>
          </w:p>
        </w:tc>
      </w:tr>
      <w:tr w:rsidR="004D1B1B" w:rsidRPr="008F58C0" w:rsidTr="004D1B1B">
        <w:tc>
          <w:tcPr>
            <w:tcW w:w="847" w:type="dxa"/>
            <w:vAlign w:val="bottom"/>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grafická</w:t>
            </w:r>
          </w:p>
        </w:tc>
        <w:tc>
          <w:tcPr>
            <w:tcW w:w="3260" w:type="dxa"/>
            <w:vAlign w:val="bottom"/>
          </w:tcPr>
          <w:p w:rsidR="004D1B1B" w:rsidRPr="008F58C0" w:rsidRDefault="004D1B1B" w:rsidP="004D1B1B">
            <w:pPr>
              <w:jc w:val="center"/>
              <w:rPr>
                <w:rFonts w:asciiTheme="majorHAnsi" w:hAnsiTheme="majorHAnsi" w:cstheme="majorHAnsi"/>
                <w:i/>
                <w:sz w:val="20"/>
              </w:rPr>
            </w:pPr>
            <w:r w:rsidRPr="008F58C0">
              <w:rPr>
                <w:rFonts w:asciiTheme="majorHAnsi" w:hAnsiTheme="majorHAnsi" w:cstheme="majorHAnsi"/>
                <w:i/>
                <w:sz w:val="20"/>
              </w:rPr>
              <w:t>Parthenocissus quinquefolia</w:t>
            </w:r>
          </w:p>
        </w:tc>
        <w:tc>
          <w:tcPr>
            <w:tcW w:w="3372" w:type="dxa"/>
            <w:vAlign w:val="bottom"/>
          </w:tcPr>
          <w:p w:rsidR="004D1B1B" w:rsidRPr="008F58C0" w:rsidRDefault="004D1B1B" w:rsidP="004D1B1B">
            <w:pPr>
              <w:jc w:val="center"/>
              <w:rPr>
                <w:rFonts w:asciiTheme="majorHAnsi" w:hAnsiTheme="majorHAnsi" w:cstheme="majorHAnsi"/>
                <w:sz w:val="20"/>
              </w:rPr>
            </w:pPr>
            <w:r w:rsidRPr="008F58C0">
              <w:rPr>
                <w:rFonts w:asciiTheme="majorHAnsi" w:hAnsiTheme="majorHAnsi" w:cstheme="majorHAnsi"/>
                <w:sz w:val="20"/>
              </w:rPr>
              <w:t>K9</w:t>
            </w:r>
          </w:p>
        </w:tc>
        <w:tc>
          <w:tcPr>
            <w:tcW w:w="1843" w:type="dxa"/>
            <w:vMerge/>
            <w:vAlign w:val="bottom"/>
          </w:tcPr>
          <w:p w:rsidR="004D1B1B" w:rsidRPr="008F58C0" w:rsidRDefault="004D1B1B" w:rsidP="004D1B1B">
            <w:pPr>
              <w:jc w:val="center"/>
              <w:rPr>
                <w:rFonts w:asciiTheme="majorHAnsi" w:hAnsiTheme="majorHAnsi" w:cstheme="majorHAnsi"/>
                <w:sz w:val="20"/>
              </w:rPr>
            </w:pPr>
          </w:p>
        </w:tc>
      </w:tr>
    </w:tbl>
    <w:p w:rsidR="004D1B1B" w:rsidRPr="004D1B1B" w:rsidRDefault="004D1B1B" w:rsidP="004D1B1B">
      <w:pPr>
        <w:rPr>
          <w:rFonts w:asciiTheme="majorHAnsi" w:hAnsiTheme="majorHAnsi" w:cstheme="majorHAnsi"/>
        </w:rPr>
      </w:pPr>
    </w:p>
    <w:p w:rsidR="004D1B1B" w:rsidRPr="004D1B1B" w:rsidRDefault="004D1B1B" w:rsidP="00165ED7">
      <w:pPr>
        <w:pStyle w:val="Nadpis1"/>
      </w:pPr>
      <w:bookmarkStart w:id="187" w:name="_Toc18486344"/>
      <w:r w:rsidRPr="004D1B1B">
        <w:t>VYTÝČENIE VEGETAČNÝCH ÚPRAV</w:t>
      </w:r>
      <w:bookmarkEnd w:id="187"/>
    </w:p>
    <w:p w:rsidR="004D1B1B" w:rsidRPr="004D1B1B" w:rsidRDefault="004D1B1B" w:rsidP="004D1B1B">
      <w:pPr>
        <w:rPr>
          <w:rFonts w:asciiTheme="majorHAnsi" w:hAnsiTheme="majorHAnsi" w:cstheme="majorHAnsi"/>
          <w:sz w:val="18"/>
        </w:rPr>
      </w:pPr>
    </w:p>
    <w:p w:rsidR="004D1B1B" w:rsidRPr="004D1B1B" w:rsidRDefault="004D1B1B" w:rsidP="004D1B1B">
      <w:pPr>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Vytýčenie stromov a hraníc jednotlivých vegetačných úprav je od spevnených plôch a použitím vytyčovacích línii jasne označených v grafickej časti.</w:t>
      </w:r>
    </w:p>
    <w:p w:rsidR="004D1B1B" w:rsidRPr="004D1B1B" w:rsidRDefault="004D1B1B" w:rsidP="00165ED7">
      <w:pPr>
        <w:pStyle w:val="Nadpis1"/>
      </w:pPr>
      <w:bookmarkStart w:id="188" w:name="_Toc18486345"/>
      <w:r w:rsidRPr="004D1B1B">
        <w:t>TECHNOLÓGIA ZAKLADANIA VEGETAČNÝCH ÚPRAV</w:t>
      </w:r>
      <w:bookmarkEnd w:id="188"/>
      <w:r w:rsidRPr="004D1B1B">
        <w:t xml:space="preserve"> </w:t>
      </w:r>
    </w:p>
    <w:p w:rsidR="004D1B1B" w:rsidRPr="004D1B1B" w:rsidRDefault="004D1B1B" w:rsidP="004D1B1B">
      <w:pPr>
        <w:rPr>
          <w:rFonts w:asciiTheme="majorHAnsi" w:hAnsiTheme="majorHAnsi" w:cstheme="majorHAnsi"/>
          <w:sz w:val="18"/>
        </w:rPr>
      </w:pPr>
    </w:p>
    <w:p w:rsidR="004D1B1B" w:rsidRPr="004D1B1B" w:rsidRDefault="008F58C0" w:rsidP="008F58C0">
      <w:pPr>
        <w:pStyle w:val="Nadpis2"/>
        <w:numPr>
          <w:ilvl w:val="0"/>
          <w:numId w:val="0"/>
        </w:numPr>
        <w:ind w:left="397" w:hanging="397"/>
        <w:rPr>
          <w:rFonts w:asciiTheme="majorHAnsi" w:hAnsiTheme="majorHAnsi" w:cstheme="majorHAnsi"/>
          <w:color w:val="000000" w:themeColor="text1"/>
        </w:rPr>
      </w:pPr>
      <w:bookmarkStart w:id="189" w:name="_Toc494615609"/>
      <w:bookmarkStart w:id="190" w:name="_Toc506187839"/>
      <w:bookmarkStart w:id="191" w:name="_Toc506187918"/>
      <w:bookmarkStart w:id="192" w:name="_Toc506189437"/>
      <w:bookmarkStart w:id="193" w:name="_Toc506189472"/>
      <w:bookmarkStart w:id="194" w:name="_Toc506189771"/>
      <w:bookmarkStart w:id="195" w:name="_Toc506189804"/>
      <w:bookmarkStart w:id="196" w:name="_Toc506189839"/>
      <w:bookmarkStart w:id="197" w:name="_Toc506190231"/>
      <w:bookmarkStart w:id="198" w:name="_Toc506194098"/>
      <w:bookmarkStart w:id="199" w:name="_Toc506197815"/>
      <w:bookmarkStart w:id="200" w:name="_Toc506200598"/>
      <w:bookmarkStart w:id="201" w:name="_Toc506201701"/>
      <w:bookmarkStart w:id="202" w:name="_Toc506211011"/>
      <w:bookmarkStart w:id="203" w:name="_Toc506451469"/>
      <w:bookmarkStart w:id="204" w:name="_Toc511300706"/>
      <w:bookmarkStart w:id="205" w:name="_Toc511302941"/>
      <w:bookmarkStart w:id="206" w:name="_Toc511302989"/>
      <w:bookmarkStart w:id="207" w:name="_Toc511306891"/>
      <w:bookmarkStart w:id="208" w:name="_Toc511307133"/>
      <w:bookmarkStart w:id="209" w:name="_Toc511373197"/>
      <w:bookmarkStart w:id="210" w:name="_Toc1475990"/>
      <w:bookmarkStart w:id="211" w:name="_Toc18486346"/>
      <w:r>
        <w:rPr>
          <w:rFonts w:asciiTheme="majorHAnsi" w:hAnsiTheme="majorHAnsi" w:cstheme="majorHAnsi"/>
          <w:color w:val="000000" w:themeColor="text1"/>
        </w:rPr>
        <w:t>C</w:t>
      </w:r>
      <w:r w:rsidR="004D1B1B" w:rsidRPr="004D1B1B">
        <w:rPr>
          <w:rFonts w:asciiTheme="majorHAnsi" w:hAnsiTheme="majorHAnsi" w:cstheme="majorHAnsi"/>
          <w:color w:val="000000" w:themeColor="text1"/>
        </w:rPr>
        <w:t>eloplošná úprava terénu</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rsidR="004D1B1B" w:rsidRPr="004D1B1B" w:rsidRDefault="004D1B1B" w:rsidP="004D1B1B">
      <w:pPr>
        <w:rPr>
          <w:rFonts w:asciiTheme="majorHAnsi" w:hAnsiTheme="majorHAnsi" w:cstheme="majorHAnsi"/>
          <w:sz w:val="18"/>
        </w:rPr>
      </w:pPr>
    </w:p>
    <w:p w:rsidR="004D1B1B" w:rsidRPr="004D1B1B" w:rsidRDefault="004D1B1B" w:rsidP="008F58C0">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Postup prípravy záhonov, plôch pre výsev trávnikov a výsadbu drevín podlieha kvalitnej príprave všetkých plôch podľa STN 83 7015:</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odstránenie stavebnej sute,</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rozrušenie zhutneného terénu,</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vyrovnanie terénnych nerovností,</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odstránenie ruderálneho porastu totálnym herbicídom na plochách určených pre založenie kvitnúcej, trávovo-bylinnej zmesi, výsadby tráv a trvalkových záhonov,</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spracovanie pôdy kultivátorom do hĺbky 20cm na plochách plošných výsadieb – výsadby krov, vyrovnanie terénu,</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pôda musí byť pred navezením ornice upravená na optimálne hodnoty dostupných živín pre rastliny; pôda stredne ťažká, hlinito piesočnatá, pH 6 pre trávniky; pH 6,5-6,7 pre dreviny a trvalkové záhony,</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ornica sa rozloží rovnomerne po ploche,</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počas výsadby drevín je nutné zohľadniť hlavné požiadavky na prípravu stanoviska.</w:t>
      </w:r>
    </w:p>
    <w:p w:rsidR="008F58C0" w:rsidRDefault="008F58C0" w:rsidP="008F58C0">
      <w:pPr>
        <w:pStyle w:val="Nadpis2"/>
        <w:numPr>
          <w:ilvl w:val="1"/>
          <w:numId w:val="0"/>
        </w:numPr>
        <w:spacing w:before="0" w:after="0"/>
        <w:ind w:left="576" w:hanging="576"/>
        <w:rPr>
          <w:rFonts w:asciiTheme="majorHAnsi" w:hAnsiTheme="majorHAnsi" w:cstheme="majorHAnsi"/>
          <w:color w:val="000000" w:themeColor="text1"/>
        </w:rPr>
      </w:pPr>
      <w:bookmarkStart w:id="212" w:name="_Toc494615610"/>
      <w:bookmarkStart w:id="213" w:name="_Toc506187840"/>
      <w:bookmarkStart w:id="214" w:name="_Toc506187919"/>
      <w:bookmarkStart w:id="215" w:name="_Toc506189438"/>
      <w:bookmarkStart w:id="216" w:name="_Toc506189473"/>
      <w:bookmarkStart w:id="217" w:name="_Toc506189772"/>
      <w:bookmarkStart w:id="218" w:name="_Toc506189805"/>
      <w:bookmarkStart w:id="219" w:name="_Toc506189840"/>
      <w:bookmarkStart w:id="220" w:name="_Toc506190232"/>
      <w:bookmarkStart w:id="221" w:name="_Toc506194099"/>
      <w:bookmarkStart w:id="222" w:name="_Toc506197816"/>
      <w:bookmarkStart w:id="223" w:name="_Toc506200599"/>
      <w:bookmarkStart w:id="224" w:name="_Toc506201702"/>
      <w:bookmarkStart w:id="225" w:name="_Toc506211012"/>
      <w:bookmarkStart w:id="226" w:name="_Toc506451470"/>
      <w:bookmarkStart w:id="227" w:name="_Toc511300707"/>
      <w:bookmarkStart w:id="228" w:name="_Toc511302942"/>
      <w:bookmarkStart w:id="229" w:name="_Toc511302990"/>
      <w:bookmarkStart w:id="230" w:name="_Toc511306892"/>
      <w:bookmarkStart w:id="231" w:name="_Toc511307134"/>
      <w:bookmarkStart w:id="232" w:name="_Toc511373198"/>
      <w:bookmarkStart w:id="233" w:name="_Toc1475991"/>
      <w:bookmarkStart w:id="234" w:name="_Toc18486347"/>
    </w:p>
    <w:p w:rsidR="004D1B1B" w:rsidRPr="004D1B1B" w:rsidRDefault="004D1B1B" w:rsidP="008F58C0">
      <w:pPr>
        <w:pStyle w:val="Nadpis2"/>
        <w:numPr>
          <w:ilvl w:val="1"/>
          <w:numId w:val="0"/>
        </w:numPr>
        <w:spacing w:before="0" w:after="0"/>
        <w:ind w:left="576" w:hanging="576"/>
        <w:rPr>
          <w:rFonts w:asciiTheme="majorHAnsi" w:hAnsiTheme="majorHAnsi" w:cstheme="majorHAnsi"/>
          <w:color w:val="000000" w:themeColor="text1"/>
        </w:rPr>
      </w:pPr>
      <w:r w:rsidRPr="004D1B1B">
        <w:rPr>
          <w:rFonts w:asciiTheme="majorHAnsi" w:hAnsiTheme="majorHAnsi" w:cstheme="majorHAnsi"/>
          <w:color w:val="000000" w:themeColor="text1"/>
        </w:rPr>
        <w:t>Výsadba stromov</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rsidR="004D1B1B" w:rsidRPr="004D1B1B" w:rsidRDefault="004D1B1B" w:rsidP="008F58C0">
      <w:pPr>
        <w:rPr>
          <w:rFonts w:asciiTheme="majorHAnsi" w:hAnsiTheme="majorHAnsi" w:cstheme="majorHAnsi"/>
          <w:sz w:val="18"/>
        </w:rPr>
      </w:pP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výsadba drevín  sa riadi platnou technickou normou STN 83 7010,</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obvod kmeňa minimálne 15-20cm, výška kmeňa (podchôdzna výška) min 2,5m,</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kvalitne založená koruna s nepoškodeným a rovným terminálom,</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veľkosť výsadbovej jamy min. 1,0 m</w:t>
      </w:r>
      <w:r w:rsidRPr="004D1B1B">
        <w:rPr>
          <w:rFonts w:asciiTheme="majorHAnsi" w:hAnsiTheme="majorHAnsi" w:cstheme="majorHAnsi"/>
          <w:sz w:val="18"/>
          <w:shd w:val="clear" w:color="auto" w:fill="FFFFFF"/>
          <w:vertAlign w:val="superscript"/>
        </w:rPr>
        <w:t>3</w:t>
      </w:r>
      <w:r w:rsidRPr="004D1B1B">
        <w:rPr>
          <w:rFonts w:asciiTheme="majorHAnsi" w:hAnsiTheme="majorHAnsi" w:cstheme="majorHAnsi"/>
          <w:sz w:val="18"/>
          <w:shd w:val="clear" w:color="auto" w:fill="FFFFFF"/>
        </w:rPr>
        <w:t xml:space="preserve"> s 50% výmenou pôdy s použitím záhradníckeho substrátu,</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hnojenie tabletovým hnojivom Silvamix MG v množstve 20 ks k jednému stromu, (nesmie byť  aplikované v priamom dotyku s koreňmi vysádzaných stromov),</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výsadbové misy pre zachytenie dažďovej vody,</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ukotvenie kolovou konštrukciou z troch kolov s dĺžkou 2,5 m a priemerom 8cm, kmeň chránený pod úväzom jutovou vrstvou a jednotlivé dreviny budú vyviazané jutovými povrazmi dostatočnej hrúbky,</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ochrana kmeňa chráničom z trstinovej rohože,</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mulčovanie 15cm vrstvou mulča (drevnej kôry ihličnatých stromov  najlepšie borovice),</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kôra nesmie byť nahrnutá ku kmeňom stromov, plocha 1m</w:t>
      </w:r>
      <w:r w:rsidRPr="004D1B1B">
        <w:rPr>
          <w:rFonts w:asciiTheme="majorHAnsi" w:hAnsiTheme="majorHAnsi" w:cstheme="majorHAnsi"/>
          <w:sz w:val="18"/>
          <w:shd w:val="clear" w:color="auto" w:fill="FFFFFF"/>
          <w:vertAlign w:val="superscript"/>
        </w:rPr>
        <w:t>2</w:t>
      </w:r>
      <w:r w:rsidRPr="004D1B1B">
        <w:rPr>
          <w:rFonts w:asciiTheme="majorHAnsi" w:hAnsiTheme="majorHAnsi" w:cstheme="majorHAnsi"/>
          <w:sz w:val="18"/>
          <w:shd w:val="clear" w:color="auto" w:fill="FFFFFF"/>
        </w:rPr>
        <w:t xml:space="preserve"> (70 l) pre každý strom,</w:t>
      </w:r>
    </w:p>
    <w:p w:rsidR="00D717DF" w:rsidRPr="00D717DF"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 výsadbe sa vykoná jednorazová zálievka 100 l vody, postupné zalievanie so zohľadnením vsiakavosti pôdy.</w:t>
      </w:r>
    </w:p>
    <w:p w:rsidR="008F58C0" w:rsidRDefault="008F58C0" w:rsidP="004D1B1B">
      <w:pPr>
        <w:ind w:firstLine="708"/>
        <w:jc w:val="both"/>
        <w:rPr>
          <w:rFonts w:asciiTheme="majorHAnsi" w:hAnsiTheme="majorHAnsi" w:cstheme="majorHAnsi"/>
          <w:sz w:val="18"/>
          <w:shd w:val="clear" w:color="auto" w:fill="FFFFFF"/>
        </w:rPr>
      </w:pP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 xml:space="preserve">Dreviny je potrebné pred výsadbou skontrolovať. Kontroluje sa hlavne možné poškodenie kôry, konárov a terminálneho výhonu spôsobené prevozom a manipuláciou, optimálny tvar a zahustenie koruny. Pri reze, ak je potrebný, je </w:t>
      </w:r>
      <w:r w:rsidRPr="004D1B1B">
        <w:rPr>
          <w:rFonts w:asciiTheme="majorHAnsi" w:hAnsiTheme="majorHAnsi" w:cstheme="majorHAnsi"/>
          <w:sz w:val="18"/>
          <w:shd w:val="clear" w:color="auto" w:fill="FFFFFF"/>
        </w:rPr>
        <w:lastRenderedPageBreak/>
        <w:t>nutné dodržať prirodzenú, alebo požadovanú rastovú formu. Poškodené časti dreviny sa musia odstrániť alebo ošetriť. Úprava koruny sa vykonáva presvetľovaním, t.j. odstránením konárov až pri kmeni, ale aj skracovaním výhonkov na ťažeň. Terminálny výhon sa nikdy neodstraňuje ani neskracuje. V prípade, že je terminálny výhon poškodený je nutné vytvoriť nový terminál z konára, ktorý je najbližšie pri poškodenom terminálnom výhone.</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Správna príprava výsadbových jám je potrebná k ideálnemu prijatiu vysádzaných drevín. Výsadbové jamy musia byť minimálne 1,5-krát väčšie ako je zemný bal vysádzaných rastlín.</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Test priepustnosti podložia je nutné realizovať pred vysadením stromu na stanovisko, vykonáva sa naplnením jamy dostatočným množstvom vody. Pri neabsorbovaní vody zeminou do dvoch hodín je potrebné vybudovať drenážnu vrstvu z drobného kameniva určeného pre mulčovanie s prímesou zásypového substrátu. Hrúbka drenážnej vrstvy by mala byť cca 100 mm rovnomerne na dne výsadbovej jamy.</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Pred vložením dreviny do výsadbovej jamy sa nainštalujú kotvy. Pri drevinách s koreňovým balom sa uvoľní zviazanie balu na koreňovom kŕčku. Hĺbka výsadby je daná veľkosťou zemného balu, t.j. drevina v oblasti kmeňa nesmie byť zasypaná viac, ako je výška zeminy v zemnom bale.</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Následne je koreňové baly potrebné zo všetkých strán obsypať kyprou zeminou, rovnomerne pritlačiť a zaliať. Počas zasýpania zemného balu sa do výsadbovej jamy rovnomerne pridá dávka hnojiva SILVAMIX v množstve 20 tabliet na 1ks dreviny ak je po kontrolnom rozbore nepostačujúca dávka živín v zásypovom substráte a doplnia sa mikrohízne huby ako podpora pre lepšie zakorenenie a správny príjem živín. Tieto aplikujeme vo forme zálievky do koreňového balu, v množstve doporučenom výrobcom. Po zahrnutí výsadbovej jamy sa vytvorí zavlažovacia misa. Závlahová miska je špeciálne upravený povrch výsadbovej jamy, ktorý vytvára podmienky na ďalší rast a vývoj dreviny. Pri drevinách je potrebné vytvoriť závlahové misky tak, aby voda stekala smerom k drevine – tvar lievika.</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Počas výsadby je nevyhnutné zabezpečiť priebežné zaliatie, aby sa docielilo rovnomerné zavlaženie celého koreňového balu, výsadbovej jamy a jej bezprostredného okolia.</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Počas prvých troch rokov je nutné dbať na dostatok vlahy v oblasti koreňovej sústavy. V prípade nepriaznivých vlahových pomerov je nutná dodatočná lokálna závlaha v dávke 100 litrov pre jeden strom v týždňových intervaloch od mája do augusta.</w:t>
      </w:r>
    </w:p>
    <w:p w:rsidR="004D1B1B" w:rsidRPr="004D1B1B" w:rsidRDefault="004D1B1B" w:rsidP="004D1B1B">
      <w:pPr>
        <w:jc w:val="both"/>
        <w:rPr>
          <w:rFonts w:asciiTheme="majorHAnsi" w:hAnsiTheme="majorHAnsi" w:cstheme="majorHAnsi"/>
          <w:sz w:val="18"/>
          <w:shd w:val="clear" w:color="auto" w:fill="FFFFFF"/>
        </w:rPr>
      </w:pPr>
    </w:p>
    <w:p w:rsidR="004D1B1B" w:rsidRPr="004D1B1B" w:rsidRDefault="004D1B1B" w:rsidP="008F58C0">
      <w:pPr>
        <w:pStyle w:val="Nadpis2"/>
        <w:numPr>
          <w:ilvl w:val="1"/>
          <w:numId w:val="0"/>
        </w:numPr>
        <w:spacing w:before="0" w:after="0"/>
        <w:ind w:left="576" w:hanging="576"/>
        <w:rPr>
          <w:rFonts w:asciiTheme="majorHAnsi" w:hAnsiTheme="majorHAnsi" w:cstheme="majorHAnsi"/>
          <w:color w:val="000000" w:themeColor="text1"/>
        </w:rPr>
      </w:pPr>
      <w:bookmarkStart w:id="235" w:name="_Toc494615611"/>
      <w:bookmarkStart w:id="236" w:name="_Toc1475992"/>
      <w:bookmarkStart w:id="237" w:name="_Toc18486348"/>
      <w:r w:rsidRPr="004D1B1B">
        <w:rPr>
          <w:rFonts w:asciiTheme="majorHAnsi" w:hAnsiTheme="majorHAnsi" w:cstheme="majorHAnsi"/>
          <w:color w:val="000000" w:themeColor="text1"/>
        </w:rPr>
        <w:t>Výsadba krov</w:t>
      </w:r>
      <w:bookmarkEnd w:id="235"/>
      <w:bookmarkEnd w:id="236"/>
      <w:bookmarkEnd w:id="237"/>
    </w:p>
    <w:p w:rsidR="004D1B1B" w:rsidRPr="004D1B1B" w:rsidRDefault="004D1B1B" w:rsidP="008F58C0">
      <w:pPr>
        <w:rPr>
          <w:rFonts w:asciiTheme="majorHAnsi" w:hAnsiTheme="majorHAnsi" w:cstheme="majorHAnsi"/>
          <w:sz w:val="18"/>
        </w:rPr>
      </w:pPr>
    </w:p>
    <w:p w:rsidR="004D1B1B" w:rsidRPr="004D1B1B" w:rsidRDefault="004D1B1B" w:rsidP="001E7B38">
      <w:pPr>
        <w:numPr>
          <w:ilvl w:val="0"/>
          <w:numId w:val="43"/>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kontajnerované,</w:t>
      </w:r>
    </w:p>
    <w:p w:rsidR="004D1B1B" w:rsidRPr="004D1B1B" w:rsidRDefault="004D1B1B" w:rsidP="001E7B38">
      <w:pPr>
        <w:numPr>
          <w:ilvl w:val="0"/>
          <w:numId w:val="43"/>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výsadbová jama 0,02 – 0,05 m</w:t>
      </w:r>
      <w:r w:rsidRPr="004D1B1B">
        <w:rPr>
          <w:rFonts w:asciiTheme="majorHAnsi" w:hAnsiTheme="majorHAnsi" w:cstheme="majorHAnsi"/>
          <w:sz w:val="18"/>
          <w:shd w:val="clear" w:color="auto" w:fill="FFFFFF"/>
          <w:vertAlign w:val="superscript"/>
        </w:rPr>
        <w:t>3</w:t>
      </w:r>
      <w:r w:rsidRPr="004D1B1B">
        <w:rPr>
          <w:rFonts w:asciiTheme="majorHAnsi" w:hAnsiTheme="majorHAnsi" w:cstheme="majorHAnsi"/>
          <w:sz w:val="18"/>
          <w:shd w:val="clear" w:color="auto" w:fill="FFFFFF"/>
        </w:rPr>
        <w:t>,</w:t>
      </w:r>
    </w:p>
    <w:p w:rsidR="004D1B1B" w:rsidRPr="004D1B1B" w:rsidRDefault="004D1B1B" w:rsidP="001E7B38">
      <w:pPr>
        <w:numPr>
          <w:ilvl w:val="0"/>
          <w:numId w:val="43"/>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50% výmena pôdy s použitím záhradníckeho substrátu,</w:t>
      </w:r>
    </w:p>
    <w:p w:rsidR="004D1B1B" w:rsidRPr="004D1B1B" w:rsidRDefault="004D1B1B" w:rsidP="001E7B38">
      <w:pPr>
        <w:numPr>
          <w:ilvl w:val="0"/>
          <w:numId w:val="43"/>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hnojenie tabletovým hnojivom Silvamix MG 1 ks ku kríku,</w:t>
      </w:r>
    </w:p>
    <w:p w:rsidR="004D1B1B" w:rsidRPr="004D1B1B" w:rsidRDefault="004D1B1B" w:rsidP="001E7B38">
      <w:pPr>
        <w:numPr>
          <w:ilvl w:val="0"/>
          <w:numId w:val="43"/>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mulčovanie 15cm vrstvou mulča (drevnej kôry ihličnatých stromov - najlepšie borovice), v celej ploche výsadby,</w:t>
      </w:r>
    </w:p>
    <w:p w:rsidR="004D1B1B" w:rsidRPr="004D1B1B" w:rsidRDefault="004D1B1B" w:rsidP="001E7B38">
      <w:pPr>
        <w:numPr>
          <w:ilvl w:val="0"/>
          <w:numId w:val="43"/>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 výsadbe sa vykoná jednorázová zálievka 20 l vody ku každému kru, postupné zalievanie so zohľadnením vsiakavosti pôdy,</w:t>
      </w:r>
    </w:p>
    <w:p w:rsidR="004D1B1B" w:rsidRPr="004D1B1B" w:rsidRDefault="004D1B1B" w:rsidP="001E7B38">
      <w:pPr>
        <w:numPr>
          <w:ilvl w:val="0"/>
          <w:numId w:val="43"/>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spon výsadby závisí od jednotlivých druhov (viď. 02 Osadzovací výkres – situácia).</w:t>
      </w:r>
    </w:p>
    <w:p w:rsidR="004D1B1B" w:rsidRPr="004D1B1B" w:rsidRDefault="004D1B1B" w:rsidP="008F58C0">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Príprave stanoviska je potrebné venovať veľkú pozornosť. Je potrebné zohľadniť nároky kríkov a prispôsobiť pôdne podmienky výsadbe. Pred samotnou výsadbou sa doplnia zložky živín, úpravou pH a obsah dostupných živín.</w:t>
      </w:r>
    </w:p>
    <w:p w:rsidR="004D1B1B" w:rsidRPr="004D1B1B" w:rsidRDefault="004D1B1B" w:rsidP="008F58C0">
      <w:pPr>
        <w:ind w:firstLine="708"/>
        <w:jc w:val="both"/>
        <w:rPr>
          <w:rFonts w:asciiTheme="majorHAnsi" w:hAnsiTheme="majorHAnsi" w:cstheme="majorHAnsi"/>
          <w:sz w:val="18"/>
          <w:shd w:val="clear" w:color="auto" w:fill="FFFFFF"/>
        </w:rPr>
      </w:pPr>
    </w:p>
    <w:p w:rsidR="004D1B1B" w:rsidRPr="004D1B1B" w:rsidRDefault="004D1B1B" w:rsidP="008F58C0">
      <w:pPr>
        <w:pStyle w:val="Nadpis2"/>
        <w:numPr>
          <w:ilvl w:val="1"/>
          <w:numId w:val="0"/>
        </w:numPr>
        <w:spacing w:before="0" w:after="0"/>
        <w:ind w:left="576" w:hanging="576"/>
        <w:rPr>
          <w:rFonts w:asciiTheme="majorHAnsi" w:hAnsiTheme="majorHAnsi" w:cstheme="majorHAnsi"/>
          <w:color w:val="000000" w:themeColor="text1"/>
        </w:rPr>
      </w:pPr>
      <w:bookmarkStart w:id="238" w:name="_Toc1475993"/>
      <w:bookmarkStart w:id="239" w:name="_Toc18486349"/>
      <w:r w:rsidRPr="004D1B1B">
        <w:rPr>
          <w:rFonts w:asciiTheme="majorHAnsi" w:hAnsiTheme="majorHAnsi" w:cstheme="majorHAnsi"/>
          <w:color w:val="000000" w:themeColor="text1"/>
        </w:rPr>
        <w:t>Trvalkové záhony a ich zakladanie</w:t>
      </w:r>
      <w:bookmarkEnd w:id="238"/>
      <w:bookmarkEnd w:id="239"/>
    </w:p>
    <w:p w:rsidR="004D1B1B" w:rsidRPr="004D1B1B" w:rsidRDefault="004D1B1B" w:rsidP="008F58C0">
      <w:pPr>
        <w:rPr>
          <w:rFonts w:asciiTheme="majorHAnsi" w:hAnsiTheme="majorHAnsi" w:cstheme="majorHAnsi"/>
          <w:sz w:val="18"/>
        </w:rPr>
      </w:pP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vytýčenie záhonov</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 xml:space="preserve">pri príprave pôdy je potrebné zaistiť priepustnosť substrátu, t.j. po odburinení previesť </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50 % výmenu substrátu- ílovitú pôdu nahradiť štrkom a pieskom a premiešať (substrát musí byť málo živný a priepustný, napr. zmes ornica, piesok v pomere 50/50 alebo ornica, piesok,</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drobný štrk v pomere 40/30/30) vo vegetačnej vrstve rastlín, tj. cca 40 cm</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výsadba trvaliek a bylín , veľkosť kontajnera K9-11 až C2, dobre zapestované, zdravé vitálne</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rastliny</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výsadba podľa osadzovacieho plánu do štandardnej hĺbky, nie ku krajom</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výsadba 3 ks/m2 trvalky</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výsadba 3 ks/m2 trávy</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mulčovanie  7-8 cm vrstvou minerálneho mulču - štrku frakcie 8/16 mm . zn. nie je možné</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 xml:space="preserve">nechať vegetačnú vrstvu v rovine s obrubníkom </w:t>
      </w:r>
    </w:p>
    <w:p w:rsidR="004D1B1B" w:rsidRPr="004D1B1B" w:rsidRDefault="004D1B1B" w:rsidP="001E7B38">
      <w:pPr>
        <w:numPr>
          <w:ilvl w:val="0"/>
          <w:numId w:val="42"/>
        </w:numPr>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 výsadbe a zamulčovaní celoplošná zálievka  záhonu</w:t>
      </w:r>
    </w:p>
    <w:p w:rsidR="004D1B1B" w:rsidRPr="004D1B1B" w:rsidRDefault="004D1B1B" w:rsidP="008F58C0">
      <w:pPr>
        <w:pStyle w:val="BasicParagraph"/>
        <w:spacing w:line="240" w:lineRule="auto"/>
        <w:rPr>
          <w:rStyle w:val="slostrany"/>
          <w:rFonts w:asciiTheme="majorHAnsi" w:hAnsiTheme="majorHAnsi" w:cstheme="majorHAnsi"/>
          <w:color w:val="auto"/>
          <w:sz w:val="18"/>
          <w:szCs w:val="20"/>
        </w:rPr>
      </w:pP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 xml:space="preserve">Výsadba trvaliek sa riadi technickou normou STN 83 7016. Výsadbu realizujeme do vopred rozrušenej a vyčistenej pôdy. Povrch pôdy je vopred urovnaný, odchýlky na povrch by nemali presahovať 5cm. Na povrch pripravenej pôdy značkovacím sprejom alebo vápnom vytýčime jednotlivé výsadbové plochy podľa technickej dokumentácie. Pre lepšie zorientovanie sa v záhone je vhodné vytýčiť si aj vnútorné členenie záhonu pomocou špagátu si vyniesť raster 1 x 1 meter. </w:t>
      </w:r>
    </w:p>
    <w:p w:rsidR="004D1B1B" w:rsidRPr="004D1B1B" w:rsidRDefault="004D1B1B" w:rsidP="004D1B1B">
      <w:pPr>
        <w:ind w:firstLine="708"/>
        <w:jc w:val="both"/>
        <w:rPr>
          <w:rFonts w:asciiTheme="majorHAnsi" w:hAnsiTheme="majorHAnsi" w:cstheme="majorHAnsi"/>
          <w:sz w:val="18"/>
          <w:shd w:val="clear" w:color="auto" w:fill="FFFFFF"/>
        </w:rPr>
      </w:pP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Rastliny musia byť dostatočne prekorenené, pri vybratí z kontajneru sa koreňový bal nesmie rozsýpať. rastliny, ktoré pri vsádzaní presahujú výšku 1 meter, je vhodné pre lepšiu ujateľnosť zostrihnúť na výšku 50 cm.</w:t>
      </w:r>
    </w:p>
    <w:p w:rsidR="004D1B1B" w:rsidRPr="004D1B1B" w:rsidRDefault="004D1B1B" w:rsidP="004D1B1B">
      <w:pPr>
        <w:ind w:firstLine="708"/>
        <w:jc w:val="both"/>
        <w:rPr>
          <w:rFonts w:asciiTheme="majorHAnsi" w:hAnsiTheme="majorHAnsi" w:cstheme="majorHAnsi"/>
          <w:sz w:val="18"/>
          <w:shd w:val="clear" w:color="auto" w:fill="FFFFFF"/>
        </w:rPr>
      </w:pP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Odporúčame fyzické odkontrolovanie kvality sortimentu počas produkcie, pred výsadbami aj počas nich odborne spôsobilou osobou. Zodpovednosť pri preberaní sa týka najmä množstva, kvality, druhového a kultivarného zloženia, rastovej a kontajnerovej veľkosti, ak aj iných parametrov, ktoré môžu ovplyvniť kvalitu sadbového materiálu. Zodpovedná osoba musí byť nezávislá a mimo pracovného pomeru so zhotoviteľom.</w:t>
      </w:r>
    </w:p>
    <w:p w:rsidR="004D1B1B" w:rsidRPr="004D1B1B" w:rsidRDefault="004D1B1B" w:rsidP="004D1B1B">
      <w:pPr>
        <w:ind w:firstLine="708"/>
        <w:jc w:val="both"/>
        <w:rPr>
          <w:rFonts w:asciiTheme="majorHAnsi" w:hAnsiTheme="majorHAnsi" w:cstheme="majorHAnsi"/>
          <w:sz w:val="18"/>
          <w:shd w:val="clear" w:color="auto" w:fill="FFFFFF"/>
        </w:rPr>
      </w:pP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Pri výsadbe trvaliek kontrolujeme celkovú kvalitu sadeníc, kvalitu prekorenenia a ich zdravotný stav, ako aj dopytovanú veľkosť rastlín. Zemný bal pred výsadbou dôsledne prevlhčíme, aby bola vytvorená dostatočná vodná zásoba nevyhnutná pre úspešné prijatie sadenice. Vhodný spôsob na premokrenie celého koreňového balu je máčanie v nádobách. Pred výsadbou sadenicu zbavíme obalu, prípadných burín a výsadbu zabezpečíme do vopred vyhĺbenej jamky tak, aby bola sadenica do pôdy osadená v rovnakej výške, ako je jej zemný bal. Poškodenie časti sadeníc je nutné odstrániť ešte pred samotnou výsadbou.</w:t>
      </w:r>
    </w:p>
    <w:p w:rsidR="004D1B1B" w:rsidRPr="004D1B1B" w:rsidRDefault="004D1B1B" w:rsidP="004D1B1B">
      <w:pPr>
        <w:ind w:firstLine="708"/>
        <w:jc w:val="both"/>
        <w:rPr>
          <w:rFonts w:asciiTheme="majorHAnsi" w:hAnsiTheme="majorHAnsi" w:cstheme="majorHAnsi"/>
          <w:sz w:val="18"/>
          <w:shd w:val="clear" w:color="auto" w:fill="FFFFFF"/>
        </w:rPr>
      </w:pP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Optimálne množstvo závlahovej dávky v záhonoch je 35l/m2 za týždeň. Závlaha bude navrhnutá na 5l / 1m2 / 1h. Závlahová dávka by sa nemala rozdeľovať na menšie  počas dňa. V závislosti od zrážkových pomerov je potrebné intenzitu závlahy zvyšovať.</w:t>
      </w:r>
    </w:p>
    <w:p w:rsidR="004D1B1B" w:rsidRPr="004D1B1B" w:rsidRDefault="004D1B1B" w:rsidP="004D1B1B">
      <w:pPr>
        <w:ind w:firstLine="708"/>
        <w:jc w:val="both"/>
        <w:rPr>
          <w:rFonts w:asciiTheme="majorHAnsi" w:hAnsiTheme="majorHAnsi" w:cstheme="majorHAnsi"/>
          <w:sz w:val="18"/>
          <w:shd w:val="clear" w:color="auto" w:fill="FFFFFF"/>
        </w:rPr>
      </w:pP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Ročná dávka hnojiva musí byť rozdelená na dve hnojenia v pomere 70% a 30%. Doporučená ročná dávka je 30g / 1m2. Prvá dávka hnojiva Cererit sa aplikuje v III. a IV. mesiaci, druhá dávka koncom VI. mesiaca a začiatkom VII. mesiaca. Aplikácia hnojiva urýchli cielený efekt a zabezpečí rýchly rozvoj sadeníc čo potlačí možnosť uplatnenia nežiaducich burín a náletov.</w:t>
      </w:r>
    </w:p>
    <w:p w:rsidR="004D1B1B" w:rsidRPr="004D1B1B" w:rsidRDefault="004D1B1B" w:rsidP="004D1B1B">
      <w:pPr>
        <w:jc w:val="both"/>
        <w:rPr>
          <w:rFonts w:asciiTheme="majorHAnsi" w:hAnsiTheme="majorHAnsi" w:cstheme="majorHAnsi"/>
          <w:sz w:val="18"/>
          <w:shd w:val="clear" w:color="auto" w:fill="FFFFFF"/>
        </w:rPr>
      </w:pPr>
    </w:p>
    <w:p w:rsidR="004D1B1B" w:rsidRPr="004D1B1B" w:rsidRDefault="004D1B1B" w:rsidP="004D1B1B">
      <w:pPr>
        <w:pStyle w:val="Nadpis2"/>
        <w:numPr>
          <w:ilvl w:val="1"/>
          <w:numId w:val="0"/>
        </w:numPr>
        <w:spacing w:before="40"/>
        <w:ind w:left="576" w:hanging="576"/>
        <w:rPr>
          <w:rFonts w:asciiTheme="majorHAnsi" w:hAnsiTheme="majorHAnsi" w:cstheme="majorHAnsi"/>
          <w:color w:val="000000" w:themeColor="text1"/>
        </w:rPr>
      </w:pPr>
      <w:bookmarkStart w:id="240" w:name="_Toc494615613"/>
      <w:bookmarkStart w:id="241" w:name="_Toc506187842"/>
      <w:bookmarkStart w:id="242" w:name="_Toc506187921"/>
      <w:bookmarkStart w:id="243" w:name="_Toc506189440"/>
      <w:bookmarkStart w:id="244" w:name="_Toc506189475"/>
      <w:bookmarkStart w:id="245" w:name="_Toc506189774"/>
      <w:bookmarkStart w:id="246" w:name="_Toc506189807"/>
      <w:bookmarkStart w:id="247" w:name="_Toc506189842"/>
      <w:bookmarkStart w:id="248" w:name="_Toc506190234"/>
      <w:bookmarkStart w:id="249" w:name="_Toc506194101"/>
      <w:bookmarkStart w:id="250" w:name="_Toc506197818"/>
      <w:bookmarkStart w:id="251" w:name="_Toc506200601"/>
      <w:bookmarkStart w:id="252" w:name="_Toc506201704"/>
      <w:bookmarkStart w:id="253" w:name="_Toc506211014"/>
      <w:bookmarkStart w:id="254" w:name="_Toc506451472"/>
      <w:bookmarkStart w:id="255" w:name="_Toc511300709"/>
      <w:bookmarkStart w:id="256" w:name="_Toc511302944"/>
      <w:bookmarkStart w:id="257" w:name="_Toc511302992"/>
      <w:bookmarkStart w:id="258" w:name="_Toc511306894"/>
      <w:bookmarkStart w:id="259" w:name="_Toc511307136"/>
      <w:bookmarkStart w:id="260" w:name="_Toc511373200"/>
      <w:bookmarkStart w:id="261" w:name="_Toc1475994"/>
      <w:bookmarkStart w:id="262" w:name="_Toc18486350"/>
      <w:r w:rsidRPr="004D1B1B">
        <w:rPr>
          <w:rFonts w:asciiTheme="majorHAnsi" w:hAnsiTheme="majorHAnsi" w:cstheme="majorHAnsi"/>
          <w:color w:val="000000" w:themeColor="text1"/>
        </w:rPr>
        <w:t>Zakladanie siatych záhonov</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rsidR="004D1B1B" w:rsidRPr="004D1B1B" w:rsidRDefault="004D1B1B" w:rsidP="004D1B1B">
      <w:pPr>
        <w:rPr>
          <w:rFonts w:asciiTheme="majorHAnsi" w:hAnsiTheme="majorHAnsi" w:cstheme="majorHAnsi"/>
          <w:sz w:val="18"/>
        </w:rPr>
      </w:pPr>
    </w:p>
    <w:p w:rsidR="004D1B1B" w:rsidRPr="004D1B1B" w:rsidRDefault="004D1B1B" w:rsidP="004D1B1B">
      <w:pPr>
        <w:jc w:val="both"/>
        <w:rPr>
          <w:rFonts w:asciiTheme="majorHAnsi" w:hAnsiTheme="majorHAnsi" w:cstheme="majorHAnsi"/>
          <w:sz w:val="18"/>
        </w:rPr>
      </w:pPr>
      <w:r w:rsidRPr="004D1B1B">
        <w:rPr>
          <w:rFonts w:asciiTheme="majorHAnsi" w:hAnsiTheme="majorHAnsi" w:cstheme="majorHAnsi"/>
          <w:sz w:val="18"/>
        </w:rPr>
        <w:t>Zakladanie trávobylinnej a kvitnúcej siatej zmesi:</w:t>
      </w:r>
    </w:p>
    <w:p w:rsidR="004D1B1B" w:rsidRPr="004D1B1B" w:rsidRDefault="004D1B1B" w:rsidP="001E7B38">
      <w:pPr>
        <w:numPr>
          <w:ilvl w:val="0"/>
          <w:numId w:val="44"/>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príprava pôdy podľa STN 83 7015</w:t>
      </w:r>
    </w:p>
    <w:p w:rsidR="004D1B1B" w:rsidRPr="004D1B1B" w:rsidRDefault="004D1B1B" w:rsidP="001E7B38">
      <w:pPr>
        <w:numPr>
          <w:ilvl w:val="0"/>
          <w:numId w:val="44"/>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založenie výsevom osiva 25g/1m</w:t>
      </w:r>
      <w:r w:rsidRPr="004D1B1B">
        <w:rPr>
          <w:rFonts w:asciiTheme="majorHAnsi" w:hAnsiTheme="majorHAnsi" w:cstheme="majorHAnsi"/>
          <w:sz w:val="18"/>
          <w:shd w:val="clear" w:color="auto" w:fill="FFFFFF"/>
          <w:vertAlign w:val="superscript"/>
        </w:rPr>
        <w:t>2</w:t>
      </w: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2"/>
          <w:shd w:val="clear" w:color="auto" w:fill="FFFFFF"/>
          <w:lang w:val="sk-SK"/>
        </w:rPr>
      </w:pPr>
      <w:r w:rsidRPr="004D1B1B">
        <w:rPr>
          <w:rFonts w:asciiTheme="majorHAnsi" w:eastAsia="Calibri" w:hAnsiTheme="majorHAnsi" w:cstheme="majorHAnsi"/>
          <w:color w:val="auto"/>
          <w:sz w:val="18"/>
          <w:szCs w:val="22"/>
          <w:shd w:val="clear" w:color="auto" w:fill="FFFFFF"/>
          <w:lang w:val="sk-SK"/>
        </w:rPr>
        <w:t>pri príprave pôdy je potrebné zabezpečiť priepustnosť substrátu, t.j. po odburinení vymeniť substrát v rozsahu 50 % - ílovitú pôdu nahradiť štrkom a pieskom a premiešať (substrát musí byť málo živný a priepustný, napr. zmes ornica, piesok v pomere 50/50; alebo ornica, piesok, drobný štrk v pomere 40/30/30) vo vegetačnej vrstve rastlín, tj. cca 15 cm,</w:t>
      </w: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2"/>
          <w:shd w:val="clear" w:color="auto" w:fill="FFFFFF"/>
          <w:lang w:val="sk-SK"/>
        </w:rPr>
      </w:pPr>
      <w:r w:rsidRPr="004D1B1B">
        <w:rPr>
          <w:rFonts w:asciiTheme="majorHAnsi" w:eastAsia="Calibri" w:hAnsiTheme="majorHAnsi" w:cstheme="majorHAnsi"/>
          <w:color w:val="auto"/>
          <w:sz w:val="18"/>
          <w:szCs w:val="22"/>
          <w:shd w:val="clear" w:color="auto" w:fill="FFFFFF"/>
          <w:lang w:val="sk-SK"/>
        </w:rPr>
        <w:t>navezenie 3cm piesku a zapracovanie do pôdy rotavátorom,</w:t>
      </w: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2"/>
          <w:shd w:val="clear" w:color="auto" w:fill="FFFFFF"/>
          <w:lang w:val="sk-SK"/>
        </w:rPr>
      </w:pPr>
      <w:r w:rsidRPr="004D1B1B">
        <w:rPr>
          <w:rFonts w:asciiTheme="majorHAnsi" w:eastAsia="Calibri" w:hAnsiTheme="majorHAnsi" w:cstheme="majorHAnsi"/>
          <w:color w:val="auto"/>
          <w:sz w:val="18"/>
          <w:szCs w:val="22"/>
          <w:shd w:val="clear" w:color="auto" w:fill="FFFFFF"/>
          <w:lang w:val="sk-SK"/>
        </w:rPr>
        <w:t>valcovanie a dorovnanie terénu,</w:t>
      </w: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2"/>
          <w:shd w:val="clear" w:color="auto" w:fill="FFFFFF"/>
          <w:lang w:val="sk-SK"/>
        </w:rPr>
      </w:pPr>
      <w:r w:rsidRPr="004D1B1B">
        <w:rPr>
          <w:rFonts w:asciiTheme="majorHAnsi" w:eastAsia="Calibri" w:hAnsiTheme="majorHAnsi" w:cstheme="majorHAnsi"/>
          <w:color w:val="auto"/>
          <w:sz w:val="18"/>
          <w:szCs w:val="22"/>
          <w:shd w:val="clear" w:color="auto" w:fill="FFFFFF"/>
          <w:lang w:val="sk-SK"/>
        </w:rPr>
        <w:t>výsev a zapravenie trávobylinného semena, zmiešaného s pieskom alebo pilinami alebo trávnym substrátom</w:t>
      </w: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2"/>
          <w:shd w:val="clear" w:color="auto" w:fill="FFFFFF"/>
          <w:lang w:val="sk-SK"/>
        </w:rPr>
      </w:pPr>
      <w:r w:rsidRPr="004D1B1B">
        <w:rPr>
          <w:rFonts w:asciiTheme="majorHAnsi" w:eastAsia="Calibri" w:hAnsiTheme="majorHAnsi" w:cstheme="majorHAnsi"/>
          <w:color w:val="auto"/>
          <w:sz w:val="18"/>
          <w:szCs w:val="22"/>
          <w:shd w:val="clear" w:color="auto" w:fill="FFFFFF"/>
          <w:lang w:val="sk-SK"/>
        </w:rPr>
        <w:t>zavalcovanie,</w:t>
      </w: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2"/>
          <w:shd w:val="clear" w:color="auto" w:fill="FFFFFF"/>
          <w:lang w:val="sk-SK"/>
        </w:rPr>
      </w:pPr>
      <w:r w:rsidRPr="004D1B1B">
        <w:rPr>
          <w:rFonts w:asciiTheme="majorHAnsi" w:eastAsia="Calibri" w:hAnsiTheme="majorHAnsi" w:cstheme="majorHAnsi"/>
          <w:color w:val="auto"/>
          <w:sz w:val="18"/>
          <w:szCs w:val="22"/>
          <w:shd w:val="clear" w:color="auto" w:fill="FFFFFF"/>
          <w:lang w:val="sk-SK"/>
        </w:rPr>
        <w:t>zmes schádza kompletne až dva roky.</w:t>
      </w:r>
    </w:p>
    <w:p w:rsidR="004D1B1B" w:rsidRPr="004D1B1B" w:rsidRDefault="004D1B1B" w:rsidP="004D1B1B">
      <w:pPr>
        <w:pStyle w:val="BasicParagraph"/>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2"/>
          <w:shd w:val="clear" w:color="auto" w:fill="FFFFFF"/>
          <w:lang w:val="sk-SK"/>
        </w:rPr>
      </w:pPr>
    </w:p>
    <w:p w:rsidR="004D1B1B" w:rsidRPr="004D1B1B" w:rsidRDefault="004D1B1B" w:rsidP="004D1B1B">
      <w:pPr>
        <w:pStyle w:val="Nadpis2"/>
        <w:numPr>
          <w:ilvl w:val="1"/>
          <w:numId w:val="0"/>
        </w:numPr>
        <w:spacing w:before="40"/>
        <w:ind w:left="576" w:hanging="576"/>
        <w:rPr>
          <w:rFonts w:asciiTheme="majorHAnsi" w:hAnsiTheme="majorHAnsi" w:cstheme="majorHAnsi"/>
          <w:color w:val="000000" w:themeColor="text1"/>
        </w:rPr>
      </w:pPr>
      <w:bookmarkStart w:id="263" w:name="_Toc494615614"/>
      <w:bookmarkStart w:id="264" w:name="_Toc506187843"/>
      <w:bookmarkStart w:id="265" w:name="_Toc506187922"/>
      <w:bookmarkStart w:id="266" w:name="_Toc506189441"/>
      <w:bookmarkStart w:id="267" w:name="_Toc506189476"/>
      <w:bookmarkStart w:id="268" w:name="_Toc506189775"/>
      <w:bookmarkStart w:id="269" w:name="_Toc506189808"/>
      <w:bookmarkStart w:id="270" w:name="_Toc506189843"/>
      <w:bookmarkStart w:id="271" w:name="_Toc506190235"/>
      <w:bookmarkStart w:id="272" w:name="_Toc506194102"/>
      <w:bookmarkStart w:id="273" w:name="_Toc506197819"/>
      <w:bookmarkStart w:id="274" w:name="_Toc506200602"/>
      <w:bookmarkStart w:id="275" w:name="_Toc506201705"/>
      <w:bookmarkStart w:id="276" w:name="_Toc506211015"/>
      <w:bookmarkStart w:id="277" w:name="_Toc506451473"/>
      <w:bookmarkStart w:id="278" w:name="_Toc511300710"/>
      <w:bookmarkStart w:id="279" w:name="_Toc511302945"/>
      <w:bookmarkStart w:id="280" w:name="_Toc511302993"/>
      <w:bookmarkStart w:id="281" w:name="_Toc511306895"/>
      <w:bookmarkStart w:id="282" w:name="_Toc511307137"/>
      <w:bookmarkStart w:id="283" w:name="_Toc511373201"/>
      <w:bookmarkStart w:id="284" w:name="_Toc1475995"/>
      <w:bookmarkStart w:id="285" w:name="_Toc18486351"/>
      <w:r w:rsidRPr="004D1B1B">
        <w:rPr>
          <w:rFonts w:asciiTheme="majorHAnsi" w:hAnsiTheme="majorHAnsi" w:cstheme="majorHAnsi"/>
          <w:color w:val="000000" w:themeColor="text1"/>
        </w:rPr>
        <w:t>Zakladanie plôch koseného trávnika</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rsidR="004D1B1B" w:rsidRPr="004D1B1B" w:rsidRDefault="004D1B1B" w:rsidP="004D1B1B">
      <w:pPr>
        <w:rPr>
          <w:rFonts w:asciiTheme="majorHAnsi" w:hAnsiTheme="majorHAnsi" w:cstheme="majorHAnsi"/>
          <w:sz w:val="18"/>
        </w:rPr>
      </w:pP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0"/>
          <w:shd w:val="clear" w:color="auto" w:fill="FFFFFF"/>
          <w:lang w:val="sk-SK"/>
        </w:rPr>
      </w:pPr>
      <w:r w:rsidRPr="004D1B1B">
        <w:rPr>
          <w:rFonts w:asciiTheme="majorHAnsi" w:eastAsia="Calibri" w:hAnsiTheme="majorHAnsi" w:cstheme="majorHAnsi"/>
          <w:color w:val="auto"/>
          <w:sz w:val="18"/>
          <w:szCs w:val="22"/>
          <w:shd w:val="clear" w:color="auto" w:fill="FFFFFF"/>
          <w:lang w:val="sk-SK"/>
        </w:rPr>
        <w:t xml:space="preserve">po vykonaní terénnych </w:t>
      </w:r>
      <w:r w:rsidRPr="004D1B1B">
        <w:rPr>
          <w:rFonts w:asciiTheme="majorHAnsi" w:eastAsia="Calibri" w:hAnsiTheme="majorHAnsi" w:cstheme="majorHAnsi"/>
          <w:color w:val="auto"/>
          <w:sz w:val="18"/>
          <w:szCs w:val="20"/>
          <w:shd w:val="clear" w:color="auto" w:fill="FFFFFF"/>
          <w:lang w:val="sk-SK"/>
        </w:rPr>
        <w:t>úprav viď</w:t>
      </w:r>
      <w:r w:rsidRPr="004D1B1B">
        <w:rPr>
          <w:rFonts w:asciiTheme="majorHAnsi" w:hAnsiTheme="majorHAnsi" w:cstheme="majorHAnsi"/>
          <w:color w:val="auto"/>
          <w:sz w:val="18"/>
          <w:szCs w:val="20"/>
          <w:shd w:val="clear" w:color="auto" w:fill="FFFFFF"/>
        </w:rPr>
        <w:t>. 9.1.,</w:t>
      </w: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0"/>
          <w:shd w:val="clear" w:color="auto" w:fill="FFFFFF"/>
          <w:lang w:val="sk-SK"/>
        </w:rPr>
      </w:pPr>
      <w:r w:rsidRPr="004D1B1B">
        <w:rPr>
          <w:rFonts w:asciiTheme="majorHAnsi" w:eastAsia="Calibri" w:hAnsiTheme="majorHAnsi" w:cstheme="majorHAnsi"/>
          <w:color w:val="auto"/>
          <w:sz w:val="18"/>
          <w:szCs w:val="20"/>
          <w:shd w:val="clear" w:color="auto" w:fill="FFFFFF"/>
          <w:lang w:val="sk-SK"/>
        </w:rPr>
        <w:t>navezenie 10 cm vrstvy záhradného substrátu, prerovnanie,</w:t>
      </w: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2"/>
          <w:shd w:val="clear" w:color="auto" w:fill="FFFFFF"/>
          <w:lang w:val="sk-SK"/>
        </w:rPr>
      </w:pPr>
      <w:r w:rsidRPr="004D1B1B">
        <w:rPr>
          <w:rFonts w:asciiTheme="majorHAnsi" w:eastAsia="Calibri" w:hAnsiTheme="majorHAnsi" w:cstheme="majorHAnsi"/>
          <w:color w:val="auto"/>
          <w:sz w:val="18"/>
          <w:szCs w:val="22"/>
          <w:shd w:val="clear" w:color="auto" w:fill="FFFFFF"/>
          <w:lang w:val="sk-SK"/>
        </w:rPr>
        <w:t>valcovanie a dorovnanie terénu minimálne 2x,</w:t>
      </w: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2"/>
          <w:shd w:val="clear" w:color="auto" w:fill="FFFFFF"/>
          <w:lang w:val="sk-SK"/>
        </w:rPr>
      </w:pPr>
      <w:r w:rsidRPr="004D1B1B">
        <w:rPr>
          <w:rFonts w:asciiTheme="majorHAnsi" w:eastAsia="Calibri" w:hAnsiTheme="majorHAnsi" w:cstheme="majorHAnsi"/>
          <w:color w:val="auto"/>
          <w:sz w:val="18"/>
          <w:szCs w:val="22"/>
          <w:shd w:val="clear" w:color="auto" w:fill="FFFFFF"/>
          <w:lang w:val="sk-SK"/>
        </w:rPr>
        <w:t>výsev a zapravenie trávneho semena, zmiešaného s pieskom alebo pilinami alebo trávnym substrátom</w:t>
      </w: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2"/>
          <w:shd w:val="clear" w:color="auto" w:fill="FFFFFF"/>
          <w:lang w:val="sk-SK"/>
        </w:rPr>
      </w:pPr>
      <w:r w:rsidRPr="004D1B1B">
        <w:rPr>
          <w:rFonts w:asciiTheme="majorHAnsi" w:eastAsia="Calibri" w:hAnsiTheme="majorHAnsi" w:cstheme="majorHAnsi"/>
          <w:color w:val="auto"/>
          <w:sz w:val="18"/>
          <w:szCs w:val="22"/>
          <w:shd w:val="clear" w:color="auto" w:fill="FFFFFF"/>
          <w:lang w:val="sk-SK"/>
        </w:rPr>
        <w:t>zavalcovanie,</w:t>
      </w:r>
    </w:p>
    <w:p w:rsidR="004D1B1B" w:rsidRPr="004D1B1B" w:rsidRDefault="004D1B1B" w:rsidP="001E7B38">
      <w:pPr>
        <w:pStyle w:val="BasicParagraph"/>
        <w:numPr>
          <w:ilvl w:val="0"/>
          <w:numId w:val="44"/>
        </w:numPr>
        <w:pBdr>
          <w:top w:val="nil"/>
          <w:left w:val="nil"/>
          <w:bottom w:val="nil"/>
          <w:right w:val="nil"/>
          <w:between w:val="nil"/>
          <w:bar w:val="nil"/>
        </w:pBdr>
        <w:autoSpaceDE/>
        <w:autoSpaceDN/>
        <w:adjustRightInd/>
        <w:spacing w:line="276" w:lineRule="auto"/>
        <w:jc w:val="both"/>
        <w:textAlignment w:val="auto"/>
        <w:rPr>
          <w:rFonts w:asciiTheme="majorHAnsi" w:eastAsia="Calibri" w:hAnsiTheme="majorHAnsi" w:cstheme="majorHAnsi"/>
          <w:color w:val="auto"/>
          <w:sz w:val="18"/>
          <w:szCs w:val="22"/>
          <w:shd w:val="clear" w:color="auto" w:fill="FFFFFF"/>
          <w:lang w:val="sk-SK"/>
        </w:rPr>
      </w:pPr>
      <w:r w:rsidRPr="004D1B1B">
        <w:rPr>
          <w:rFonts w:asciiTheme="majorHAnsi" w:eastAsia="Calibri" w:hAnsiTheme="majorHAnsi" w:cstheme="majorHAnsi"/>
          <w:color w:val="auto"/>
          <w:sz w:val="18"/>
          <w:szCs w:val="22"/>
          <w:shd w:val="clear" w:color="auto" w:fill="FFFFFF"/>
          <w:lang w:val="sk-SK"/>
        </w:rPr>
        <w:t>prvé kosenie.</w:t>
      </w:r>
    </w:p>
    <w:p w:rsidR="004D1B1B" w:rsidRPr="004D1B1B" w:rsidRDefault="004D1B1B" w:rsidP="004D1B1B">
      <w:pPr>
        <w:pStyle w:val="BasicParagraph"/>
        <w:spacing w:line="276" w:lineRule="auto"/>
        <w:ind w:left="720"/>
        <w:jc w:val="both"/>
        <w:rPr>
          <w:rFonts w:asciiTheme="majorHAnsi" w:hAnsiTheme="majorHAnsi" w:cstheme="majorHAnsi"/>
          <w:color w:val="auto"/>
          <w:sz w:val="18"/>
          <w:szCs w:val="20"/>
        </w:rPr>
      </w:pP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Plochy trávnika budú zakladané výsevom do vopred pripravenej pôdy, ktorá musí byť zbavená burín. Na výsev sa použije zmes do suchých podmienok - množstvo výsevu je 25g/1m2. Optimálna hodnota pH je 6. Do pôdy je vhodné aplikovať aj ostatné dávky živín podľa hodnôt uvedených v časti 9.1. Trávnik je vhodné vysievať od marca do mája, alebo v septembri, kedy je predpoklad dostatočného množstva zrážok a optimálnych teplôt na rozvoj osiva. Priemerná teplota počas výsevu by nemala klesnúť pod 15° C. Optimálna teplota pôdy je 10° C. Výsev sa nesmie realizovať v prípade, že je predpoklad dlhodobého poklesu teplôt pod 0° C. Výsev sa realizuje do mierne rozrušenej pôdy, do hĺbky 0,5 až 1,5 cm s následným zapracovaním a zavalcovaním.</w:t>
      </w:r>
    </w:p>
    <w:p w:rsidR="004D1B1B" w:rsidRPr="004D1B1B" w:rsidRDefault="004D1B1B" w:rsidP="004D1B1B">
      <w:pPr>
        <w:ind w:firstLine="708"/>
        <w:jc w:val="both"/>
        <w:rPr>
          <w:rFonts w:asciiTheme="majorHAnsi" w:hAnsiTheme="majorHAnsi" w:cstheme="majorHAnsi"/>
          <w:sz w:val="18"/>
          <w:shd w:val="clear" w:color="auto" w:fill="FFFFFF"/>
        </w:rPr>
      </w:pPr>
    </w:p>
    <w:p w:rsidR="004D1B1B" w:rsidRPr="004D1B1B" w:rsidRDefault="004D1B1B" w:rsidP="00165ED7">
      <w:pPr>
        <w:pStyle w:val="Nadpis1"/>
      </w:pPr>
      <w:bookmarkStart w:id="286" w:name="_Toc18486352"/>
      <w:r w:rsidRPr="004D1B1B">
        <w:t>OCHRANA DREVÍN NA STAVENISKU</w:t>
      </w:r>
      <w:bookmarkEnd w:id="286"/>
    </w:p>
    <w:p w:rsidR="004D1B1B" w:rsidRPr="004D1B1B" w:rsidRDefault="004D1B1B" w:rsidP="004D1B1B">
      <w:pPr>
        <w:rPr>
          <w:rFonts w:asciiTheme="majorHAnsi" w:hAnsiTheme="majorHAnsi" w:cstheme="majorHAnsi"/>
          <w:sz w:val="18"/>
        </w:rPr>
      </w:pP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 xml:space="preserve">V prípade, že budú v okolí novo vysadených aj existujúcich stromov a vegetácie prebiehať naďalej stavebné práce, navrhujeme ochranné opatrenia drevín na stavenisku. Pri návrhu ochranných opatrení sme vychádzali s vyhlášky STN 83 7010 </w:t>
      </w:r>
      <w:r w:rsidRPr="004D1B1B">
        <w:rPr>
          <w:rFonts w:asciiTheme="majorHAnsi" w:hAnsiTheme="majorHAnsi" w:cstheme="majorHAnsi"/>
          <w:sz w:val="18"/>
          <w:shd w:val="clear" w:color="auto" w:fill="FFFFFF"/>
        </w:rPr>
        <w:lastRenderedPageBreak/>
        <w:t>Ochrana prírody, ošetrovanie, udržiavanie a ochrana stromovej vegetácie, Kapitola 4. Poškodenie drevín a prevencia pred poškodením pri stavebných činnostiach.</w:t>
      </w:r>
    </w:p>
    <w:p w:rsidR="004D1B1B" w:rsidRPr="004D1B1B" w:rsidRDefault="004D1B1B" w:rsidP="008F58C0">
      <w:pPr>
        <w:pStyle w:val="Nadpis2"/>
        <w:numPr>
          <w:ilvl w:val="0"/>
          <w:numId w:val="0"/>
        </w:numPr>
        <w:ind w:left="397" w:hanging="397"/>
        <w:rPr>
          <w:rFonts w:asciiTheme="majorHAnsi" w:hAnsiTheme="majorHAnsi" w:cstheme="majorHAnsi"/>
          <w:color w:val="000000" w:themeColor="text1"/>
        </w:rPr>
      </w:pPr>
      <w:bookmarkStart w:id="287" w:name="_Toc494615617"/>
      <w:bookmarkStart w:id="288" w:name="_Toc506187845"/>
      <w:bookmarkStart w:id="289" w:name="_Toc506187924"/>
      <w:bookmarkStart w:id="290" w:name="_Toc506189443"/>
      <w:bookmarkStart w:id="291" w:name="_Toc506189478"/>
      <w:bookmarkStart w:id="292" w:name="_Toc506189777"/>
      <w:bookmarkStart w:id="293" w:name="_Toc506189810"/>
      <w:bookmarkStart w:id="294" w:name="_Toc506189845"/>
      <w:bookmarkStart w:id="295" w:name="_Toc506190237"/>
      <w:bookmarkStart w:id="296" w:name="_Toc506194104"/>
      <w:bookmarkStart w:id="297" w:name="_Toc506197821"/>
      <w:bookmarkStart w:id="298" w:name="_Toc506200604"/>
      <w:bookmarkStart w:id="299" w:name="_Toc506201707"/>
      <w:bookmarkStart w:id="300" w:name="_Toc506211017"/>
      <w:bookmarkStart w:id="301" w:name="_Toc506451475"/>
      <w:bookmarkStart w:id="302" w:name="_Toc511300712"/>
      <w:bookmarkStart w:id="303" w:name="_Toc511302947"/>
      <w:bookmarkStart w:id="304" w:name="_Toc511302995"/>
      <w:bookmarkStart w:id="305" w:name="_Toc511306897"/>
      <w:bookmarkStart w:id="306" w:name="_Toc511307139"/>
      <w:bookmarkStart w:id="307" w:name="_Toc511373203"/>
      <w:bookmarkStart w:id="308" w:name="_Toc1475997"/>
      <w:bookmarkStart w:id="309" w:name="_Toc18486353"/>
      <w:r w:rsidRPr="004D1B1B">
        <w:rPr>
          <w:rFonts w:asciiTheme="majorHAnsi" w:hAnsiTheme="majorHAnsi" w:cstheme="majorHAnsi"/>
          <w:color w:val="000000" w:themeColor="text1"/>
        </w:rPr>
        <w:t>Zásady pre všetky dreviny dotknuté stavbou</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rsidR="004D1B1B" w:rsidRPr="004D1B1B" w:rsidRDefault="004D1B1B" w:rsidP="004D1B1B">
      <w:pPr>
        <w:rPr>
          <w:rFonts w:asciiTheme="majorHAnsi" w:hAnsiTheme="majorHAnsi" w:cstheme="majorHAnsi"/>
          <w:sz w:val="18"/>
        </w:rPr>
      </w:pP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a. v koreňovom priestore nesmú byť skladované chemické a iné škodlivé látky,</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b. koreňový priestor nesmie byť trvalo zaťažovaný chôdzou, jazdou, ani parkovaním vozidiel či skladovaním materiálu,</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c. nepriepustné konštrukcie nesmú pokrývať viac ako 30% koreňového priestoru stromu, priepustné konštrukcie musia pokrývať viac ako 50% koreňového priestoru vzrastlého stromu,</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d. v koreňovej zóne nie je dovolené navážať zeminu, stavebný odpad, ani materiál,</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e. v ochrannom koreňovom priestore nie je prípustné terén znižovať,</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f. hĺbenie výkopov sa nesmie vykonávať v koreňovom priestore. Ak to nie je možné, nesmie sa výkop viesť bližšie ako 2,5m od päty kmeňa, musí sa vykonať ručne a nesmú sa  prerušiť korene hrubšie ako 3cm,</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g. pri kladení vedení bezvýkopovou technológiou sa môže vedenie uložiť aj pod koreňový priestor, pričom pri priemere rúr do 30cm musí byť minimálny zostávajúci pôdny pokryv 0.8m, pri väčších priemeroch musí mať viac ako 1m,</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h. pred mechanickým poškodením je potrebné ochrániť strom odebnením kmeňa do výšky najmenej 2 m. Debnenie je smerom ku kmeňu plášťované (doskové debnenie je pripevnené na kmeň za pomoci dvoch plášťov z pneumatík). Nesmie byť poškodený kmeň, ani koreňové nábehy.</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 prípade, že predsa dôjde k poškodeniu dreviny je vykonávateľ stavebných, resp. výkopových prác povinný zabezpečiť okamžité odborné ošetrenie dreviny. Ak strom rastie v nespevnenom teréne, môže sa minimálne jedno vegetačné obdobie pred realizáciou výkopu vybudovať koreňová clona. Jej hĺbka závisí od hĺbky prekorenia, nesmie presiahnuť 1.5 - 2.0m. Vo vzdialenosti 30cm pred plánovaným výkopom sa ručne odstráni pôda. Ostrým nožom sa odstránia korene. Strana budúceho výkopu sa odební priepustným debnením. Dno koreňovej clony sa vyplní hrubšou hlinitou pôdou. Vrchná, aspoň 40cm vrstva koreňovej clony sa vyplní zeminou zmiešanou s kompostom.</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Pozn.: Koreňový priestor je priestor vymedzený koreňovým systémom dreviny.</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Ochranný koreňový priestor je kruhová plocha pôdy pod korunou stromu, ktorá je vymedzená kružnicou s polomerom o 1.5m väčším, ako je polomer pôdorysného priemetu koruny. Pri drevinách stĺpovitého habitu je vymedzená kružnicou s polomerom o 5m väčším, ako je polomer pôdorysného priemetu koruny. Ochranu drevín navrhujeme pre všetky dreviny, ktoré budú dotknuté stavebnou činnosťou.</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 prípade, že dôjde pri stavebnej činnosti v rámci postupnosti prác k poškodeniu novovysadených drevín je vykonávateľ stavebných, resp. výkopových prác povinný zabezpečiť okamžité odborné ošetrenie dreviny.</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b/>
          <w:noProof/>
          <w:u w:color="FF0000"/>
        </w:rPr>
        <w:lastRenderedPageBreak/>
        <w:drawing>
          <wp:inline distT="0" distB="0" distL="0" distR="0" wp14:anchorId="61FB0188" wp14:editId="7576A309">
            <wp:extent cx="5257800" cy="7442200"/>
            <wp:effectExtent l="0" t="0" r="0" b="6350"/>
            <wp:docPr id="69" name="Obrázok 69" descr="Description: Description: Macintosh HD:Users:michalmarcinov:Dropbox:17013_TRIANGEL:003_uprava jul 2017:003_JPG: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Description: Macintosh HD:Users:michalmarcinov:Dropbox:17013_TRIANGEL:003_uprava jul 2017:003_JPG:0007.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57800" cy="7442200"/>
                    </a:xfrm>
                    <a:prstGeom prst="rect">
                      <a:avLst/>
                    </a:prstGeom>
                    <a:noFill/>
                    <a:ln>
                      <a:noFill/>
                    </a:ln>
                  </pic:spPr>
                </pic:pic>
              </a:graphicData>
            </a:graphic>
          </wp:inline>
        </w:drawing>
      </w:r>
      <w:r w:rsidRPr="004D1B1B">
        <w:rPr>
          <w:rFonts w:asciiTheme="majorHAnsi" w:hAnsiTheme="majorHAnsi" w:cstheme="majorHAnsi"/>
          <w:noProof/>
        </w:rPr>
        <w:lastRenderedPageBreak/>
        <w:drawing>
          <wp:inline distT="0" distB="0" distL="0" distR="0" wp14:anchorId="63597652" wp14:editId="7A1D10E9">
            <wp:extent cx="5257800" cy="7442200"/>
            <wp:effectExtent l="0" t="0" r="0" b="6350"/>
            <wp:docPr id="70" name="Obrázok 70" descr="Description: Description: Macintosh HD:Users:michalmarcinov:Dropbox:17013_TRIANGEL:003_uprava jul 2017:003_JPG: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Macintosh HD:Users:michalmarcinov:Dropbox:17013_TRIANGEL:003_uprava jul 2017:003_JPG:000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57800" cy="7442200"/>
                    </a:xfrm>
                    <a:prstGeom prst="rect">
                      <a:avLst/>
                    </a:prstGeom>
                    <a:noFill/>
                    <a:ln>
                      <a:noFill/>
                    </a:ln>
                  </pic:spPr>
                </pic:pic>
              </a:graphicData>
            </a:graphic>
          </wp:inline>
        </w:drawing>
      </w:r>
      <w:r w:rsidRPr="004D1B1B">
        <w:rPr>
          <w:rFonts w:asciiTheme="majorHAnsi" w:hAnsiTheme="majorHAnsi" w:cstheme="majorHAnsi"/>
          <w:noProof/>
        </w:rPr>
        <w:lastRenderedPageBreak/>
        <w:drawing>
          <wp:inline distT="0" distB="0" distL="0" distR="0" wp14:anchorId="481EB4C7" wp14:editId="5D0A1321">
            <wp:extent cx="5257800" cy="7442200"/>
            <wp:effectExtent l="0" t="0" r="0" b="6350"/>
            <wp:docPr id="71" name="Obrázok 71" descr="Description: Description: Macintosh HD:Users:michalmarcinov:Dropbox:17013_TRIANGEL:003_uprava jul 2017:003_JP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Macintosh HD:Users:michalmarcinov:Dropbox:17013_TRIANGEL:003_uprava jul 2017:003_JPG:000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57800" cy="7442200"/>
                    </a:xfrm>
                    <a:prstGeom prst="rect">
                      <a:avLst/>
                    </a:prstGeom>
                    <a:noFill/>
                    <a:ln>
                      <a:noFill/>
                    </a:ln>
                  </pic:spPr>
                </pic:pic>
              </a:graphicData>
            </a:graphic>
          </wp:inline>
        </w:drawing>
      </w:r>
      <w:r w:rsidRPr="004D1B1B">
        <w:rPr>
          <w:rFonts w:asciiTheme="majorHAnsi" w:hAnsiTheme="majorHAnsi" w:cstheme="majorHAnsi"/>
          <w:b/>
          <w:noProof/>
          <w:u w:color="FF0000"/>
        </w:rPr>
        <w:lastRenderedPageBreak/>
        <w:drawing>
          <wp:inline distT="0" distB="0" distL="0" distR="0" wp14:anchorId="668CB4D9" wp14:editId="3F02DD32">
            <wp:extent cx="5257800" cy="7442200"/>
            <wp:effectExtent l="0" t="0" r="0" b="6350"/>
            <wp:docPr id="72" name="Obrázok 72" descr="Description: Description: Macintosh HD:Users:michalmarcinov:Dropbox:17013_TRIANGEL:003_uprava jul 2017:003_JPG: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Description: Macintosh HD:Users:michalmarcinov:Dropbox:17013_TRIANGEL:003_uprava jul 2017:003_JPG:001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57800" cy="7442200"/>
                    </a:xfrm>
                    <a:prstGeom prst="rect">
                      <a:avLst/>
                    </a:prstGeom>
                    <a:noFill/>
                    <a:ln>
                      <a:noFill/>
                    </a:ln>
                  </pic:spPr>
                </pic:pic>
              </a:graphicData>
            </a:graphic>
          </wp:inline>
        </w:drawing>
      </w:r>
    </w:p>
    <w:p w:rsidR="004D1B1B" w:rsidRPr="004D1B1B" w:rsidRDefault="004D1B1B" w:rsidP="004D1B1B">
      <w:pPr>
        <w:rPr>
          <w:rFonts w:asciiTheme="majorHAnsi" w:hAnsiTheme="majorHAnsi" w:cstheme="majorHAnsi"/>
          <w:sz w:val="18"/>
        </w:rPr>
      </w:pPr>
    </w:p>
    <w:p w:rsidR="004D1B1B" w:rsidRPr="004D1B1B" w:rsidRDefault="004D1B1B" w:rsidP="004D1B1B">
      <w:pPr>
        <w:rPr>
          <w:rFonts w:asciiTheme="majorHAnsi" w:hAnsiTheme="majorHAnsi" w:cstheme="majorHAnsi"/>
          <w:sz w:val="18"/>
        </w:rPr>
      </w:pPr>
    </w:p>
    <w:p w:rsidR="004D1B1B" w:rsidRDefault="004D1B1B" w:rsidP="004D1B1B">
      <w:pPr>
        <w:rPr>
          <w:rFonts w:asciiTheme="majorHAnsi" w:hAnsiTheme="majorHAnsi" w:cstheme="majorHAnsi"/>
          <w:sz w:val="18"/>
        </w:rPr>
      </w:pPr>
    </w:p>
    <w:p w:rsidR="008F58C0" w:rsidRDefault="008F58C0" w:rsidP="004D1B1B">
      <w:pPr>
        <w:rPr>
          <w:rFonts w:asciiTheme="majorHAnsi" w:hAnsiTheme="majorHAnsi" w:cstheme="majorHAnsi"/>
          <w:sz w:val="18"/>
        </w:rPr>
      </w:pPr>
    </w:p>
    <w:p w:rsidR="004A2B2B" w:rsidRDefault="004A2B2B" w:rsidP="004D1B1B">
      <w:pPr>
        <w:rPr>
          <w:rFonts w:asciiTheme="majorHAnsi" w:hAnsiTheme="majorHAnsi" w:cstheme="majorHAnsi"/>
          <w:sz w:val="18"/>
        </w:rPr>
      </w:pPr>
    </w:p>
    <w:p w:rsidR="008F58C0" w:rsidRDefault="008F58C0" w:rsidP="004D1B1B">
      <w:pPr>
        <w:rPr>
          <w:rFonts w:asciiTheme="majorHAnsi" w:hAnsiTheme="majorHAnsi" w:cstheme="majorHAnsi"/>
          <w:sz w:val="18"/>
        </w:rPr>
      </w:pPr>
    </w:p>
    <w:p w:rsidR="008F58C0" w:rsidRPr="004D1B1B" w:rsidRDefault="008F58C0" w:rsidP="004D1B1B">
      <w:pPr>
        <w:rPr>
          <w:rFonts w:asciiTheme="majorHAnsi" w:hAnsiTheme="majorHAnsi" w:cstheme="majorHAnsi"/>
          <w:sz w:val="18"/>
        </w:rPr>
      </w:pPr>
    </w:p>
    <w:p w:rsidR="004A2B2B" w:rsidRDefault="004A2B2B" w:rsidP="004A2B2B">
      <w:pPr>
        <w:pStyle w:val="Nadpis2"/>
        <w:numPr>
          <w:ilvl w:val="0"/>
          <w:numId w:val="0"/>
        </w:numPr>
        <w:rPr>
          <w:lang w:val="sk-SK"/>
        </w:rPr>
      </w:pPr>
      <w:bookmarkStart w:id="310" w:name="_Toc18486354"/>
    </w:p>
    <w:p w:rsidR="004A2B2B" w:rsidRPr="004A2B2B" w:rsidRDefault="004A2B2B" w:rsidP="004A2B2B"/>
    <w:p w:rsidR="004D1B1B" w:rsidRPr="004D1B1B" w:rsidRDefault="004D1B1B" w:rsidP="00165ED7">
      <w:pPr>
        <w:pStyle w:val="Nadpis1"/>
      </w:pPr>
      <w:r w:rsidRPr="004D1B1B">
        <w:lastRenderedPageBreak/>
        <w:t>ÚDRŽBA ZELENE</w:t>
      </w:r>
      <w:bookmarkEnd w:id="310"/>
    </w:p>
    <w:p w:rsidR="004D1B1B" w:rsidRPr="004D1B1B" w:rsidRDefault="004D1B1B" w:rsidP="004D1B1B">
      <w:pPr>
        <w:spacing w:line="360" w:lineRule="auto"/>
        <w:rPr>
          <w:rFonts w:asciiTheme="majorHAnsi" w:hAnsiTheme="majorHAnsi" w:cstheme="majorHAnsi"/>
          <w:color w:val="000000" w:themeColor="text1"/>
        </w:rPr>
      </w:pPr>
      <w:r w:rsidRPr="004D1B1B">
        <w:rPr>
          <w:rFonts w:asciiTheme="majorHAnsi" w:hAnsiTheme="majorHAnsi" w:cstheme="majorHAnsi"/>
          <w:color w:val="000000" w:themeColor="text1"/>
        </w:rPr>
        <w:t xml:space="preserve"> </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Údržba stromov:</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Povýsadbová starostlivosť stromov je orientovaná predovšetkým na kontrolu stability vysadených drevín, kontrolu zdravotného stavu a celkovej vitalite drevín. V rámci starostlivosti sa realizujú potrebné výchovné rezy na dosiahnutie optimálnych vzhľadových vlastností drevín. Výchovné rezy slúžia k zabezpečeniu dostatočnej podchôdznej, prípadne podjazdnej výšky koruny (podchodná výška 2,5 metra a podjazdná výška 4,5 metra). Potreba výchovného rezu sa overuje 1-krát za 2 roky, až do veku 10 rokov, následne sa interval predlžujeme na 4 roky až do veku 20 rokov. Po 20 roku sa vykonáva už len udržiavací rez 1 krát za 5 až 10 rokov. Kontrola drevín by mala byť zabezpečená minimálne 1 krát ročne. Hnojenie realizujeme 1 krát ročne v jarnom období, dávkou 20 ks tabliet SLIVAMIX na 1 kus dreviny po dobu 3 rokov. Postreky proti chorobám a škodcom sa realizujú iba v prípade výskytu. Postrek je realizovaný cielene iba na postihnuté dreviny.</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Údržba stromov:</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 výsadbe, v predjarnom období je potrebné vykonať rez listnatých kríkov zkrátením výhonov o 1/3 – 1/2 ich dĺžky mierne šikmo nad očkom. Vysadené kríky a stromy je potrebné udržiavať v bezburinnom stave, aj keď sú namulčované, je potrebné, aby boli odstránené agresívne buriny, ktoré sa rozširujú náletom. Rez krov je smerovaný k udržaniu kompaktného porastu.</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Údržba trávnika:</w:t>
      </w:r>
    </w:p>
    <w:p w:rsidR="004D1B1B" w:rsidRPr="004D1B1B" w:rsidRDefault="004D1B1B" w:rsidP="001E7B38">
      <w:pPr>
        <w:numPr>
          <w:ilvl w:val="0"/>
          <w:numId w:val="45"/>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kosenie na dĺžku 60 – 80 mm v hlavnej sezóne (apríl – október) raz za týždeň v čase, keď trávnik nie je vlhký alebo preschnutý</w:t>
      </w:r>
    </w:p>
    <w:p w:rsidR="004D1B1B" w:rsidRPr="004D1B1B" w:rsidRDefault="004D1B1B" w:rsidP="001E7B38">
      <w:pPr>
        <w:numPr>
          <w:ilvl w:val="0"/>
          <w:numId w:val="45"/>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hnojenie min. 3 x do roka kombinovanými sezónnymi hnojivami a poliatie,</w:t>
      </w:r>
    </w:p>
    <w:p w:rsidR="004D1B1B" w:rsidRPr="004D1B1B" w:rsidRDefault="004D1B1B" w:rsidP="001E7B38">
      <w:pPr>
        <w:numPr>
          <w:ilvl w:val="0"/>
          <w:numId w:val="45"/>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jarné a jesenné prerezanie a vyhrabanie trávnika,</w:t>
      </w:r>
    </w:p>
    <w:p w:rsidR="004D1B1B" w:rsidRPr="004D1B1B" w:rsidRDefault="004D1B1B" w:rsidP="001E7B38">
      <w:pPr>
        <w:numPr>
          <w:ilvl w:val="0"/>
          <w:numId w:val="45"/>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prevzdušnenie podľa potreby 1 x za rok,</w:t>
      </w:r>
    </w:p>
    <w:p w:rsidR="004D1B1B" w:rsidRPr="004D1B1B" w:rsidRDefault="004D1B1B" w:rsidP="001E7B38">
      <w:pPr>
        <w:numPr>
          <w:ilvl w:val="0"/>
          <w:numId w:val="45"/>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 prípade potreby vhodná ochrana proti zaburineniu, chorobám a škodcom,</w:t>
      </w:r>
    </w:p>
    <w:p w:rsidR="004D1B1B" w:rsidRPr="004D1B1B" w:rsidRDefault="004D1B1B" w:rsidP="001E7B38">
      <w:pPr>
        <w:numPr>
          <w:ilvl w:val="0"/>
          <w:numId w:val="45"/>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dosievanie v prípade nadmerného poškodenia po vertikutácii osivom zmiešaným s pieskom,</w:t>
      </w:r>
    </w:p>
    <w:p w:rsidR="004D1B1B" w:rsidRPr="004D1B1B" w:rsidRDefault="004D1B1B" w:rsidP="001E7B38">
      <w:pPr>
        <w:numPr>
          <w:ilvl w:val="0"/>
          <w:numId w:val="45"/>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 prvej kosbe je vhodný postrek proti dvojklíčnolistovým burinám.</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Trávnik bude odovzdaný užívateľovi po 1. kosbe.</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Zálievka:</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Polievanie vysadených stromov, krov a trávnika v závislosti od počasia:</w:t>
      </w:r>
    </w:p>
    <w:p w:rsidR="004D1B1B" w:rsidRPr="004D1B1B" w:rsidRDefault="004D1B1B" w:rsidP="001E7B38">
      <w:pPr>
        <w:numPr>
          <w:ilvl w:val="0"/>
          <w:numId w:val="45"/>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stromy 50 l/ks/týždeň,</w:t>
      </w:r>
    </w:p>
    <w:p w:rsidR="004D1B1B" w:rsidRPr="004D1B1B" w:rsidRDefault="004D1B1B" w:rsidP="001E7B38">
      <w:pPr>
        <w:numPr>
          <w:ilvl w:val="0"/>
          <w:numId w:val="45"/>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záhony 20 l/ m</w:t>
      </w:r>
      <w:r w:rsidRPr="004D1B1B">
        <w:rPr>
          <w:rFonts w:asciiTheme="majorHAnsi" w:hAnsiTheme="majorHAnsi" w:cstheme="majorHAnsi"/>
          <w:sz w:val="18"/>
          <w:shd w:val="clear" w:color="auto" w:fill="FFFFFF"/>
          <w:vertAlign w:val="superscript"/>
        </w:rPr>
        <w:t>2</w:t>
      </w:r>
      <w:r w:rsidRPr="004D1B1B">
        <w:rPr>
          <w:rFonts w:asciiTheme="majorHAnsi" w:hAnsiTheme="majorHAnsi" w:cstheme="majorHAnsi"/>
          <w:sz w:val="18"/>
          <w:shd w:val="clear" w:color="auto" w:fill="FFFFFF"/>
        </w:rPr>
        <w:t>/týždeň,</w:t>
      </w:r>
    </w:p>
    <w:p w:rsidR="004D1B1B" w:rsidRPr="004D1B1B" w:rsidRDefault="004D1B1B" w:rsidP="001E7B38">
      <w:pPr>
        <w:numPr>
          <w:ilvl w:val="0"/>
          <w:numId w:val="45"/>
        </w:numPr>
        <w:spacing w:after="120" w:line="259" w:lineRule="auto"/>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trávnik 10l/m</w:t>
      </w:r>
      <w:r w:rsidRPr="004D1B1B">
        <w:rPr>
          <w:rFonts w:asciiTheme="majorHAnsi" w:hAnsiTheme="majorHAnsi" w:cstheme="majorHAnsi"/>
          <w:sz w:val="18"/>
          <w:shd w:val="clear" w:color="auto" w:fill="FFFFFF"/>
          <w:vertAlign w:val="superscript"/>
        </w:rPr>
        <w:t>2</w:t>
      </w:r>
      <w:r w:rsidRPr="004D1B1B">
        <w:rPr>
          <w:rFonts w:asciiTheme="majorHAnsi" w:hAnsiTheme="majorHAnsi" w:cstheme="majorHAnsi"/>
          <w:sz w:val="18"/>
          <w:shd w:val="clear" w:color="auto" w:fill="FFFFFF"/>
        </w:rPr>
        <w:t>/týždeň.</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Projekt navrhuje údržbu sadových úprav min. 12 mesiacov po odovzdaní užívateľovi.</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Údržbu objektov sadových úprav musí vykonávať odborná firma.</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rPr>
        <w:br w:type="page"/>
      </w:r>
      <w:r w:rsidRPr="004D1B1B">
        <w:rPr>
          <w:rFonts w:asciiTheme="majorHAnsi" w:hAnsiTheme="majorHAnsi" w:cstheme="majorHAnsi"/>
          <w:sz w:val="18"/>
          <w:shd w:val="clear" w:color="auto" w:fill="FFFFFF"/>
        </w:rPr>
        <w:lastRenderedPageBreak/>
        <w:t>Pri realizácii exteriérových úprav je potrebné dodržať všetky platné normy, najmä STN 83 7010 Ochrana prírody, ošetrovanie, udržiavanie a ochrana stromovej vegetácie, STN 837015 Technológia vegetačných úprav v krajine - práca s pôdou, STN 83 7016 Technológia vegetačných úprav v krajine - rastliny a ich výsadba, STN 83 7071 Technológia vegetačných úprav v krajine - trávniky a ich zakladanie. Pred výsadbou je nutné vytýčiť inžinierske siete.</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Zaručenie bezpečnosti a ochrany zdravia pri práci je nedeliteľnou súčasťou realizačnej činnosti.</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 predmetnej dokumentácii sú rešpektované bezpečnostné opatrenia, požadované normy a s nimi súvisiace predpisy. Účinnosť týchto opatrení je však v konečnej miere závislá od prevádzkovej činnosti dodávateľa.</w:t>
      </w:r>
    </w:p>
    <w:p w:rsidR="004D1B1B" w:rsidRPr="004D1B1B" w:rsidRDefault="004D1B1B" w:rsidP="004D1B1B">
      <w:pPr>
        <w:ind w:firstLine="708"/>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Dotknuté predpisy a vyhlášky:</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Zákon č. 140/2008, ktorým sa mení a dopĺňa zákon č. 124/2006 Z. z. o bezpečnosti a ochrane zdravia pri práci a o zmene a doplnení niektorých zákonov v znení zákona č. 309/2007 Z. z. a o zmene a doplnení zákona č. 355/2007 Z. z. o ochrane, podpore a rozvoji verejného zdravia,</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115/2006 Z. z. o minimálnych zdravotných a bezpečnostných požiadavkách na ochranu zamestnancov pred rizikami súvisiacimi s expozíciou hluku,</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247/2006 Z. z. o podrobnostiach o ochrane zdravia pred záťažou teplom a chladom pri práci,</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281/2006 Z. z. o minimálnych bezpečnostných a zdravotných požiadavkách pri ručnej manipulácii s bremenami,</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353/2006 Z. z. podrobnosti o požiadavkách na vnútorné prostredie budov,</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325/2006 Z. z. o podrobnostiach o požiadavkách na zdroje elektromagnetického poľa a na limity expozície obyvateľov elektromagnetickému poľu v životnom prostredí,</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217/2008 mení a dopĺňa nariadenie vlády SR č. 329/2006 Z. z. o minimálnych zdravotných a bezpečnostných požiadavkách na ochranu zamestnancov pred rizikami súvisiacimi s expozíciou elektromagnetickému poľu,</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351/2006 Z. z. o podrobnostiach o ochrane zdravia pred účinkami optického žiarenia pri práci,</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355/2006 Z. z. o ochrane zamestnancov pred rizikami súvisiacimi s expozíciou chemickým faktorom pri práci,</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357/2006 Z. z. o podrobnostiach o faktoroch práce a pracovného prostredia vo vzťahu ku kategorizácii pracovných činností a o náležitostiach návrhu na zaradenie pracovných činností do kategórií z hľadiska zdravotných rizík,</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359/2006 Z. z. o podrobnostiach o ochrane zdravia pred nepriaznivými účinkami nadmernej fyzickej, psychickej a senzorickej záťaže pri práci,</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387/2006 Z. z. o požiadavkách na zaistenie bezpečnostného a zdravotného označenia pri práci,</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391/2006 Z. z. o minimálnych bezpečnostných a zdravotných požiadavkách na pracovisko,</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392/2006 Z. z. o minimálnych bezpečnostných a zdravotných požiadavkách pri používaní pracovných prostriedkov,</w:t>
      </w:r>
    </w:p>
    <w:p w:rsidR="004D1B1B" w:rsidRPr="004D1B1B" w:rsidRDefault="00BA3673" w:rsidP="001E7B38">
      <w:pPr>
        <w:numPr>
          <w:ilvl w:val="0"/>
          <w:numId w:val="46"/>
        </w:numPr>
        <w:spacing w:line="259" w:lineRule="auto"/>
        <w:ind w:left="1423" w:hanging="357"/>
        <w:jc w:val="both"/>
        <w:rPr>
          <w:rFonts w:asciiTheme="majorHAnsi" w:hAnsiTheme="majorHAnsi" w:cstheme="majorHAnsi"/>
          <w:sz w:val="18"/>
          <w:shd w:val="clear" w:color="auto" w:fill="FFFFFF"/>
        </w:rPr>
      </w:pPr>
      <w:hyperlink r:id="rId29" w:history="1">
        <w:r w:rsidR="004D1B1B" w:rsidRPr="004D1B1B">
          <w:rPr>
            <w:rFonts w:asciiTheme="majorHAnsi" w:hAnsiTheme="majorHAnsi" w:cstheme="majorHAnsi"/>
            <w:sz w:val="18"/>
            <w:shd w:val="clear" w:color="auto" w:fill="FFFFFF"/>
          </w:rPr>
          <w:t>Nariadenie vlády Slovenskej republiky č. 393/2006 Z. z. o minimálnych požiadavkách na zaistenie bezpečnosti a ochrany zdravia pri práci vo výbušnom prostredí</w:t>
        </w:r>
      </w:hyperlink>
      <w:r w:rsidR="004D1B1B" w:rsidRPr="004D1B1B">
        <w:rPr>
          <w:rFonts w:asciiTheme="majorHAnsi" w:hAnsiTheme="majorHAnsi" w:cstheme="majorHAnsi"/>
          <w:sz w:val="18"/>
          <w:shd w:val="clear" w:color="auto" w:fill="FFFFFF"/>
        </w:rPr>
        <w:t>,</w:t>
      </w:r>
    </w:p>
    <w:p w:rsidR="004D1B1B" w:rsidRPr="004D1B1B" w:rsidRDefault="00BA3673" w:rsidP="001E7B38">
      <w:pPr>
        <w:numPr>
          <w:ilvl w:val="0"/>
          <w:numId w:val="46"/>
        </w:numPr>
        <w:spacing w:line="259" w:lineRule="auto"/>
        <w:ind w:left="1423" w:hanging="357"/>
        <w:jc w:val="both"/>
        <w:rPr>
          <w:rFonts w:asciiTheme="majorHAnsi" w:hAnsiTheme="majorHAnsi" w:cstheme="majorHAnsi"/>
          <w:sz w:val="18"/>
          <w:shd w:val="clear" w:color="auto" w:fill="FFFFFF"/>
        </w:rPr>
      </w:pPr>
      <w:hyperlink r:id="rId30" w:history="1">
        <w:r w:rsidR="004D1B1B" w:rsidRPr="004D1B1B">
          <w:rPr>
            <w:rFonts w:asciiTheme="majorHAnsi" w:hAnsiTheme="majorHAnsi" w:cstheme="majorHAnsi"/>
            <w:sz w:val="18"/>
            <w:shd w:val="clear" w:color="auto" w:fill="FFFFFF"/>
          </w:rPr>
          <w:t>Nariadenie vlády Slovenskej republiky č. 395/2006 Z. z. o minimálnych požiadavkách na poskytovanie a používanie osobných ochranných pracovných prostriedkov</w:t>
        </w:r>
      </w:hyperlink>
      <w:r w:rsidR="004D1B1B" w:rsidRPr="004D1B1B">
        <w:rPr>
          <w:rFonts w:asciiTheme="majorHAnsi" w:hAnsiTheme="majorHAnsi" w:cstheme="majorHAnsi"/>
          <w:sz w:val="18"/>
          <w:shd w:val="clear" w:color="auto" w:fill="FFFFFF"/>
        </w:rPr>
        <w:t>,</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Nariadenie vlády SR č. 396/2006 o minimálnych bezpečnostných a technických požiadavkách na stavenisko,</w:t>
      </w:r>
    </w:p>
    <w:p w:rsidR="004D1B1B" w:rsidRPr="004D1B1B" w:rsidRDefault="004D1B1B" w:rsidP="001E7B38">
      <w:pPr>
        <w:numPr>
          <w:ilvl w:val="0"/>
          <w:numId w:val="46"/>
        </w:numPr>
        <w:spacing w:line="259" w:lineRule="auto"/>
        <w:ind w:left="1423" w:hanging="357"/>
        <w:jc w:val="both"/>
        <w:rPr>
          <w:rFonts w:asciiTheme="majorHAnsi" w:hAnsiTheme="majorHAnsi" w:cstheme="majorHAnsi"/>
          <w:sz w:val="18"/>
          <w:shd w:val="clear" w:color="auto" w:fill="FFFFFF"/>
        </w:rPr>
      </w:pPr>
      <w:r w:rsidRPr="004D1B1B">
        <w:rPr>
          <w:rFonts w:asciiTheme="majorHAnsi" w:hAnsiTheme="majorHAnsi" w:cstheme="majorHAnsi"/>
          <w:sz w:val="18"/>
          <w:shd w:val="clear" w:color="auto" w:fill="FFFFFF"/>
        </w:rPr>
        <w:t>Vyhláška MPSVR SR č. 508/2009 Z. z., ktorou sa ustanovujú podrobnosti na zaistenie bezpečnosti a ochrany zdravia pri práci s technickými zariadeniami tlakovými, zdvíhacími, elektrickými a plynovými.</w:t>
      </w:r>
    </w:p>
    <w:p w:rsidR="00F06135" w:rsidRPr="004D1B1B" w:rsidRDefault="00F06135" w:rsidP="0009245A">
      <w:pPr>
        <w:rPr>
          <w:rFonts w:asciiTheme="majorHAnsi" w:hAnsiTheme="majorHAnsi" w:cstheme="majorHAnsi"/>
          <w:sz w:val="20"/>
        </w:rPr>
      </w:pPr>
    </w:p>
    <w:p w:rsidR="00F06135" w:rsidRDefault="00F06135" w:rsidP="0009245A">
      <w:pPr>
        <w:rPr>
          <w:rFonts w:asciiTheme="majorHAnsi" w:hAnsiTheme="majorHAnsi" w:cstheme="majorHAnsi"/>
          <w:sz w:val="20"/>
        </w:rPr>
      </w:pPr>
    </w:p>
    <w:p w:rsidR="004A2B2B" w:rsidRDefault="004A2B2B" w:rsidP="0009245A">
      <w:pPr>
        <w:rPr>
          <w:rFonts w:asciiTheme="majorHAnsi" w:hAnsiTheme="majorHAnsi" w:cstheme="majorHAnsi"/>
          <w:sz w:val="20"/>
        </w:rPr>
      </w:pPr>
    </w:p>
    <w:p w:rsidR="004A2B2B" w:rsidRDefault="004A2B2B" w:rsidP="0009245A">
      <w:pPr>
        <w:rPr>
          <w:rFonts w:asciiTheme="majorHAnsi" w:hAnsiTheme="majorHAnsi" w:cstheme="majorHAnsi"/>
          <w:sz w:val="20"/>
        </w:rPr>
      </w:pPr>
    </w:p>
    <w:p w:rsidR="00E67271" w:rsidRDefault="00E67271" w:rsidP="0009245A">
      <w:pPr>
        <w:rPr>
          <w:rFonts w:asciiTheme="majorHAnsi" w:hAnsiTheme="majorHAnsi" w:cstheme="majorHAnsi"/>
          <w:sz w:val="20"/>
        </w:rPr>
      </w:pPr>
    </w:p>
    <w:p w:rsidR="004A2B2B" w:rsidRDefault="004A2B2B" w:rsidP="0009245A">
      <w:pPr>
        <w:rPr>
          <w:rFonts w:asciiTheme="majorHAnsi" w:hAnsiTheme="majorHAnsi" w:cstheme="majorHAnsi"/>
          <w:sz w:val="20"/>
        </w:rPr>
      </w:pPr>
    </w:p>
    <w:p w:rsidR="004A2B2B" w:rsidRDefault="004A2B2B" w:rsidP="0009245A">
      <w:pPr>
        <w:rPr>
          <w:rFonts w:asciiTheme="majorHAnsi" w:hAnsiTheme="majorHAnsi" w:cstheme="majorHAnsi"/>
          <w:sz w:val="20"/>
        </w:rPr>
      </w:pPr>
    </w:p>
    <w:p w:rsidR="004A2B2B" w:rsidRDefault="004A2B2B" w:rsidP="0009245A">
      <w:pPr>
        <w:rPr>
          <w:rFonts w:asciiTheme="majorHAnsi" w:hAnsiTheme="majorHAnsi" w:cstheme="majorHAnsi"/>
          <w:sz w:val="20"/>
        </w:rPr>
      </w:pPr>
    </w:p>
    <w:p w:rsidR="004A2B2B" w:rsidRDefault="004A2B2B" w:rsidP="0009245A">
      <w:pPr>
        <w:rPr>
          <w:rFonts w:asciiTheme="majorHAnsi" w:hAnsiTheme="majorHAnsi" w:cstheme="majorHAnsi"/>
          <w:sz w:val="20"/>
        </w:rPr>
      </w:pPr>
    </w:p>
    <w:p w:rsidR="004A2B2B" w:rsidRDefault="004A2B2B" w:rsidP="0009245A">
      <w:pPr>
        <w:rPr>
          <w:rFonts w:asciiTheme="majorHAnsi" w:hAnsiTheme="majorHAnsi" w:cstheme="majorHAnsi"/>
          <w:sz w:val="20"/>
        </w:rPr>
      </w:pPr>
    </w:p>
    <w:p w:rsidR="004A2B2B" w:rsidRPr="004D1B1B" w:rsidRDefault="004A2B2B" w:rsidP="0009245A">
      <w:pPr>
        <w:rPr>
          <w:rFonts w:asciiTheme="majorHAnsi" w:hAnsiTheme="majorHAnsi" w:cstheme="majorHAnsi"/>
          <w:sz w:val="20"/>
        </w:rPr>
      </w:pPr>
    </w:p>
    <w:p w:rsidR="004C0F79" w:rsidRPr="004D1B1B" w:rsidRDefault="004C0F79" w:rsidP="0009245A">
      <w:pPr>
        <w:rPr>
          <w:rFonts w:asciiTheme="majorHAnsi" w:hAnsiTheme="majorHAnsi" w:cstheme="majorHAnsi"/>
          <w:sz w:val="20"/>
        </w:rPr>
      </w:pPr>
    </w:p>
    <w:p w:rsidR="00E67271" w:rsidRDefault="00E67271" w:rsidP="0009245A">
      <w:pPr>
        <w:jc w:val="both"/>
        <w:rPr>
          <w:rFonts w:ascii="Calibri" w:hAnsi="Calibri" w:cs="Calibri"/>
          <w:sz w:val="20"/>
        </w:rPr>
      </w:pPr>
    </w:p>
    <w:p w:rsidR="00E67271" w:rsidRPr="00165ED7" w:rsidRDefault="00E67271" w:rsidP="00165ED7">
      <w:pPr>
        <w:pStyle w:val="Nadpis1"/>
      </w:pPr>
      <w:r w:rsidRPr="00165ED7">
        <w:lastRenderedPageBreak/>
        <w:t>C. PROJEKT ORGANIZÁCIE VÝSTAVBY</w:t>
      </w:r>
    </w:p>
    <w:p w:rsidR="00E67271" w:rsidRPr="009C75DF" w:rsidRDefault="00E67271" w:rsidP="00E67271"/>
    <w:p w:rsidR="00E67271" w:rsidRPr="003B0C2B" w:rsidRDefault="00E67271" w:rsidP="00E67271">
      <w:pPr>
        <w:pStyle w:val="Nadpis2"/>
        <w:numPr>
          <w:ilvl w:val="0"/>
          <w:numId w:val="0"/>
        </w:numPr>
        <w:suppressAutoHyphens/>
        <w:overflowPunct/>
        <w:autoSpaceDE/>
        <w:autoSpaceDN/>
        <w:adjustRightInd/>
        <w:spacing w:before="240" w:after="60"/>
        <w:jc w:val="both"/>
        <w:textAlignment w:val="auto"/>
        <w:rPr>
          <w:rFonts w:ascii="Calibri" w:hAnsi="Calibri" w:cs="Calibri"/>
          <w:szCs w:val="20"/>
        </w:rPr>
      </w:pPr>
      <w:r w:rsidRPr="003B0C2B">
        <w:rPr>
          <w:rFonts w:ascii="Calibri" w:hAnsi="Calibri" w:cs="Calibri"/>
          <w:szCs w:val="20"/>
        </w:rPr>
        <w:t>1.  POŽIADAVKY NA UVÁDZANIE STAVBY DO PREVÁDZKY</w:t>
      </w:r>
    </w:p>
    <w:p w:rsidR="00E67271" w:rsidRPr="003B0C2B" w:rsidRDefault="00E67271" w:rsidP="00E67271">
      <w:pPr>
        <w:jc w:val="both"/>
        <w:rPr>
          <w:rFonts w:ascii="Calibri" w:hAnsi="Calibri" w:cs="Calibri"/>
          <w:sz w:val="20"/>
        </w:rPr>
      </w:pPr>
      <w:r w:rsidRPr="003B0C2B">
        <w:rPr>
          <w:rFonts w:ascii="Calibri" w:hAnsi="Calibri" w:cs="Calibri"/>
          <w:sz w:val="20"/>
        </w:rPr>
        <w:t>Stavba bude uvedená do prevádzky po jej celkovom dokončení a kolaudácii.</w:t>
      </w:r>
    </w:p>
    <w:p w:rsidR="00E67271" w:rsidRPr="003B0C2B" w:rsidRDefault="00E67271" w:rsidP="00E67271">
      <w:pPr>
        <w:pStyle w:val="Nadpis2"/>
        <w:numPr>
          <w:ilvl w:val="0"/>
          <w:numId w:val="0"/>
        </w:numPr>
        <w:suppressAutoHyphens/>
        <w:overflowPunct/>
        <w:autoSpaceDE/>
        <w:autoSpaceDN/>
        <w:adjustRightInd/>
        <w:spacing w:before="240" w:after="60"/>
        <w:jc w:val="both"/>
        <w:textAlignment w:val="auto"/>
        <w:rPr>
          <w:rFonts w:ascii="Calibri" w:hAnsi="Calibri" w:cs="Calibri"/>
          <w:szCs w:val="20"/>
        </w:rPr>
      </w:pPr>
      <w:bookmarkStart w:id="311" w:name="_Toc393700985"/>
      <w:r w:rsidRPr="003B0C2B">
        <w:rPr>
          <w:rFonts w:ascii="Calibri" w:hAnsi="Calibri" w:cs="Calibri"/>
          <w:szCs w:val="20"/>
        </w:rPr>
        <w:t>2.  DODÁVATEĽSKÉ ZABEZPEČENIE STAVBY, ČLENENIE STAVBY</w:t>
      </w:r>
      <w:bookmarkEnd w:id="311"/>
    </w:p>
    <w:p w:rsidR="00E67271" w:rsidRPr="003B0C2B" w:rsidRDefault="00E67271" w:rsidP="00E67271">
      <w:pPr>
        <w:jc w:val="both"/>
        <w:rPr>
          <w:rFonts w:ascii="Calibri" w:hAnsi="Calibri" w:cs="Calibri"/>
          <w:sz w:val="20"/>
        </w:rPr>
      </w:pPr>
      <w:r w:rsidRPr="003B0C2B">
        <w:rPr>
          <w:rFonts w:ascii="Calibri" w:hAnsi="Calibri" w:cs="Calibri"/>
          <w:sz w:val="20"/>
        </w:rPr>
        <w:t>Budúci dodávateľ bude vybraný na základe výberového konania a  podrobného výkazu výmer.</w:t>
      </w:r>
    </w:p>
    <w:p w:rsidR="00E67271" w:rsidRPr="003B0C2B" w:rsidRDefault="00E67271" w:rsidP="00E67271">
      <w:pPr>
        <w:jc w:val="both"/>
        <w:rPr>
          <w:rFonts w:ascii="Calibri" w:hAnsi="Calibri" w:cs="Calibri"/>
          <w:sz w:val="20"/>
        </w:rPr>
      </w:pPr>
      <w:r w:rsidRPr="003B0C2B">
        <w:rPr>
          <w:rFonts w:ascii="Calibri" w:hAnsi="Calibri" w:cs="Calibri"/>
          <w:sz w:val="20"/>
        </w:rPr>
        <w:t xml:space="preserve">Členenie stavby na stavebné objekty je podrobne uvedené v časti  Sprievodná správa. </w:t>
      </w:r>
    </w:p>
    <w:p w:rsidR="00E67271" w:rsidRPr="003B0C2B" w:rsidRDefault="00E67271" w:rsidP="00E67271">
      <w:pPr>
        <w:pStyle w:val="Nadpis2"/>
        <w:numPr>
          <w:ilvl w:val="0"/>
          <w:numId w:val="0"/>
        </w:numPr>
        <w:suppressAutoHyphens/>
        <w:overflowPunct/>
        <w:autoSpaceDE/>
        <w:autoSpaceDN/>
        <w:adjustRightInd/>
        <w:spacing w:before="240" w:after="60"/>
        <w:jc w:val="both"/>
        <w:textAlignment w:val="auto"/>
        <w:rPr>
          <w:rFonts w:ascii="Calibri" w:hAnsi="Calibri" w:cs="Calibri"/>
          <w:szCs w:val="20"/>
        </w:rPr>
      </w:pPr>
      <w:bookmarkStart w:id="312" w:name="_Toc393700986"/>
      <w:r w:rsidRPr="003B0C2B">
        <w:rPr>
          <w:rFonts w:ascii="Calibri" w:hAnsi="Calibri" w:cs="Calibri"/>
          <w:szCs w:val="20"/>
        </w:rPr>
        <w:t>3. ZÁSADY RIEŠENIA ZARIADENIA STAVENISKA</w:t>
      </w:r>
      <w:bookmarkEnd w:id="312"/>
    </w:p>
    <w:p w:rsidR="00E67271" w:rsidRPr="003B0C2B" w:rsidRDefault="00E67271" w:rsidP="00E67271">
      <w:pPr>
        <w:jc w:val="both"/>
        <w:rPr>
          <w:rFonts w:ascii="Calibri" w:hAnsi="Calibri" w:cs="Calibri"/>
          <w:sz w:val="20"/>
        </w:rPr>
      </w:pPr>
      <w:r w:rsidRPr="003B0C2B">
        <w:rPr>
          <w:rFonts w:ascii="Calibri" w:hAnsi="Calibri" w:cs="Calibri"/>
          <w:sz w:val="20"/>
        </w:rPr>
        <w:t>Projekt organizácie výstavby je vypracovaný na základe objednávky investora v zmysle platnej legislatívy SR t.j. Zákona č. 50/1976 Zb. O územnom plánovaní a stavebnom poriadku ( tzv. Stavebný zákon ), v znení Zákona č. 103/1990 Zb., Zákona č. 262/1992 Zb., Zákona NR SR č. 199/1995 Z.z., Nálezu Ústavného súdu SR č. 286/1996 Z.z., Zákona č. 229/1997 Z.z., Zákona č. 175/1999 Z.z. a Zákona č .237/2000 Z.z. Technické a organizačné riešenie stavby, ktoré je navrhované v predmetnej dokumentácii zabezpečuje v tomto priestore investorom majetko-právne vysporiadanom maximálne možnú hospodárnosť, s prihliadnutím na minimalizáciu stavebných nákladov a lehoty výstavby.</w:t>
      </w:r>
    </w:p>
    <w:p w:rsidR="00E67271" w:rsidRPr="003B0C2B" w:rsidRDefault="00E67271" w:rsidP="00E67271">
      <w:pPr>
        <w:jc w:val="both"/>
        <w:rPr>
          <w:rFonts w:ascii="Calibri" w:hAnsi="Calibri" w:cs="Calibri"/>
          <w:sz w:val="20"/>
        </w:rPr>
      </w:pPr>
    </w:p>
    <w:p w:rsidR="00E67271" w:rsidRPr="003B0C2B" w:rsidRDefault="00E67271" w:rsidP="00E67271">
      <w:pPr>
        <w:jc w:val="both"/>
        <w:rPr>
          <w:rFonts w:ascii="Calibri" w:hAnsi="Calibri" w:cs="Calibri"/>
          <w:b/>
          <w:sz w:val="20"/>
        </w:rPr>
      </w:pPr>
      <w:r w:rsidRPr="003B0C2B">
        <w:rPr>
          <w:rFonts w:ascii="Calibri" w:hAnsi="Calibri" w:cs="Calibri"/>
          <w:b/>
          <w:sz w:val="20"/>
        </w:rPr>
        <w:t>Charakteristika staveniska</w:t>
      </w:r>
    </w:p>
    <w:p w:rsidR="00E67271" w:rsidRDefault="00E67271" w:rsidP="00E67271">
      <w:pPr>
        <w:pStyle w:val="Normal13"/>
        <w:tabs>
          <w:tab w:val="right" w:pos="3119"/>
        </w:tabs>
        <w:spacing w:line="240" w:lineRule="auto"/>
        <w:ind w:left="3538" w:hanging="3538"/>
        <w:rPr>
          <w:rFonts w:ascii="Calibri" w:hAnsi="Calibri" w:cs="Calibri"/>
          <w:color w:val="000000"/>
          <w:sz w:val="20"/>
        </w:rPr>
      </w:pPr>
      <w:r w:rsidRPr="003B0C2B">
        <w:rPr>
          <w:rFonts w:ascii="Calibri" w:hAnsi="Calibri" w:cs="Calibri"/>
          <w:sz w:val="20"/>
        </w:rPr>
        <w:t xml:space="preserve">Stavenisko pre realizáciu stavebných objektov je situované do priestoru ohraničeného parcelami </w:t>
      </w:r>
      <w:r w:rsidRPr="003B0C2B">
        <w:rPr>
          <w:rFonts w:ascii="Calibri" w:hAnsi="Calibri" w:cs="Calibri"/>
          <w:color w:val="000000"/>
          <w:sz w:val="20"/>
          <w:lang w:eastAsia="en-US"/>
        </w:rPr>
        <w:t>č</w:t>
      </w:r>
      <w:r w:rsidRPr="003B0C2B">
        <w:rPr>
          <w:rFonts w:ascii="Calibri" w:hAnsi="Calibri" w:cs="Calibri"/>
          <w:sz w:val="20"/>
        </w:rPr>
        <w:t xml:space="preserve">.: </w:t>
      </w:r>
      <w:r>
        <w:rPr>
          <w:rFonts w:ascii="Calibri" w:hAnsi="Calibri" w:cs="Calibri"/>
          <w:sz w:val="20"/>
          <w:szCs w:val="22"/>
        </w:rPr>
        <w:t>236</w:t>
      </w:r>
      <w:r w:rsidR="00165ED7">
        <w:rPr>
          <w:rFonts w:ascii="Calibri" w:hAnsi="Calibri" w:cs="Calibri"/>
          <w:sz w:val="20"/>
          <w:szCs w:val="22"/>
        </w:rPr>
        <w:t>2</w:t>
      </w:r>
      <w:r>
        <w:rPr>
          <w:rFonts w:ascii="Calibri" w:hAnsi="Calibri" w:cs="Calibri"/>
          <w:sz w:val="20"/>
          <w:szCs w:val="22"/>
        </w:rPr>
        <w:t>/</w:t>
      </w:r>
      <w:r w:rsidR="00165ED7">
        <w:rPr>
          <w:rFonts w:ascii="Calibri" w:hAnsi="Calibri" w:cs="Calibri"/>
          <w:sz w:val="20"/>
          <w:szCs w:val="22"/>
        </w:rPr>
        <w:t>5</w:t>
      </w:r>
      <w:r>
        <w:rPr>
          <w:rFonts w:ascii="Calibri" w:hAnsi="Calibri" w:cs="Calibri"/>
          <w:sz w:val="20"/>
          <w:szCs w:val="22"/>
        </w:rPr>
        <w:t>, 23</w:t>
      </w:r>
      <w:r w:rsidR="00165ED7">
        <w:rPr>
          <w:rFonts w:ascii="Calibri" w:hAnsi="Calibri" w:cs="Calibri"/>
          <w:sz w:val="20"/>
          <w:szCs w:val="22"/>
        </w:rPr>
        <w:t>70/1</w:t>
      </w:r>
      <w:r>
        <w:rPr>
          <w:rFonts w:ascii="Calibri" w:hAnsi="Calibri" w:cs="Calibri"/>
          <w:sz w:val="20"/>
          <w:szCs w:val="22"/>
        </w:rPr>
        <w:t>, 23</w:t>
      </w:r>
      <w:r w:rsidR="00165ED7">
        <w:rPr>
          <w:rFonts w:ascii="Calibri" w:hAnsi="Calibri" w:cs="Calibri"/>
          <w:sz w:val="20"/>
          <w:szCs w:val="22"/>
        </w:rPr>
        <w:t>70</w:t>
      </w:r>
      <w:r>
        <w:rPr>
          <w:rFonts w:ascii="Calibri" w:hAnsi="Calibri" w:cs="Calibri"/>
          <w:sz w:val="20"/>
          <w:szCs w:val="22"/>
        </w:rPr>
        <w:t>/</w:t>
      </w:r>
      <w:r w:rsidR="00165ED7">
        <w:rPr>
          <w:rFonts w:ascii="Calibri" w:hAnsi="Calibri" w:cs="Calibri"/>
          <w:sz w:val="20"/>
          <w:szCs w:val="22"/>
        </w:rPr>
        <w:t>2</w:t>
      </w:r>
      <w:r>
        <w:rPr>
          <w:rFonts w:ascii="Calibri" w:hAnsi="Calibri" w:cs="Calibri"/>
          <w:sz w:val="20"/>
          <w:szCs w:val="22"/>
        </w:rPr>
        <w:t>, 2366/</w:t>
      </w:r>
      <w:r w:rsidR="00165ED7">
        <w:rPr>
          <w:rFonts w:ascii="Calibri" w:hAnsi="Calibri" w:cs="Calibri"/>
          <w:sz w:val="20"/>
          <w:szCs w:val="22"/>
        </w:rPr>
        <w:t>9</w:t>
      </w:r>
      <w:r>
        <w:rPr>
          <w:rFonts w:ascii="Calibri" w:hAnsi="Calibri" w:cs="Calibri"/>
          <w:sz w:val="20"/>
          <w:szCs w:val="22"/>
        </w:rPr>
        <w:t>, 236</w:t>
      </w:r>
      <w:r w:rsidR="00165ED7">
        <w:rPr>
          <w:rFonts w:ascii="Calibri" w:hAnsi="Calibri" w:cs="Calibri"/>
          <w:sz w:val="20"/>
          <w:szCs w:val="22"/>
        </w:rPr>
        <w:t>6</w:t>
      </w:r>
      <w:r>
        <w:rPr>
          <w:rFonts w:ascii="Calibri" w:hAnsi="Calibri" w:cs="Calibri"/>
          <w:sz w:val="20"/>
          <w:szCs w:val="22"/>
        </w:rPr>
        <w:t>/</w:t>
      </w:r>
      <w:r w:rsidR="00165ED7">
        <w:rPr>
          <w:rFonts w:ascii="Calibri" w:hAnsi="Calibri" w:cs="Calibri"/>
          <w:sz w:val="20"/>
          <w:szCs w:val="22"/>
        </w:rPr>
        <w:t>10</w:t>
      </w:r>
      <w:r>
        <w:rPr>
          <w:rFonts w:ascii="Calibri" w:hAnsi="Calibri" w:cs="Calibri"/>
          <w:sz w:val="20"/>
          <w:szCs w:val="22"/>
        </w:rPr>
        <w:t>, 236</w:t>
      </w:r>
      <w:r w:rsidR="00165ED7">
        <w:rPr>
          <w:rFonts w:ascii="Calibri" w:hAnsi="Calibri" w:cs="Calibri"/>
          <w:sz w:val="20"/>
          <w:szCs w:val="22"/>
        </w:rPr>
        <w:t>6</w:t>
      </w:r>
      <w:r>
        <w:rPr>
          <w:rFonts w:ascii="Calibri" w:hAnsi="Calibri" w:cs="Calibri"/>
          <w:sz w:val="20"/>
          <w:szCs w:val="22"/>
        </w:rPr>
        <w:t>/1</w:t>
      </w:r>
      <w:r w:rsidR="00165ED7">
        <w:rPr>
          <w:rFonts w:ascii="Calibri" w:hAnsi="Calibri" w:cs="Calibri"/>
          <w:sz w:val="20"/>
          <w:szCs w:val="22"/>
        </w:rPr>
        <w:t>1</w:t>
      </w:r>
      <w:r>
        <w:rPr>
          <w:rFonts w:ascii="Calibri" w:hAnsi="Calibri" w:cs="Calibri"/>
          <w:sz w:val="20"/>
          <w:szCs w:val="22"/>
        </w:rPr>
        <w:t>,</w:t>
      </w:r>
      <w:r w:rsidR="00165ED7">
        <w:rPr>
          <w:rFonts w:ascii="Calibri" w:hAnsi="Calibri" w:cs="Calibri"/>
          <w:sz w:val="20"/>
          <w:szCs w:val="22"/>
        </w:rPr>
        <w:t xml:space="preserve"> </w:t>
      </w:r>
      <w:r>
        <w:rPr>
          <w:rFonts w:ascii="Calibri" w:hAnsi="Calibri" w:cs="Calibri"/>
          <w:sz w:val="20"/>
          <w:szCs w:val="22"/>
        </w:rPr>
        <w:t>236</w:t>
      </w:r>
      <w:r w:rsidR="00165ED7">
        <w:rPr>
          <w:rFonts w:ascii="Calibri" w:hAnsi="Calibri" w:cs="Calibri"/>
          <w:sz w:val="20"/>
          <w:szCs w:val="22"/>
        </w:rPr>
        <w:t>6</w:t>
      </w:r>
      <w:r>
        <w:rPr>
          <w:rFonts w:ascii="Calibri" w:hAnsi="Calibri" w:cs="Calibri"/>
          <w:sz w:val="20"/>
          <w:szCs w:val="22"/>
        </w:rPr>
        <w:t>/</w:t>
      </w:r>
      <w:r w:rsidR="00165ED7">
        <w:rPr>
          <w:rFonts w:ascii="Calibri" w:hAnsi="Calibri" w:cs="Calibri"/>
          <w:sz w:val="20"/>
          <w:szCs w:val="22"/>
        </w:rPr>
        <w:t>12</w:t>
      </w:r>
      <w:r>
        <w:rPr>
          <w:rFonts w:ascii="Calibri" w:hAnsi="Calibri" w:cs="Calibri"/>
          <w:sz w:val="20"/>
          <w:szCs w:val="22"/>
        </w:rPr>
        <w:t>, 23</w:t>
      </w:r>
      <w:r w:rsidR="00165ED7">
        <w:rPr>
          <w:rFonts w:ascii="Calibri" w:hAnsi="Calibri" w:cs="Calibri"/>
          <w:sz w:val="20"/>
          <w:szCs w:val="22"/>
        </w:rPr>
        <w:t>67</w:t>
      </w:r>
      <w:r>
        <w:rPr>
          <w:rFonts w:ascii="Calibri" w:hAnsi="Calibri" w:cs="Calibri"/>
          <w:sz w:val="20"/>
          <w:szCs w:val="22"/>
        </w:rPr>
        <w:t>/</w:t>
      </w:r>
      <w:r w:rsidR="00165ED7">
        <w:rPr>
          <w:rFonts w:ascii="Calibri" w:hAnsi="Calibri" w:cs="Calibri"/>
          <w:sz w:val="20"/>
          <w:szCs w:val="22"/>
        </w:rPr>
        <w:t>2</w:t>
      </w:r>
      <w:r>
        <w:rPr>
          <w:rFonts w:ascii="Calibri" w:hAnsi="Calibri" w:cs="Calibri"/>
          <w:sz w:val="20"/>
          <w:szCs w:val="22"/>
        </w:rPr>
        <w:t xml:space="preserve"> </w:t>
      </w:r>
    </w:p>
    <w:p w:rsidR="00E67271" w:rsidRPr="004C0F79" w:rsidRDefault="00E67271" w:rsidP="00E67271">
      <w:pPr>
        <w:pStyle w:val="Normal13"/>
        <w:tabs>
          <w:tab w:val="right" w:pos="3119"/>
        </w:tabs>
        <w:spacing w:line="240" w:lineRule="auto"/>
        <w:rPr>
          <w:rFonts w:ascii="Calibri" w:hAnsi="Calibri" w:cs="Calibri"/>
          <w:sz w:val="20"/>
          <w:szCs w:val="22"/>
        </w:rPr>
      </w:pPr>
      <w:r w:rsidRPr="003B0C2B">
        <w:rPr>
          <w:rFonts w:ascii="Calibri" w:hAnsi="Calibri" w:cs="Calibri"/>
          <w:color w:val="000000"/>
          <w:sz w:val="20"/>
        </w:rPr>
        <w:t xml:space="preserve">k.ú. </w:t>
      </w:r>
      <w:r>
        <w:rPr>
          <w:rFonts w:ascii="Calibri" w:hAnsi="Calibri" w:cs="Calibri"/>
          <w:color w:val="000000"/>
          <w:sz w:val="20"/>
        </w:rPr>
        <w:t>STREKOV</w:t>
      </w:r>
    </w:p>
    <w:p w:rsidR="00E67271" w:rsidRDefault="00E67271" w:rsidP="00E67271">
      <w:pPr>
        <w:jc w:val="both"/>
        <w:rPr>
          <w:rFonts w:ascii="Calibri" w:hAnsi="Calibri" w:cs="Calibri"/>
          <w:sz w:val="20"/>
        </w:rPr>
      </w:pPr>
      <w:r w:rsidRPr="00C6486B">
        <w:rPr>
          <w:rFonts w:ascii="Calibri" w:hAnsi="Calibri" w:cs="Calibri"/>
          <w:sz w:val="20"/>
        </w:rPr>
        <w:t>Komplex Vinárstva S je umiestnený na pozemkoch investorom majetkovo-právne vysporiadaných. Povrch riešeného územia je pokrytý prevažne plochou vinohradu, v juhozápadnej časti doplnený o dreviny orechových stromov a trávnaté plochy. Na pozemku sa okrem drobných objektov</w:t>
      </w:r>
      <w:r>
        <w:rPr>
          <w:rFonts w:ascii="Calibri" w:hAnsi="Calibri" w:cs="Calibri"/>
          <w:sz w:val="20"/>
        </w:rPr>
        <w:t xml:space="preserve">, </w:t>
      </w:r>
      <w:r w:rsidRPr="00C6486B">
        <w:rPr>
          <w:rFonts w:ascii="Calibri" w:hAnsi="Calibri" w:cs="Calibri"/>
          <w:sz w:val="20"/>
        </w:rPr>
        <w:t xml:space="preserve"> </w:t>
      </w:r>
      <w:r>
        <w:rPr>
          <w:rFonts w:ascii="Calibri" w:hAnsi="Calibri" w:cs="Calibri"/>
          <w:sz w:val="20"/>
        </w:rPr>
        <w:t>z ktorých je jeden určený na asanáciu</w:t>
      </w:r>
      <w:r w:rsidRPr="00C6486B">
        <w:rPr>
          <w:rFonts w:ascii="Calibri" w:hAnsi="Calibri" w:cs="Calibri"/>
          <w:sz w:val="20"/>
        </w:rPr>
        <w:t xml:space="preserve"> ďalej nachádza elektrický stĺp, ktorý má byť odstránený a následne nahradený novým stĺpom spoločne s plánovanou prípojkou elektrickej energie. Jeho umiestnenie je špecifikované vo výkresovej dokumentácii v časti Koordinačná situácia. Na pozemku sa ďalej nachádza</w:t>
      </w:r>
      <w:r>
        <w:rPr>
          <w:rFonts w:ascii="Calibri" w:hAnsi="Calibri" w:cs="Calibri"/>
          <w:sz w:val="20"/>
        </w:rPr>
        <w:t xml:space="preserve"> vodomerná  šachta</w:t>
      </w:r>
      <w:r w:rsidRPr="00C6486B">
        <w:rPr>
          <w:rFonts w:ascii="Calibri" w:hAnsi="Calibri" w:cs="Calibri"/>
          <w:sz w:val="20"/>
        </w:rPr>
        <w:t>, ktor</w:t>
      </w:r>
      <w:r>
        <w:rPr>
          <w:rFonts w:ascii="Calibri" w:hAnsi="Calibri" w:cs="Calibri"/>
          <w:sz w:val="20"/>
        </w:rPr>
        <w:t>á</w:t>
      </w:r>
      <w:r w:rsidRPr="00C6486B">
        <w:rPr>
          <w:rFonts w:ascii="Calibri" w:hAnsi="Calibri" w:cs="Calibri"/>
          <w:sz w:val="20"/>
        </w:rPr>
        <w:t xml:space="preserve"> bud</w:t>
      </w:r>
      <w:r>
        <w:rPr>
          <w:rFonts w:ascii="Calibri" w:hAnsi="Calibri" w:cs="Calibri"/>
          <w:sz w:val="20"/>
        </w:rPr>
        <w:t>e</w:t>
      </w:r>
      <w:r w:rsidRPr="00C6486B">
        <w:rPr>
          <w:rFonts w:ascii="Calibri" w:hAnsi="Calibri" w:cs="Calibri"/>
          <w:sz w:val="20"/>
        </w:rPr>
        <w:t xml:space="preserve"> využívan</w:t>
      </w:r>
      <w:r>
        <w:rPr>
          <w:rFonts w:ascii="Calibri" w:hAnsi="Calibri" w:cs="Calibri"/>
          <w:sz w:val="20"/>
        </w:rPr>
        <w:t>á</w:t>
      </w:r>
      <w:r w:rsidRPr="00C6486B">
        <w:rPr>
          <w:rFonts w:ascii="Calibri" w:hAnsi="Calibri" w:cs="Calibri"/>
          <w:sz w:val="20"/>
        </w:rPr>
        <w:t xml:space="preserve"> aj novonavrhovanými stavbami vinárstva a vyhliadkovej veže.</w:t>
      </w:r>
    </w:p>
    <w:p w:rsidR="00E67271" w:rsidRPr="00C6486B" w:rsidRDefault="00E67271" w:rsidP="00E67271">
      <w:pPr>
        <w:jc w:val="both"/>
        <w:rPr>
          <w:rFonts w:ascii="Calibri" w:hAnsi="Calibri" w:cs="Calibri"/>
          <w:sz w:val="20"/>
        </w:rPr>
      </w:pPr>
    </w:p>
    <w:p w:rsidR="00E67271" w:rsidRPr="003B0C2B" w:rsidRDefault="00E67271" w:rsidP="00E67271">
      <w:pPr>
        <w:jc w:val="both"/>
        <w:rPr>
          <w:rFonts w:ascii="Calibri" w:hAnsi="Calibri" w:cs="Calibri"/>
          <w:b/>
          <w:sz w:val="20"/>
        </w:rPr>
      </w:pPr>
      <w:r w:rsidRPr="003B0C2B">
        <w:rPr>
          <w:rFonts w:ascii="Calibri" w:hAnsi="Calibri" w:cs="Calibri"/>
          <w:b/>
          <w:sz w:val="20"/>
        </w:rPr>
        <w:t>Objekty zariadenia staveniska</w:t>
      </w:r>
    </w:p>
    <w:p w:rsidR="00E67271" w:rsidRPr="003B0C2B" w:rsidRDefault="00E67271" w:rsidP="00E67271">
      <w:pPr>
        <w:jc w:val="both"/>
        <w:rPr>
          <w:rFonts w:ascii="Calibri" w:hAnsi="Calibri" w:cs="Calibri"/>
          <w:sz w:val="20"/>
        </w:rPr>
      </w:pPr>
      <w:r w:rsidRPr="003B0C2B">
        <w:rPr>
          <w:rFonts w:ascii="Calibri" w:hAnsi="Calibri" w:cs="Calibri"/>
          <w:sz w:val="20"/>
        </w:rPr>
        <w:t>Stavba bude realizovaná dodávateľsky. Plochy pre zariadenie staveniska budú umiestnené priamo na stavebnom pozemku. Pred zahájením stavebných prác odovzdá investor zástupcovi vybraného dodávateľa výstavby rozhodnutie o prípustnosti stavby (platné stavebné povolenie) a projektovú dokumentáciu. Sociálne zariadenie vrátane šatne staveniska bude umiestnené v prenosných zariadeniach na stavenisku. Sociálne zariadenie aj šatňa  staveniska bude dimenzovaná pre maximálny počet pracovníkov na stavbe. Ubytovanie si bude zaisťovať vo svojich ubytovacích zariadeniach budúci dodávateľ stavby.</w:t>
      </w:r>
    </w:p>
    <w:p w:rsidR="00E67271" w:rsidRPr="003B0C2B" w:rsidRDefault="00E67271" w:rsidP="00E67271">
      <w:pPr>
        <w:jc w:val="both"/>
        <w:rPr>
          <w:rFonts w:ascii="Calibri" w:hAnsi="Calibri" w:cs="Calibri"/>
          <w:iCs/>
          <w:sz w:val="20"/>
        </w:rPr>
      </w:pPr>
      <w:r w:rsidRPr="003B0C2B">
        <w:rPr>
          <w:rFonts w:ascii="Calibri" w:hAnsi="Calibri" w:cs="Calibri"/>
          <w:sz w:val="20"/>
        </w:rPr>
        <w:t>Prevádzkové zariadenie staveniska – kryté sklady nevykurované sa na stavenisku budú nachádzať v prenosných zariadeniach, ktoré si zabezpečuje dodávateľ.</w:t>
      </w:r>
    </w:p>
    <w:p w:rsidR="00E67271" w:rsidRPr="003B0C2B" w:rsidRDefault="00E67271" w:rsidP="00E67271">
      <w:pPr>
        <w:jc w:val="both"/>
        <w:rPr>
          <w:rFonts w:ascii="Calibri" w:hAnsi="Calibri" w:cs="Calibri"/>
          <w:sz w:val="20"/>
        </w:rPr>
      </w:pPr>
    </w:p>
    <w:p w:rsidR="00E67271" w:rsidRPr="003B0C2B" w:rsidRDefault="00E67271" w:rsidP="00E67271">
      <w:pPr>
        <w:jc w:val="both"/>
        <w:rPr>
          <w:rFonts w:ascii="Calibri" w:hAnsi="Calibri" w:cs="Calibri"/>
          <w:b/>
          <w:sz w:val="20"/>
        </w:rPr>
      </w:pPr>
      <w:r w:rsidRPr="003B0C2B">
        <w:rPr>
          <w:rFonts w:ascii="Calibri" w:hAnsi="Calibri" w:cs="Calibri"/>
          <w:b/>
          <w:sz w:val="20"/>
        </w:rPr>
        <w:t>Zabezpečenie prívodu vody a energií</w:t>
      </w:r>
    </w:p>
    <w:p w:rsidR="00E67271" w:rsidRPr="003B0C2B" w:rsidRDefault="00E67271" w:rsidP="00E67271">
      <w:pPr>
        <w:jc w:val="both"/>
        <w:rPr>
          <w:rFonts w:ascii="Calibri" w:hAnsi="Calibri" w:cs="Calibri"/>
          <w:sz w:val="20"/>
        </w:rPr>
      </w:pPr>
      <w:r w:rsidRPr="003B0C2B">
        <w:rPr>
          <w:rFonts w:ascii="Calibri" w:hAnsi="Calibri" w:cs="Calibri"/>
          <w:sz w:val="20"/>
        </w:rPr>
        <w:t>Odber vody a elektriny bude realizovaný z jestvujúcich zdrojov  nachádzajúcich sa na pozemku. Privážanie a odvážanie stavebných materiálov počas výstavby bude prebiehať  po prístupovej komunikácii.</w:t>
      </w:r>
    </w:p>
    <w:p w:rsidR="00E67271" w:rsidRPr="003B0C2B" w:rsidRDefault="00E67271" w:rsidP="00E67271">
      <w:pPr>
        <w:jc w:val="both"/>
        <w:rPr>
          <w:rFonts w:ascii="Calibri" w:hAnsi="Calibri" w:cs="Calibri"/>
          <w:sz w:val="20"/>
        </w:rPr>
      </w:pPr>
    </w:p>
    <w:p w:rsidR="00E67271" w:rsidRPr="003B0C2B" w:rsidRDefault="00E67271" w:rsidP="00E67271">
      <w:pPr>
        <w:jc w:val="both"/>
        <w:rPr>
          <w:rFonts w:ascii="Calibri" w:hAnsi="Calibri" w:cs="Calibri"/>
          <w:b/>
          <w:sz w:val="20"/>
        </w:rPr>
      </w:pPr>
      <w:r w:rsidRPr="003B0C2B">
        <w:rPr>
          <w:rFonts w:ascii="Calibri" w:hAnsi="Calibri" w:cs="Calibri"/>
          <w:b/>
          <w:sz w:val="20"/>
        </w:rPr>
        <w:t>Údaje o dopravných trasách</w:t>
      </w:r>
    </w:p>
    <w:p w:rsidR="00E67271" w:rsidRPr="003B0C2B" w:rsidRDefault="00E67271" w:rsidP="00E67271">
      <w:pPr>
        <w:jc w:val="both"/>
        <w:rPr>
          <w:rFonts w:ascii="Calibri" w:hAnsi="Calibri" w:cs="Calibri"/>
          <w:sz w:val="20"/>
        </w:rPr>
      </w:pPr>
      <w:r w:rsidRPr="003B0C2B">
        <w:rPr>
          <w:rFonts w:ascii="Calibri" w:hAnsi="Calibri" w:cs="Calibri"/>
          <w:sz w:val="20"/>
        </w:rPr>
        <w:t xml:space="preserve">Príjazd na stavenisko bude prístupovou  komunikáciou. Vozidlá opúšťajúce stavenisko budú v plnom rozsahu rešpektovať podmienky vyplývajúce z Cestného zákona, v úplnom znení vyhlásenom pod. č. 193/1997 Z.z. (Zabezpečenie čistoty verejných priestranstiev). </w:t>
      </w:r>
    </w:p>
    <w:p w:rsidR="00E67271" w:rsidRPr="003B0C2B" w:rsidRDefault="00E67271" w:rsidP="00E67271">
      <w:pPr>
        <w:jc w:val="both"/>
        <w:rPr>
          <w:rFonts w:ascii="Calibri" w:hAnsi="Calibri" w:cs="Calibri"/>
          <w:sz w:val="20"/>
        </w:rPr>
      </w:pPr>
      <w:r w:rsidRPr="003B0C2B">
        <w:rPr>
          <w:rFonts w:ascii="Calibri" w:hAnsi="Calibri" w:cs="Calibri"/>
          <w:sz w:val="20"/>
        </w:rPr>
        <w:t xml:space="preserve"> </w:t>
      </w:r>
    </w:p>
    <w:p w:rsidR="00E67271" w:rsidRPr="003B0C2B" w:rsidRDefault="00E67271" w:rsidP="00E67271">
      <w:pPr>
        <w:jc w:val="both"/>
        <w:rPr>
          <w:rFonts w:ascii="Calibri" w:hAnsi="Calibri" w:cs="Calibri"/>
          <w:b/>
          <w:sz w:val="20"/>
        </w:rPr>
      </w:pPr>
      <w:r w:rsidRPr="003B0C2B">
        <w:rPr>
          <w:rFonts w:ascii="Calibri" w:hAnsi="Calibri" w:cs="Calibri"/>
          <w:b/>
          <w:sz w:val="20"/>
        </w:rPr>
        <w:t>Koncepcia postupu stavebných prác</w:t>
      </w:r>
    </w:p>
    <w:p w:rsidR="00E67271" w:rsidRPr="003B0C2B" w:rsidRDefault="00E67271" w:rsidP="00E67271">
      <w:pPr>
        <w:jc w:val="both"/>
        <w:rPr>
          <w:rFonts w:ascii="Calibri" w:hAnsi="Calibri" w:cs="Calibri"/>
          <w:sz w:val="20"/>
        </w:rPr>
      </w:pPr>
      <w:r w:rsidRPr="003B0C2B">
        <w:rPr>
          <w:rFonts w:ascii="Calibri" w:hAnsi="Calibri" w:cs="Calibri"/>
          <w:sz w:val="20"/>
        </w:rPr>
        <w:t>Stavebné práce budú realizované v rozsahu výkresovej dokumentácie.</w:t>
      </w:r>
    </w:p>
    <w:p w:rsidR="00E67271" w:rsidRDefault="00E67271" w:rsidP="00E67271">
      <w:pPr>
        <w:pStyle w:val="Nadpis2"/>
        <w:numPr>
          <w:ilvl w:val="0"/>
          <w:numId w:val="0"/>
        </w:numPr>
        <w:suppressAutoHyphens/>
        <w:overflowPunct/>
        <w:autoSpaceDE/>
        <w:autoSpaceDN/>
        <w:adjustRightInd/>
        <w:spacing w:before="240" w:after="60"/>
        <w:jc w:val="both"/>
        <w:textAlignment w:val="auto"/>
        <w:rPr>
          <w:rFonts w:ascii="Calibri" w:hAnsi="Calibri" w:cs="Calibri"/>
          <w:szCs w:val="20"/>
        </w:rPr>
      </w:pPr>
      <w:bookmarkStart w:id="313" w:name="_Toc393700987"/>
    </w:p>
    <w:p w:rsidR="00E67271" w:rsidRPr="004C0F79" w:rsidRDefault="00E67271" w:rsidP="00E67271">
      <w:pPr>
        <w:rPr>
          <w:lang w:val="cs-CZ"/>
        </w:rPr>
      </w:pPr>
    </w:p>
    <w:p w:rsidR="00E67271" w:rsidRPr="003B0C2B" w:rsidRDefault="00E67271" w:rsidP="00E67271">
      <w:pPr>
        <w:pStyle w:val="Nadpis2"/>
        <w:numPr>
          <w:ilvl w:val="0"/>
          <w:numId w:val="0"/>
        </w:numPr>
        <w:suppressAutoHyphens/>
        <w:overflowPunct/>
        <w:autoSpaceDE/>
        <w:autoSpaceDN/>
        <w:adjustRightInd/>
        <w:spacing w:before="240" w:after="60"/>
        <w:jc w:val="both"/>
        <w:textAlignment w:val="auto"/>
        <w:rPr>
          <w:rFonts w:ascii="Calibri" w:hAnsi="Calibri" w:cs="Calibri"/>
          <w:szCs w:val="20"/>
        </w:rPr>
      </w:pPr>
      <w:r w:rsidRPr="003B0C2B">
        <w:rPr>
          <w:rFonts w:ascii="Calibri" w:hAnsi="Calibri" w:cs="Calibri"/>
          <w:szCs w:val="20"/>
        </w:rPr>
        <w:lastRenderedPageBreak/>
        <w:t>4. ÚDAJE O OSOBITNÝCH OPATRENIACH</w:t>
      </w:r>
      <w:bookmarkEnd w:id="313"/>
      <w:r w:rsidRPr="003B0C2B">
        <w:rPr>
          <w:rFonts w:ascii="Calibri" w:hAnsi="Calibri" w:cs="Calibri"/>
          <w:szCs w:val="20"/>
        </w:rPr>
        <w:t xml:space="preserve"> </w:t>
      </w:r>
    </w:p>
    <w:p w:rsidR="00E67271" w:rsidRPr="003B0C2B" w:rsidRDefault="00E67271" w:rsidP="00E67271">
      <w:pPr>
        <w:jc w:val="both"/>
        <w:rPr>
          <w:rFonts w:ascii="Calibri" w:hAnsi="Calibri" w:cs="Calibri"/>
          <w:sz w:val="20"/>
        </w:rPr>
      </w:pPr>
      <w:r w:rsidRPr="003B0C2B">
        <w:rPr>
          <w:rFonts w:ascii="Calibri" w:hAnsi="Calibri" w:cs="Calibri"/>
          <w:sz w:val="20"/>
        </w:rPr>
        <w:t>PRÍPADNE O SPÔSOBE VYKONÁVANIA  ČINNOSTÍ VYŽADUJÚCICH BEZPEČNOSTNÉ OPATRENIA.</w:t>
      </w:r>
    </w:p>
    <w:p w:rsidR="00E67271" w:rsidRPr="003B0C2B" w:rsidRDefault="00E67271" w:rsidP="00E67271">
      <w:pPr>
        <w:jc w:val="both"/>
        <w:rPr>
          <w:rFonts w:ascii="Calibri" w:hAnsi="Calibri" w:cs="Calibri"/>
          <w:sz w:val="20"/>
        </w:rPr>
      </w:pPr>
    </w:p>
    <w:p w:rsidR="00E67271" w:rsidRPr="003B0C2B" w:rsidRDefault="00E67271" w:rsidP="00E67271">
      <w:pPr>
        <w:jc w:val="both"/>
        <w:rPr>
          <w:rFonts w:ascii="Calibri" w:hAnsi="Calibri" w:cs="Calibri"/>
          <w:b/>
          <w:sz w:val="20"/>
        </w:rPr>
      </w:pPr>
      <w:r w:rsidRPr="003B0C2B">
        <w:rPr>
          <w:rFonts w:ascii="Calibri" w:hAnsi="Calibri" w:cs="Calibri"/>
          <w:b/>
          <w:sz w:val="20"/>
        </w:rPr>
        <w:t>1. Požiarne predpisy</w:t>
      </w:r>
    </w:p>
    <w:p w:rsidR="00E67271" w:rsidRPr="004C0F79" w:rsidRDefault="00E67271" w:rsidP="00E67271">
      <w:pPr>
        <w:jc w:val="both"/>
        <w:rPr>
          <w:rFonts w:ascii="Calibri" w:hAnsi="Calibri" w:cs="Calibri"/>
          <w:sz w:val="20"/>
        </w:rPr>
      </w:pPr>
      <w:r w:rsidRPr="004C0F79">
        <w:rPr>
          <w:rFonts w:ascii="Calibri" w:hAnsi="Calibri" w:cs="Calibri"/>
          <w:sz w:val="20"/>
        </w:rPr>
        <w:t>Vybraný dodávateľ, resp. zúčastnení dodávatelia jednotlivých stavieb budú na zriadenom spoločnom stavenisku v plnom rozsahu rešpektovať Zákon č. 314/2001 Z.z. o ochrane pred požiarmi, Vyhlášku MV SR č. 288/2000 Z.z. a príslušné slovenské technické normy. Priestor pre prípadné zásahové vozidlá požiarnej ochrany je v plnom rozsahu zabezpečený z miestnej cestnej komunikácie. Podrobné technické riešenie požiarnej ochrany (napr. poloha požiarnych hydrantov, nástupné plochy a pod.) budú riešené príslušnými odbornými profesiami.</w:t>
      </w:r>
    </w:p>
    <w:p w:rsidR="00E67271" w:rsidRDefault="00E67271" w:rsidP="00E67271">
      <w:pPr>
        <w:jc w:val="both"/>
        <w:rPr>
          <w:rFonts w:ascii="Calibri" w:hAnsi="Calibri" w:cs="Calibri"/>
          <w:b/>
          <w:sz w:val="20"/>
        </w:rPr>
      </w:pPr>
    </w:p>
    <w:p w:rsidR="00E67271" w:rsidRPr="003B0C2B" w:rsidRDefault="00E67271" w:rsidP="00E67271">
      <w:pPr>
        <w:jc w:val="both"/>
        <w:rPr>
          <w:rFonts w:ascii="Calibri" w:hAnsi="Calibri" w:cs="Calibri"/>
          <w:b/>
          <w:sz w:val="20"/>
        </w:rPr>
      </w:pPr>
      <w:r w:rsidRPr="003B0C2B">
        <w:rPr>
          <w:rFonts w:ascii="Calibri" w:hAnsi="Calibri" w:cs="Calibri"/>
          <w:b/>
          <w:sz w:val="20"/>
        </w:rPr>
        <w:t>2. Bezpečnostné predpisy</w:t>
      </w:r>
    </w:p>
    <w:p w:rsidR="00E67271" w:rsidRPr="003B0C2B" w:rsidRDefault="00E67271" w:rsidP="00E67271">
      <w:pPr>
        <w:jc w:val="both"/>
        <w:rPr>
          <w:rFonts w:ascii="Calibri" w:hAnsi="Calibri" w:cs="Calibri"/>
          <w:sz w:val="20"/>
        </w:rPr>
      </w:pPr>
      <w:r w:rsidRPr="003B0C2B">
        <w:rPr>
          <w:rFonts w:ascii="Calibri" w:hAnsi="Calibri" w:cs="Calibri"/>
          <w:sz w:val="20"/>
        </w:rPr>
        <w:t>a. Počas stavebných prác je vybraný dodávateľ resp. zúčastnení dodávatelia povinní rešpektovať a dodržiavať normy, technické a technologické postupy a riadiť sa Vyhláškou č. 374/90 Zb., SÚBP a SBÚ O bezpečnosti práce a ostatnými súvisiacimi predpismi.</w:t>
      </w:r>
    </w:p>
    <w:p w:rsidR="00E67271" w:rsidRPr="003B0C2B" w:rsidRDefault="00E67271" w:rsidP="00E67271">
      <w:pPr>
        <w:jc w:val="both"/>
        <w:rPr>
          <w:rFonts w:ascii="Calibri" w:hAnsi="Calibri" w:cs="Calibri"/>
          <w:sz w:val="20"/>
        </w:rPr>
      </w:pPr>
      <w:r w:rsidRPr="003B0C2B">
        <w:rPr>
          <w:rFonts w:ascii="Calibri" w:hAnsi="Calibri" w:cs="Calibri"/>
          <w:sz w:val="20"/>
        </w:rPr>
        <w:t>b. Počas stavebných prác je vybraný dodávateľ resp. zúčastnení dodávatelia povinní rešpektovať a dodržiavať i podmienky obsiahnuté v Nariadení vlády  SR č. 201/2001 Z.z. O minimálnych bezpečnostných a zdravotných požiadavkách na pracovisko ( Smernica rady 92/58 EHS ),  v Nariadení vlády SR č. 444/2001 Z.z. O minimálnych požiadavkách na používanie označenia, symbolov a signálov na zaistenie bezpečnosti a ochrany zdravia pri práci, v súvislosti s uplatnením STN 01 0802 a v Nariadení vlády SR č. 204/2001 Z.z. O  minimálnych bezpečnostných a zdravotných požiadavkách pri práci s bremenami.</w:t>
      </w:r>
    </w:p>
    <w:p w:rsidR="00E67271" w:rsidRPr="003B0C2B" w:rsidRDefault="00E67271" w:rsidP="00E67271">
      <w:pPr>
        <w:jc w:val="both"/>
        <w:rPr>
          <w:rFonts w:ascii="Calibri" w:hAnsi="Calibri" w:cs="Calibri"/>
          <w:sz w:val="20"/>
        </w:rPr>
      </w:pPr>
      <w:r w:rsidRPr="003B0C2B">
        <w:rPr>
          <w:rFonts w:ascii="Calibri" w:hAnsi="Calibri" w:cs="Calibri"/>
          <w:sz w:val="20"/>
        </w:rPr>
        <w:t>c. Projektant POV konštatuje, že  rozsah stavebnej činnosti a jej charakter si vypracovanie Plánu bezpečnosti a ochrany zdravia pri práci, v zmysle Nariadenia vlády SR, zo dňa 21.novembra 2001, pod č. 510/2001 Z.z. nevyžaduje.</w:t>
      </w:r>
    </w:p>
    <w:p w:rsidR="00E67271" w:rsidRPr="003B0C2B" w:rsidRDefault="00E67271" w:rsidP="00E67271">
      <w:pPr>
        <w:jc w:val="both"/>
        <w:rPr>
          <w:rFonts w:ascii="Calibri" w:hAnsi="Calibri" w:cs="Calibri"/>
          <w:sz w:val="20"/>
        </w:rPr>
      </w:pPr>
    </w:p>
    <w:p w:rsidR="00E67271" w:rsidRPr="003B0C2B" w:rsidRDefault="00E67271" w:rsidP="00E67271">
      <w:pPr>
        <w:jc w:val="both"/>
        <w:rPr>
          <w:rFonts w:ascii="Calibri" w:hAnsi="Calibri" w:cs="Calibri"/>
          <w:b/>
          <w:sz w:val="20"/>
        </w:rPr>
      </w:pPr>
      <w:r w:rsidRPr="003B0C2B">
        <w:rPr>
          <w:rFonts w:ascii="Calibri" w:hAnsi="Calibri" w:cs="Calibri"/>
          <w:b/>
          <w:sz w:val="20"/>
        </w:rPr>
        <w:t xml:space="preserve">3. Vplyv uskutočňovania stavby na životné prostredie </w:t>
      </w:r>
    </w:p>
    <w:p w:rsidR="00E67271" w:rsidRPr="00C6486B" w:rsidRDefault="00E67271" w:rsidP="00E67271">
      <w:pPr>
        <w:rPr>
          <w:rFonts w:asciiTheme="majorHAnsi" w:hAnsiTheme="majorHAnsi" w:cstheme="majorHAnsi"/>
          <w:sz w:val="20"/>
        </w:rPr>
      </w:pPr>
      <w:r w:rsidRPr="00C6486B">
        <w:rPr>
          <w:rFonts w:asciiTheme="majorHAnsi" w:hAnsiTheme="majorHAnsi" w:cstheme="majorHAnsi"/>
          <w:sz w:val="20"/>
        </w:rPr>
        <w:t>Predmetná výstavba, v rozsahu navrhovanej objektovej skladby, bude mať v rámci svojej polohy v extraviláne obce, iba minimálny dopad na životné prostredie lokality. Tento vplyv súvisí s rozsahom stavebnej činnosti, budovaním nových prístupových plôch a komunikácií, spevnených plôch, prípojok inžinierskych sietí a existenciou stavebných objektov v dotyku navrhovaného staveniska. Samotné dočasné objekty zariadenia staveniska ako i navrhovaný postup výstavby nebude mať negatívny dopad na životné prostredie, v zmysle § 8, stavebného zákona nebude mať zásadne negatívne účinky a vplyvy, nebude produkovať škodlivé exhalácie, hluk, teplo, otrasy, vibrácie, prach, zápach, oslňovanie a zatieňovanie, nebude zhoršovať životné prostredie na stavbe a jeho okolí nad prípustnú mieru resp. nad mieru povolenú vydaným rozhodnutím o umiestnení stavby resp. stavebným povolením.</w:t>
      </w:r>
    </w:p>
    <w:p w:rsidR="00E67271" w:rsidRPr="00C6486B" w:rsidRDefault="00E67271" w:rsidP="00E67271">
      <w:pPr>
        <w:rPr>
          <w:rFonts w:asciiTheme="majorHAnsi" w:hAnsiTheme="majorHAnsi" w:cstheme="majorHAnsi"/>
          <w:sz w:val="20"/>
        </w:rPr>
      </w:pPr>
      <w:r w:rsidRPr="00C6486B">
        <w:rPr>
          <w:rFonts w:asciiTheme="majorHAnsi" w:hAnsiTheme="majorHAnsi" w:cstheme="majorHAnsi"/>
          <w:sz w:val="20"/>
        </w:rPr>
        <w:t xml:space="preserve">Navrhovaná činnosť nebude mať vplyv na chránené územia, nachádzajúce sa v blízkosti obce Strekov. </w:t>
      </w:r>
    </w:p>
    <w:p w:rsidR="00E67271" w:rsidRPr="00C6486B" w:rsidRDefault="00E67271" w:rsidP="00E67271">
      <w:pPr>
        <w:rPr>
          <w:rFonts w:asciiTheme="majorHAnsi" w:hAnsiTheme="majorHAnsi" w:cstheme="majorHAnsi"/>
          <w:sz w:val="20"/>
        </w:rPr>
      </w:pPr>
      <w:r w:rsidRPr="00C6486B">
        <w:rPr>
          <w:rFonts w:asciiTheme="majorHAnsi" w:hAnsiTheme="majorHAnsi" w:cstheme="majorHAnsi"/>
          <w:sz w:val="20"/>
        </w:rPr>
        <w:t>Spôsob obmedzenia alebo vylúčenia nežiaducich vplyvov počas výstavby</w:t>
      </w:r>
    </w:p>
    <w:p w:rsidR="00E67271" w:rsidRPr="00C6486B" w:rsidRDefault="00E67271" w:rsidP="00E67271">
      <w:pPr>
        <w:rPr>
          <w:rFonts w:asciiTheme="majorHAnsi" w:hAnsiTheme="majorHAnsi" w:cstheme="majorHAnsi"/>
          <w:sz w:val="20"/>
        </w:rPr>
      </w:pPr>
      <w:r w:rsidRPr="00C6486B">
        <w:rPr>
          <w:rFonts w:asciiTheme="majorHAnsi" w:hAnsiTheme="majorHAnsi" w:cstheme="majorHAnsi"/>
          <w:sz w:val="20"/>
        </w:rPr>
        <w:t>a. Z hľadiska ochrany ovzdušia:</w:t>
      </w:r>
    </w:p>
    <w:p w:rsidR="00E67271" w:rsidRPr="00C6486B" w:rsidRDefault="00E67271" w:rsidP="001E7B38">
      <w:pPr>
        <w:pStyle w:val="Odsekzoznamu"/>
        <w:numPr>
          <w:ilvl w:val="1"/>
          <w:numId w:val="47"/>
        </w:numPr>
        <w:spacing w:after="200" w:line="276" w:lineRule="auto"/>
        <w:rPr>
          <w:rFonts w:asciiTheme="majorHAnsi" w:hAnsiTheme="majorHAnsi" w:cstheme="majorHAnsi"/>
          <w:sz w:val="20"/>
        </w:rPr>
      </w:pPr>
      <w:r w:rsidRPr="00C6486B">
        <w:rPr>
          <w:rFonts w:asciiTheme="majorHAnsi" w:hAnsiTheme="majorHAnsi" w:cstheme="majorHAnsi"/>
          <w:sz w:val="20"/>
        </w:rPr>
        <w:t>pri činnostiach, pri ktorých môžu vznikať prašné emisie (napr. pri realizácii S0 00 Príprava územia) je potrebné využiť technicky dostupné prostriedky na obmedzenie vzniku týchto prašných emisií (napr. zariadenia na výrobu, úpravu a hlavne dopravu prašných materiálov je treba prekryť)</w:t>
      </w:r>
    </w:p>
    <w:p w:rsidR="00E67271" w:rsidRPr="00C6486B" w:rsidRDefault="00E67271" w:rsidP="001E7B38">
      <w:pPr>
        <w:pStyle w:val="Odsekzoznamu"/>
        <w:numPr>
          <w:ilvl w:val="1"/>
          <w:numId w:val="47"/>
        </w:numPr>
        <w:spacing w:after="200" w:line="276" w:lineRule="auto"/>
        <w:rPr>
          <w:rFonts w:asciiTheme="majorHAnsi" w:hAnsiTheme="majorHAnsi" w:cstheme="majorHAnsi"/>
          <w:sz w:val="20"/>
        </w:rPr>
      </w:pPr>
      <w:r w:rsidRPr="00C6486B">
        <w:rPr>
          <w:rFonts w:asciiTheme="majorHAnsi" w:hAnsiTheme="majorHAnsi" w:cstheme="majorHAnsi"/>
          <w:sz w:val="20"/>
        </w:rPr>
        <w:t>skladovanie prašných stavebných materiálov, v hraniciach staveniska, minimalizovať resp. ich skladovať v uzatvárateľných plechových skladoch a silách</w:t>
      </w:r>
    </w:p>
    <w:p w:rsidR="00E67271" w:rsidRPr="00C6486B" w:rsidRDefault="00E67271" w:rsidP="001E7B38">
      <w:pPr>
        <w:pStyle w:val="Odsekzoznamu"/>
        <w:numPr>
          <w:ilvl w:val="1"/>
          <w:numId w:val="47"/>
        </w:numPr>
        <w:spacing w:after="200" w:line="276" w:lineRule="auto"/>
        <w:rPr>
          <w:rFonts w:asciiTheme="majorHAnsi" w:hAnsiTheme="majorHAnsi" w:cstheme="majorHAnsi"/>
          <w:sz w:val="20"/>
        </w:rPr>
      </w:pPr>
      <w:r w:rsidRPr="00C6486B">
        <w:rPr>
          <w:rFonts w:asciiTheme="majorHAnsi" w:hAnsiTheme="majorHAnsi" w:cstheme="majorHAnsi"/>
          <w:sz w:val="20"/>
        </w:rPr>
        <w:t>v prípade nutnosti sute i zeminu pred zahájením prác pokropiť</w:t>
      </w:r>
    </w:p>
    <w:p w:rsidR="00E67271" w:rsidRPr="00C6486B" w:rsidRDefault="00E67271" w:rsidP="00E67271">
      <w:pPr>
        <w:rPr>
          <w:rFonts w:asciiTheme="majorHAnsi" w:hAnsiTheme="majorHAnsi" w:cstheme="majorHAnsi"/>
          <w:sz w:val="20"/>
        </w:rPr>
      </w:pPr>
      <w:r w:rsidRPr="00C6486B">
        <w:rPr>
          <w:rFonts w:asciiTheme="majorHAnsi" w:hAnsiTheme="majorHAnsi" w:cstheme="majorHAnsi"/>
          <w:sz w:val="20"/>
        </w:rPr>
        <w:t>b. Z hľadiska ochrany pred hlukom:</w:t>
      </w:r>
    </w:p>
    <w:p w:rsidR="00E67271" w:rsidRPr="00C6486B" w:rsidRDefault="00E67271" w:rsidP="001E7B38">
      <w:pPr>
        <w:pStyle w:val="Odsekzoznamu"/>
        <w:numPr>
          <w:ilvl w:val="1"/>
          <w:numId w:val="48"/>
        </w:numPr>
        <w:spacing w:after="200" w:line="276" w:lineRule="auto"/>
        <w:rPr>
          <w:rFonts w:asciiTheme="majorHAnsi" w:hAnsiTheme="majorHAnsi" w:cstheme="majorHAnsi"/>
          <w:sz w:val="20"/>
        </w:rPr>
      </w:pPr>
      <w:r w:rsidRPr="00C6486B">
        <w:rPr>
          <w:rFonts w:asciiTheme="majorHAnsi" w:hAnsiTheme="majorHAnsi" w:cstheme="majorHAnsi"/>
          <w:sz w:val="20"/>
        </w:rPr>
        <w:t>zabezpečiť, aby práce na navrhovanom stavenisku neprekračovali najvyššiu prípustnú hladinu hluku vo vonkajšom prostredí mimo dopravy 50 dB cez deň resp. 40 dB v noci</w:t>
      </w:r>
    </w:p>
    <w:p w:rsidR="00E67271" w:rsidRPr="00C6486B" w:rsidRDefault="00E67271" w:rsidP="001E7B38">
      <w:pPr>
        <w:pStyle w:val="Odsekzoznamu"/>
        <w:numPr>
          <w:ilvl w:val="1"/>
          <w:numId w:val="48"/>
        </w:numPr>
        <w:spacing w:after="200" w:line="276" w:lineRule="auto"/>
        <w:rPr>
          <w:rFonts w:asciiTheme="majorHAnsi" w:hAnsiTheme="majorHAnsi" w:cstheme="majorHAnsi"/>
          <w:sz w:val="20"/>
        </w:rPr>
      </w:pPr>
      <w:r w:rsidRPr="00C6486B">
        <w:rPr>
          <w:rFonts w:asciiTheme="majorHAnsi" w:hAnsiTheme="majorHAnsi" w:cstheme="majorHAnsi"/>
          <w:sz w:val="20"/>
        </w:rPr>
        <w:t>na stavenisku používať iba stroje a zariadenia vhodné pre danú činnosť (navrhovanú technológiu) a zabezpečiť ich pravidelnú údržbu a</w:t>
      </w:r>
      <w:r>
        <w:rPr>
          <w:rFonts w:asciiTheme="majorHAnsi" w:hAnsiTheme="majorHAnsi" w:cstheme="majorHAnsi"/>
          <w:sz w:val="20"/>
        </w:rPr>
        <w:t> </w:t>
      </w:r>
      <w:r w:rsidRPr="00C6486B">
        <w:rPr>
          <w:rFonts w:asciiTheme="majorHAnsi" w:hAnsiTheme="majorHAnsi" w:cstheme="majorHAnsi"/>
          <w:sz w:val="20"/>
        </w:rPr>
        <w:t>kontrolu</w:t>
      </w:r>
    </w:p>
    <w:p w:rsidR="00E67271" w:rsidRPr="00C6486B" w:rsidRDefault="00E67271" w:rsidP="00E67271">
      <w:pPr>
        <w:rPr>
          <w:rFonts w:asciiTheme="majorHAnsi" w:hAnsiTheme="majorHAnsi" w:cstheme="majorHAnsi"/>
          <w:sz w:val="20"/>
        </w:rPr>
      </w:pPr>
      <w:r w:rsidRPr="00C6486B">
        <w:rPr>
          <w:rFonts w:asciiTheme="majorHAnsi" w:hAnsiTheme="majorHAnsi" w:cstheme="majorHAnsi"/>
          <w:sz w:val="20"/>
        </w:rPr>
        <w:t>c. Z hľadiska ochrany vôd a vodohospodárskych diel:</w:t>
      </w:r>
    </w:p>
    <w:p w:rsidR="00E67271" w:rsidRPr="00C6486B" w:rsidRDefault="00E67271" w:rsidP="001E7B38">
      <w:pPr>
        <w:pStyle w:val="Odsekzoznamu"/>
        <w:numPr>
          <w:ilvl w:val="1"/>
          <w:numId w:val="49"/>
        </w:numPr>
        <w:spacing w:after="200" w:line="276" w:lineRule="auto"/>
        <w:rPr>
          <w:rFonts w:asciiTheme="majorHAnsi" w:hAnsiTheme="majorHAnsi" w:cstheme="majorHAnsi"/>
          <w:sz w:val="20"/>
        </w:rPr>
      </w:pPr>
      <w:r w:rsidRPr="00C6486B">
        <w:rPr>
          <w:rFonts w:asciiTheme="majorHAnsi" w:hAnsiTheme="majorHAnsi" w:cstheme="majorHAnsi"/>
          <w:sz w:val="20"/>
        </w:rPr>
        <w:t xml:space="preserve">zabezpečiť aby nasadené stroje a strojné zariadenia stavby neznečisťovali a neznižovali kvalitu povrchových a podzemných vôd lokality </w:t>
      </w:r>
    </w:p>
    <w:p w:rsidR="00E67271" w:rsidRPr="00C6486B" w:rsidRDefault="00E67271" w:rsidP="001E7B38">
      <w:pPr>
        <w:pStyle w:val="Odsekzoznamu"/>
        <w:numPr>
          <w:ilvl w:val="1"/>
          <w:numId w:val="49"/>
        </w:numPr>
        <w:spacing w:after="200" w:line="276" w:lineRule="auto"/>
        <w:rPr>
          <w:rFonts w:asciiTheme="majorHAnsi" w:hAnsiTheme="majorHAnsi" w:cstheme="majorHAnsi"/>
          <w:sz w:val="20"/>
        </w:rPr>
      </w:pPr>
      <w:r w:rsidRPr="00C6486B">
        <w:rPr>
          <w:rFonts w:asciiTheme="majorHAnsi" w:hAnsiTheme="majorHAnsi" w:cstheme="majorHAnsi"/>
          <w:sz w:val="20"/>
        </w:rPr>
        <w:lastRenderedPageBreak/>
        <w:t>zabezpečiť aby navrhované sociálne zariadenie staveniska, jeho odpadové vody a odpadové vody z navrhovaných technologických procesov, rešpektovali kanalizačný poriadok správcu siete</w:t>
      </w:r>
    </w:p>
    <w:p w:rsidR="00E67271" w:rsidRPr="00C6486B" w:rsidRDefault="00E67271" w:rsidP="00E67271">
      <w:pPr>
        <w:rPr>
          <w:rFonts w:asciiTheme="majorHAnsi" w:hAnsiTheme="majorHAnsi" w:cstheme="majorHAnsi"/>
          <w:sz w:val="20"/>
        </w:rPr>
      </w:pPr>
      <w:r w:rsidRPr="00C6486B">
        <w:rPr>
          <w:rFonts w:asciiTheme="majorHAnsi" w:hAnsiTheme="majorHAnsi" w:cstheme="majorHAnsi"/>
          <w:sz w:val="20"/>
        </w:rPr>
        <w:t>d. Z hľadiska ochrany zelene:</w:t>
      </w:r>
    </w:p>
    <w:p w:rsidR="00E67271" w:rsidRDefault="00E67271" w:rsidP="001E7B38">
      <w:pPr>
        <w:pStyle w:val="Odsekzoznamu"/>
        <w:numPr>
          <w:ilvl w:val="1"/>
          <w:numId w:val="50"/>
        </w:numPr>
        <w:spacing w:after="200" w:line="276" w:lineRule="auto"/>
        <w:rPr>
          <w:rFonts w:asciiTheme="majorHAnsi" w:hAnsiTheme="majorHAnsi" w:cstheme="majorHAnsi"/>
          <w:sz w:val="20"/>
        </w:rPr>
      </w:pPr>
      <w:r w:rsidRPr="00C6486B">
        <w:rPr>
          <w:rFonts w:asciiTheme="majorHAnsi" w:hAnsiTheme="majorHAnsi" w:cstheme="majorHAnsi"/>
          <w:sz w:val="20"/>
        </w:rPr>
        <w:t>zabezpečiť, aby vzrastlá zeleň lokality mimo navrhované stavenisko bola počas výstavby rešpektovaná v plnom rozsahu</w:t>
      </w:r>
    </w:p>
    <w:p w:rsidR="00E67271" w:rsidRPr="00E0594E" w:rsidRDefault="00E67271" w:rsidP="00E67271">
      <w:pPr>
        <w:rPr>
          <w:rFonts w:ascii="Calibri" w:hAnsi="Calibri" w:cs="Calibri"/>
          <w:sz w:val="20"/>
        </w:rPr>
      </w:pPr>
      <w:r w:rsidRPr="00E0594E">
        <w:rPr>
          <w:rFonts w:ascii="Calibri" w:hAnsi="Calibri" w:cs="Calibri"/>
          <w:sz w:val="20"/>
        </w:rPr>
        <w:t>Navrhované dodávateľské zabezpečenie stavby</w:t>
      </w:r>
      <w:r w:rsidRPr="00E0594E">
        <w:rPr>
          <w:rFonts w:ascii="Calibri" w:hAnsi="Calibri" w:cs="Calibri"/>
          <w:sz w:val="20"/>
        </w:rPr>
        <w:br/>
        <w:t>Spevnené plochy pre zriadenie operatívnych skládok materiálu (skládky tehál, prefabrikátov, debnenia, výstuže a pod.), drobného stavebného materiálu (plechové sklady), pre zriadenie sociálneho zázemia dodávateľa stavby, navrhujeme rezervovať v hraniciach riešeného územia t.j. na ploche navrhovaného spoločného staveniska. Rozsah a polohu, vybraným dodávateľom nárokovateľného sociálneho a skladového zázemia navrhovaného staveniska, upresní ďalší stupeň projektovej prípravy.</w:t>
      </w:r>
    </w:p>
    <w:p w:rsidR="00E67271" w:rsidRDefault="00E67271" w:rsidP="00E67271">
      <w:pPr>
        <w:rPr>
          <w:rFonts w:ascii="Calibri" w:hAnsi="Calibri" w:cs="Calibri"/>
          <w:sz w:val="20"/>
        </w:rPr>
      </w:pPr>
    </w:p>
    <w:p w:rsidR="00E67271" w:rsidRPr="00E0594E" w:rsidRDefault="00E67271" w:rsidP="00E67271">
      <w:pPr>
        <w:rPr>
          <w:rFonts w:ascii="Calibri" w:hAnsi="Calibri" w:cs="Calibri"/>
          <w:sz w:val="20"/>
        </w:rPr>
      </w:pPr>
      <w:r w:rsidRPr="00E0594E">
        <w:rPr>
          <w:rFonts w:ascii="Calibri" w:hAnsi="Calibri" w:cs="Calibri"/>
          <w:sz w:val="20"/>
        </w:rPr>
        <w:t>Predpokladaný počet pracovníkov pri výstavbe a ich sociálne zabezpečenie</w:t>
      </w:r>
      <w:r w:rsidRPr="00E0594E">
        <w:rPr>
          <w:rFonts w:ascii="Calibri" w:hAnsi="Calibri" w:cs="Calibri"/>
          <w:sz w:val="20"/>
        </w:rPr>
        <w:br/>
        <w:t xml:space="preserve">Orientačne, pre vybraného dodávateľa stavby, predpokladáme nasadenie približne 10 pracovníkov. Skutočné kapacity a podrobné sociálne zabezpečenie pracovníkov upresní ďalší stupeň projektovej prípravy resp. vybraný dodávateľ stavby, do zahájenia prác. </w:t>
      </w:r>
    </w:p>
    <w:p w:rsidR="00E67271" w:rsidRPr="00E0594E" w:rsidRDefault="00E67271" w:rsidP="00E67271">
      <w:pPr>
        <w:spacing w:after="200" w:line="276" w:lineRule="auto"/>
        <w:rPr>
          <w:rFonts w:asciiTheme="majorHAnsi" w:hAnsiTheme="majorHAnsi" w:cstheme="majorHAnsi"/>
          <w:sz w:val="20"/>
        </w:rPr>
      </w:pPr>
    </w:p>
    <w:p w:rsidR="00E67271" w:rsidRPr="003B0C2B" w:rsidRDefault="00E67271" w:rsidP="00E67271">
      <w:pPr>
        <w:jc w:val="both"/>
        <w:rPr>
          <w:rFonts w:ascii="Calibri" w:hAnsi="Calibri" w:cs="Calibri"/>
          <w:sz w:val="20"/>
        </w:rPr>
      </w:pPr>
      <w:r w:rsidRPr="003B0C2B">
        <w:rPr>
          <w:rFonts w:ascii="Calibri" w:hAnsi="Calibri" w:cs="Calibri"/>
          <w:sz w:val="20"/>
        </w:rPr>
        <w:t xml:space="preserve">Pri realizácii je dodávateľ  povinný udržiavať poriadok na stavbe i prístupovej komunikácii, musí dodržiavať  platné predpisy z oblasti BaOZ. </w:t>
      </w:r>
    </w:p>
    <w:p w:rsidR="00E67271" w:rsidRPr="003B0C2B" w:rsidRDefault="00E67271" w:rsidP="00E67271">
      <w:pPr>
        <w:jc w:val="both"/>
        <w:rPr>
          <w:rFonts w:ascii="Calibri" w:hAnsi="Calibri" w:cs="Calibri"/>
          <w:sz w:val="20"/>
        </w:rPr>
      </w:pPr>
      <w:r w:rsidRPr="003B0C2B">
        <w:rPr>
          <w:rFonts w:ascii="Calibri" w:hAnsi="Calibri" w:cs="Calibri"/>
          <w:sz w:val="20"/>
        </w:rPr>
        <w:t>V zmysle Vyhlášky Ministerstva životného prostredia SR č. 283/2001 Z.z.,  Vyhlášky č. 284/2001 Z.z., prílohy č.1, ktorou sa ustanovuje katalogizácia odpadov, Vyhlášky č. 129/2004 Z.z. a v zmysle Zákona č. 223/2001 Zb. O odpadoch  sú odpady vznikajúce  výstavbou navrhovanej objektovej skladby zatriedené nasledovne : 080112 - Odpadové farby laky a iné ako uvedené v 080111, 150101- Obaly z papiera a lepenky, 150102 – Obaly z plastov, 150104 – Obaly z kovu, 170101 – Betón, 170102 - Tehly, 170103 – Obkladačky, dlaždice, keramika, Drevo – 170201, Sklo - 170202, Železo a oceľ – 170405, 170904 - Zmiešané odpady zo stavieb a demolácii iné ako uvedené</w:t>
      </w:r>
    </w:p>
    <w:p w:rsidR="00E67271" w:rsidRPr="003B0C2B" w:rsidRDefault="00E67271" w:rsidP="00E67271">
      <w:pPr>
        <w:jc w:val="both"/>
        <w:rPr>
          <w:rFonts w:ascii="Calibri" w:hAnsi="Calibri" w:cs="Calibri"/>
          <w:sz w:val="20"/>
        </w:rPr>
      </w:pPr>
      <w:r w:rsidRPr="003B0C2B">
        <w:rPr>
          <w:rFonts w:ascii="Calibri" w:hAnsi="Calibri" w:cs="Calibri"/>
          <w:sz w:val="20"/>
        </w:rPr>
        <w:t>170901, 170901, 170901, 200301-  Zmesový komunálny odpad.</w:t>
      </w:r>
    </w:p>
    <w:p w:rsidR="00E67271" w:rsidRPr="003B0C2B" w:rsidRDefault="00E67271" w:rsidP="00E67271">
      <w:pPr>
        <w:jc w:val="both"/>
        <w:rPr>
          <w:rFonts w:ascii="Calibri" w:hAnsi="Calibri" w:cs="Calibri"/>
          <w:sz w:val="20"/>
        </w:rPr>
      </w:pPr>
    </w:p>
    <w:p w:rsidR="00E67271" w:rsidRPr="003B0C2B" w:rsidRDefault="00E67271" w:rsidP="00E67271">
      <w:pPr>
        <w:jc w:val="both"/>
        <w:rPr>
          <w:rFonts w:ascii="Calibri" w:hAnsi="Calibri" w:cs="Calibri"/>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5324"/>
        <w:gridCol w:w="1243"/>
        <w:gridCol w:w="1135"/>
      </w:tblGrid>
      <w:tr w:rsidR="00E67271" w:rsidRPr="003B0C2B" w:rsidTr="00DE3E67">
        <w:trPr>
          <w:trHeight w:val="524"/>
        </w:trPr>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Kód odpadu</w:t>
            </w:r>
          </w:p>
        </w:tc>
        <w:tc>
          <w:tcPr>
            <w:tcW w:w="5469" w:type="dxa"/>
            <w:shd w:val="clear" w:color="auto" w:fill="auto"/>
          </w:tcPr>
          <w:p w:rsidR="00E67271" w:rsidRPr="003B0C2B" w:rsidRDefault="00E67271" w:rsidP="00DE3E67">
            <w:pPr>
              <w:jc w:val="both"/>
              <w:rPr>
                <w:rFonts w:ascii="Calibri" w:hAnsi="Calibri" w:cs="Calibri"/>
                <w:sz w:val="20"/>
              </w:rPr>
            </w:pPr>
          </w:p>
          <w:p w:rsidR="00E67271" w:rsidRPr="003B0C2B" w:rsidRDefault="00E67271" w:rsidP="00DE3E67">
            <w:pPr>
              <w:jc w:val="both"/>
              <w:rPr>
                <w:rFonts w:ascii="Calibri" w:hAnsi="Calibri" w:cs="Calibri"/>
                <w:sz w:val="20"/>
              </w:rPr>
            </w:pPr>
            <w:r w:rsidRPr="003B0C2B">
              <w:rPr>
                <w:rFonts w:ascii="Calibri" w:hAnsi="Calibri" w:cs="Calibri"/>
                <w:sz w:val="20"/>
              </w:rPr>
              <w:t>Názov</w:t>
            </w:r>
          </w:p>
        </w:tc>
        <w:tc>
          <w:tcPr>
            <w:tcW w:w="1252" w:type="dxa"/>
            <w:shd w:val="clear" w:color="auto" w:fill="auto"/>
          </w:tcPr>
          <w:p w:rsidR="00E67271" w:rsidRPr="003B0C2B" w:rsidRDefault="00E67271" w:rsidP="00DE3E67">
            <w:pPr>
              <w:jc w:val="both"/>
              <w:rPr>
                <w:rFonts w:ascii="Calibri" w:hAnsi="Calibri" w:cs="Calibri"/>
                <w:sz w:val="20"/>
              </w:rPr>
            </w:pPr>
          </w:p>
          <w:p w:rsidR="00E67271" w:rsidRPr="003B0C2B" w:rsidRDefault="00E67271" w:rsidP="00DE3E67">
            <w:pPr>
              <w:jc w:val="both"/>
              <w:rPr>
                <w:rFonts w:ascii="Calibri" w:hAnsi="Calibri" w:cs="Calibri"/>
                <w:sz w:val="20"/>
              </w:rPr>
            </w:pPr>
            <w:r w:rsidRPr="003B0C2B">
              <w:rPr>
                <w:rFonts w:ascii="Calibri" w:hAnsi="Calibri" w:cs="Calibri"/>
                <w:sz w:val="20"/>
              </w:rPr>
              <w:t>Kategória</w:t>
            </w:r>
          </w:p>
        </w:tc>
        <w:tc>
          <w:tcPr>
            <w:tcW w:w="1139" w:type="dxa"/>
            <w:shd w:val="clear" w:color="auto" w:fill="auto"/>
          </w:tcPr>
          <w:p w:rsidR="00E67271" w:rsidRPr="003B0C2B" w:rsidRDefault="00E67271" w:rsidP="00DE3E67">
            <w:pPr>
              <w:jc w:val="both"/>
              <w:rPr>
                <w:rFonts w:ascii="Calibri" w:hAnsi="Calibri" w:cs="Calibri"/>
                <w:sz w:val="20"/>
              </w:rPr>
            </w:pPr>
          </w:p>
          <w:p w:rsidR="00E67271" w:rsidRPr="003B0C2B" w:rsidRDefault="00E67271" w:rsidP="00DE3E67">
            <w:pPr>
              <w:jc w:val="both"/>
              <w:rPr>
                <w:rFonts w:ascii="Calibri" w:hAnsi="Calibri" w:cs="Calibri"/>
                <w:sz w:val="20"/>
              </w:rPr>
            </w:pPr>
            <w:r w:rsidRPr="003B0C2B">
              <w:rPr>
                <w:rFonts w:ascii="Calibri" w:hAnsi="Calibri" w:cs="Calibri"/>
                <w:sz w:val="20"/>
              </w:rPr>
              <w:t>Množstvo</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080112</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Odpadové farby laky a iné ako uvedené v 080111</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r>
              <w:rPr>
                <w:rFonts w:ascii="Calibri" w:hAnsi="Calibri" w:cs="Calibri"/>
                <w:sz w:val="20"/>
              </w:rPr>
              <w:t>2</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150101</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Obaly z papiera a lepenky</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r>
              <w:rPr>
                <w:rFonts w:ascii="Calibri" w:hAnsi="Calibri" w:cs="Calibri"/>
                <w:sz w:val="20"/>
              </w:rPr>
              <w:t>3</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150102</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Obaly z plastov</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Pr>
                <w:rFonts w:ascii="Calibri" w:hAnsi="Calibri" w:cs="Calibri"/>
                <w:sz w:val="20"/>
              </w:rPr>
              <w:t>0</w:t>
            </w:r>
            <w:r w:rsidRPr="003B0C2B">
              <w:rPr>
                <w:rFonts w:ascii="Calibri" w:hAnsi="Calibri" w:cs="Calibri"/>
                <w:sz w:val="20"/>
              </w:rPr>
              <w:t>.</w:t>
            </w:r>
            <w:r>
              <w:rPr>
                <w:rFonts w:ascii="Calibri" w:hAnsi="Calibri" w:cs="Calibri"/>
                <w:sz w:val="20"/>
              </w:rPr>
              <w:t>2</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150104</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Obaly z kovu</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r>
              <w:rPr>
                <w:rFonts w:ascii="Calibri" w:hAnsi="Calibri" w:cs="Calibri"/>
                <w:sz w:val="20"/>
              </w:rPr>
              <w:t>4</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170101</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Betón</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Pr>
                <w:rFonts w:ascii="Calibri" w:hAnsi="Calibri" w:cs="Calibri"/>
                <w:sz w:val="20"/>
              </w:rPr>
              <w:t>2.5</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170102</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Tehly</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Pr>
                <w:rFonts w:ascii="Calibri" w:hAnsi="Calibri" w:cs="Calibri"/>
                <w:sz w:val="20"/>
              </w:rPr>
              <w:t>1</w:t>
            </w:r>
            <w:r w:rsidRPr="003B0C2B">
              <w:rPr>
                <w:rFonts w:ascii="Calibri" w:hAnsi="Calibri" w:cs="Calibri"/>
                <w:sz w:val="20"/>
              </w:rPr>
              <w:t>.</w:t>
            </w:r>
            <w:r>
              <w:rPr>
                <w:rFonts w:ascii="Calibri" w:hAnsi="Calibri" w:cs="Calibri"/>
                <w:sz w:val="20"/>
              </w:rPr>
              <w:t>2</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170103</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Obkladačky, dlaždice, keramika</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r>
              <w:rPr>
                <w:rFonts w:ascii="Calibri" w:hAnsi="Calibri" w:cs="Calibri"/>
                <w:sz w:val="20"/>
              </w:rPr>
              <w:t>.</w:t>
            </w:r>
            <w:r w:rsidRPr="003B0C2B">
              <w:rPr>
                <w:rFonts w:ascii="Calibri" w:hAnsi="Calibri" w:cs="Calibri"/>
                <w:sz w:val="20"/>
              </w:rPr>
              <w:t>6</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170201</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Drevo</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r>
              <w:rPr>
                <w:rFonts w:ascii="Calibri" w:hAnsi="Calibri" w:cs="Calibri"/>
                <w:sz w:val="20"/>
              </w:rPr>
              <w:t>.</w:t>
            </w:r>
            <w:r w:rsidRPr="003B0C2B">
              <w:rPr>
                <w:rFonts w:ascii="Calibri" w:hAnsi="Calibri" w:cs="Calibri"/>
                <w:sz w:val="20"/>
              </w:rPr>
              <w:t>8</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170202</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Sklo</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r>
              <w:rPr>
                <w:rFonts w:ascii="Calibri" w:hAnsi="Calibri" w:cs="Calibri"/>
                <w:sz w:val="20"/>
              </w:rPr>
              <w:t>.</w:t>
            </w:r>
            <w:r w:rsidRPr="003B0C2B">
              <w:rPr>
                <w:rFonts w:ascii="Calibri" w:hAnsi="Calibri" w:cs="Calibri"/>
                <w:sz w:val="20"/>
              </w:rPr>
              <w:t>3</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170405</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Železo a oceľ</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Pr>
                <w:rFonts w:ascii="Calibri" w:hAnsi="Calibri" w:cs="Calibri"/>
                <w:sz w:val="20"/>
              </w:rPr>
              <w:t>0.5</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170904</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Zmiešané odpady zo stavieb a demolácii iné ako uvedené</w:t>
            </w:r>
          </w:p>
          <w:p w:rsidR="00E67271" w:rsidRPr="003B0C2B" w:rsidRDefault="00E67271" w:rsidP="00DE3E67">
            <w:pPr>
              <w:jc w:val="both"/>
              <w:rPr>
                <w:rFonts w:ascii="Calibri" w:hAnsi="Calibri" w:cs="Calibri"/>
                <w:sz w:val="20"/>
              </w:rPr>
            </w:pPr>
            <w:r w:rsidRPr="003B0C2B">
              <w:rPr>
                <w:rFonts w:ascii="Calibri" w:hAnsi="Calibri" w:cs="Calibri"/>
                <w:sz w:val="20"/>
              </w:rPr>
              <w:t>170901, 170901, 170901</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Pr>
                <w:rFonts w:ascii="Calibri" w:hAnsi="Calibri" w:cs="Calibri"/>
                <w:sz w:val="20"/>
              </w:rPr>
              <w:t>2.5</w:t>
            </w:r>
          </w:p>
        </w:tc>
      </w:tr>
      <w:tr w:rsidR="00E67271" w:rsidRPr="003B0C2B" w:rsidTr="00DE3E67">
        <w:tc>
          <w:tcPr>
            <w:tcW w:w="1378"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200301</w:t>
            </w:r>
          </w:p>
        </w:tc>
        <w:tc>
          <w:tcPr>
            <w:tcW w:w="5469"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Zmesový komunálny odpad</w:t>
            </w:r>
          </w:p>
        </w:tc>
        <w:tc>
          <w:tcPr>
            <w:tcW w:w="1252" w:type="dxa"/>
            <w:shd w:val="clear" w:color="auto" w:fill="auto"/>
          </w:tcPr>
          <w:p w:rsidR="00E67271" w:rsidRPr="003B0C2B" w:rsidRDefault="00E67271" w:rsidP="00DE3E67">
            <w:pPr>
              <w:jc w:val="both"/>
              <w:rPr>
                <w:rFonts w:ascii="Calibri" w:hAnsi="Calibri" w:cs="Calibri"/>
                <w:sz w:val="20"/>
              </w:rPr>
            </w:pPr>
            <w:r w:rsidRPr="003B0C2B">
              <w:rPr>
                <w:rFonts w:ascii="Calibri" w:hAnsi="Calibri" w:cs="Calibri"/>
                <w:sz w:val="20"/>
              </w:rPr>
              <w:t>0</w:t>
            </w:r>
          </w:p>
        </w:tc>
        <w:tc>
          <w:tcPr>
            <w:tcW w:w="1139" w:type="dxa"/>
            <w:shd w:val="clear" w:color="auto" w:fill="auto"/>
          </w:tcPr>
          <w:p w:rsidR="00E67271" w:rsidRPr="003B0C2B" w:rsidRDefault="00E67271" w:rsidP="00DE3E67">
            <w:pPr>
              <w:jc w:val="both"/>
              <w:rPr>
                <w:rFonts w:ascii="Calibri" w:hAnsi="Calibri" w:cs="Calibri"/>
                <w:sz w:val="20"/>
              </w:rPr>
            </w:pPr>
            <w:r>
              <w:rPr>
                <w:rFonts w:ascii="Calibri" w:hAnsi="Calibri" w:cs="Calibri"/>
                <w:sz w:val="20"/>
              </w:rPr>
              <w:t>0.5</w:t>
            </w:r>
          </w:p>
        </w:tc>
      </w:tr>
    </w:tbl>
    <w:p w:rsidR="00E67271" w:rsidRPr="003B0C2B" w:rsidRDefault="00E67271" w:rsidP="00E67271">
      <w:pPr>
        <w:jc w:val="both"/>
        <w:rPr>
          <w:rFonts w:ascii="Calibri" w:hAnsi="Calibri" w:cs="Calibri"/>
          <w:sz w:val="20"/>
        </w:rPr>
      </w:pPr>
    </w:p>
    <w:p w:rsidR="00E67271" w:rsidRPr="003B0C2B" w:rsidRDefault="00E67271" w:rsidP="00E67271">
      <w:pPr>
        <w:jc w:val="both"/>
        <w:rPr>
          <w:rFonts w:ascii="Calibri" w:hAnsi="Calibri" w:cs="Calibri"/>
          <w:sz w:val="20"/>
        </w:rPr>
      </w:pPr>
    </w:p>
    <w:p w:rsidR="00E67271" w:rsidRPr="006A7D20" w:rsidRDefault="00E67271" w:rsidP="00E67271">
      <w:pPr>
        <w:jc w:val="both"/>
        <w:rPr>
          <w:rFonts w:ascii="Calibri" w:hAnsi="Calibri" w:cs="Calibri"/>
          <w:sz w:val="20"/>
        </w:rPr>
      </w:pPr>
      <w:r w:rsidRPr="006A7D20">
        <w:rPr>
          <w:rFonts w:ascii="Calibri" w:hAnsi="Calibri" w:cs="Calibri"/>
          <w:sz w:val="20"/>
        </w:rPr>
        <w:t>Odpady budú počas výstavby skladované v kontajneroch na pozemku stavebníka a priebežne odvážané na najbližšiu skládku oprávnenú skladovať stavebný odpad. Stavebný odpad bude separovaný podľa jeho vlastností a jednotlivo vyvážaný na určené skládky. Výkopová zemina sa bude skladovať na stavenisku a po skončení výstavby sa použije na úpravu terénu. Časť odpadu bude zhodnotená (napr. tehlová a keramická drť do násypov), jej zvyšná časť bude odvezená na skládku odpadov.</w:t>
      </w:r>
    </w:p>
    <w:p w:rsidR="00E67271" w:rsidRPr="003B0C2B" w:rsidRDefault="00E67271" w:rsidP="00E67271">
      <w:pPr>
        <w:jc w:val="both"/>
        <w:rPr>
          <w:rFonts w:ascii="Calibri" w:hAnsi="Calibri" w:cs="Calibri"/>
          <w:sz w:val="20"/>
        </w:rPr>
      </w:pPr>
    </w:p>
    <w:p w:rsidR="00E67271" w:rsidRDefault="00E67271" w:rsidP="00E67271">
      <w:pPr>
        <w:jc w:val="both"/>
        <w:rPr>
          <w:rFonts w:ascii="Calibri" w:hAnsi="Calibri" w:cs="Calibri"/>
          <w:sz w:val="20"/>
        </w:rPr>
      </w:pPr>
    </w:p>
    <w:p w:rsidR="00E67271" w:rsidRPr="003B0C2B" w:rsidRDefault="00E67271" w:rsidP="00E67271">
      <w:pPr>
        <w:jc w:val="both"/>
        <w:rPr>
          <w:rFonts w:ascii="Calibri" w:hAnsi="Calibri" w:cs="Calibri"/>
          <w:sz w:val="20"/>
        </w:rPr>
      </w:pPr>
      <w:r w:rsidRPr="003B0C2B">
        <w:rPr>
          <w:rFonts w:ascii="Calibri" w:hAnsi="Calibri" w:cs="Calibri"/>
          <w:sz w:val="20"/>
        </w:rPr>
        <w:lastRenderedPageBreak/>
        <w:t>Počas stavebnej činnosti bude vybraný dodávateľ stavby a jeho subdodávatelia v plnom rozsahu rešpektovať :</w:t>
      </w:r>
    </w:p>
    <w:p w:rsidR="00E67271" w:rsidRPr="003B0C2B" w:rsidRDefault="00E67271" w:rsidP="00E67271">
      <w:pPr>
        <w:jc w:val="both"/>
        <w:rPr>
          <w:rFonts w:ascii="Calibri" w:hAnsi="Calibri" w:cs="Calibri"/>
          <w:sz w:val="20"/>
        </w:rPr>
      </w:pPr>
      <w:r w:rsidRPr="003B0C2B">
        <w:rPr>
          <w:rFonts w:ascii="Calibri" w:hAnsi="Calibri" w:cs="Calibri"/>
          <w:sz w:val="20"/>
        </w:rPr>
        <w:t>Vyhlášku č.283/2001 Z.z. a č.284/2001 Z.z. O odpadoch</w:t>
      </w:r>
    </w:p>
    <w:p w:rsidR="00E67271" w:rsidRPr="003B0C2B" w:rsidRDefault="00E67271" w:rsidP="00E67271">
      <w:pPr>
        <w:jc w:val="both"/>
        <w:rPr>
          <w:rFonts w:ascii="Calibri" w:hAnsi="Calibri" w:cs="Calibri"/>
          <w:sz w:val="20"/>
        </w:rPr>
      </w:pPr>
      <w:r w:rsidRPr="003B0C2B">
        <w:rPr>
          <w:rFonts w:ascii="Calibri" w:hAnsi="Calibri" w:cs="Calibri"/>
          <w:sz w:val="20"/>
        </w:rPr>
        <w:t>Zákon NR SR č. 223/2001 Z.z. O odpadoch a o zmene a doplnení niektorých zákonov, v znení Zákona č.553/2001 Z.z. a Zákona NR SR č. 96/2002 Z.z.</w:t>
      </w:r>
    </w:p>
    <w:p w:rsidR="00E67271" w:rsidRPr="003B0C2B" w:rsidRDefault="00E67271" w:rsidP="00E67271">
      <w:pPr>
        <w:jc w:val="both"/>
        <w:rPr>
          <w:rFonts w:ascii="Calibri" w:hAnsi="Calibri" w:cs="Calibri"/>
          <w:sz w:val="20"/>
        </w:rPr>
      </w:pPr>
      <w:r w:rsidRPr="003B0C2B">
        <w:rPr>
          <w:rFonts w:ascii="Calibri" w:hAnsi="Calibri" w:cs="Calibri"/>
          <w:sz w:val="20"/>
        </w:rPr>
        <w:t>Zákon č.494/91 Zb. O štátnej správe v odpadovom hospodárstve</w:t>
      </w:r>
    </w:p>
    <w:p w:rsidR="00E67271" w:rsidRPr="003B0C2B" w:rsidRDefault="00E67271" w:rsidP="00E67271">
      <w:pPr>
        <w:jc w:val="both"/>
        <w:rPr>
          <w:rFonts w:ascii="Calibri" w:hAnsi="Calibri" w:cs="Calibri"/>
          <w:sz w:val="20"/>
        </w:rPr>
      </w:pPr>
      <w:r w:rsidRPr="003B0C2B">
        <w:rPr>
          <w:rFonts w:ascii="Calibri" w:hAnsi="Calibri" w:cs="Calibri"/>
          <w:sz w:val="20"/>
        </w:rPr>
        <w:t>Nariadenie vlády č. 606/92 Zb. O nakladaní s odpadmi</w:t>
      </w:r>
    </w:p>
    <w:p w:rsidR="00E67271" w:rsidRPr="003B0C2B" w:rsidRDefault="00E67271" w:rsidP="00E67271">
      <w:pPr>
        <w:jc w:val="both"/>
        <w:rPr>
          <w:rFonts w:ascii="Calibri" w:hAnsi="Calibri" w:cs="Calibri"/>
          <w:sz w:val="20"/>
        </w:rPr>
      </w:pPr>
      <w:r w:rsidRPr="003B0C2B">
        <w:rPr>
          <w:rFonts w:ascii="Calibri" w:hAnsi="Calibri" w:cs="Calibri"/>
          <w:sz w:val="20"/>
        </w:rPr>
        <w:t>Zákon č.309/91 Zb. O ochrane ovzdušia pred znečisťujúcimi látkami, v znení Zákona č. 218/92 Zb., ktorým sa dopĺňa Zákon č.134/92 Zb. a  Zákon č.148/94 Zb., ktorým sa menia a dopĺňajú predošlé zákony</w:t>
      </w:r>
    </w:p>
    <w:p w:rsidR="00E67271" w:rsidRPr="003B0C2B" w:rsidRDefault="00E67271" w:rsidP="00E67271">
      <w:pPr>
        <w:jc w:val="both"/>
        <w:rPr>
          <w:rFonts w:ascii="Calibri" w:hAnsi="Calibri" w:cs="Calibri"/>
          <w:sz w:val="20"/>
        </w:rPr>
      </w:pPr>
      <w:r w:rsidRPr="003B0C2B">
        <w:rPr>
          <w:rFonts w:ascii="Calibri" w:hAnsi="Calibri" w:cs="Calibri"/>
          <w:sz w:val="20"/>
        </w:rPr>
        <w:t>Zákon č. 14/1977 Zb. O ochrane zdravia pred nebezpečnými účinkami  hluku a vibrácií</w:t>
      </w:r>
    </w:p>
    <w:p w:rsidR="00E67271" w:rsidRPr="003B0C2B" w:rsidRDefault="00E67271" w:rsidP="00E67271">
      <w:pPr>
        <w:jc w:val="both"/>
        <w:rPr>
          <w:rFonts w:ascii="Calibri" w:hAnsi="Calibri" w:cs="Calibri"/>
          <w:sz w:val="20"/>
        </w:rPr>
      </w:pPr>
      <w:r w:rsidRPr="003B0C2B">
        <w:rPr>
          <w:rFonts w:ascii="Calibri" w:hAnsi="Calibri" w:cs="Calibri"/>
          <w:sz w:val="20"/>
        </w:rPr>
        <w:t>Zákon č. 31/95 Zb. O ochrane ovzdušia pred znečisťujúcimi látkami</w:t>
      </w:r>
    </w:p>
    <w:p w:rsidR="00E67271" w:rsidRPr="003B0C2B" w:rsidRDefault="00E67271" w:rsidP="00E67271">
      <w:pPr>
        <w:jc w:val="both"/>
        <w:rPr>
          <w:rFonts w:ascii="Calibri" w:hAnsi="Calibri" w:cs="Calibri"/>
          <w:sz w:val="20"/>
        </w:rPr>
      </w:pPr>
      <w:r w:rsidRPr="003B0C2B">
        <w:rPr>
          <w:rFonts w:ascii="Calibri" w:hAnsi="Calibri" w:cs="Calibri"/>
          <w:sz w:val="20"/>
        </w:rPr>
        <w:t>Zákon č. 32/95 Zb., ktorým sa vyhlasuje úplné znenie Zákona č.  134/92 Zb.</w:t>
      </w:r>
    </w:p>
    <w:p w:rsidR="00E67271" w:rsidRPr="003B0C2B" w:rsidRDefault="00E67271" w:rsidP="00E67271">
      <w:pPr>
        <w:jc w:val="both"/>
        <w:rPr>
          <w:rFonts w:ascii="Calibri" w:hAnsi="Calibri" w:cs="Calibri"/>
          <w:sz w:val="20"/>
        </w:rPr>
      </w:pPr>
      <w:r w:rsidRPr="003B0C2B">
        <w:rPr>
          <w:rFonts w:ascii="Calibri" w:hAnsi="Calibri" w:cs="Calibri"/>
          <w:sz w:val="20"/>
        </w:rPr>
        <w:t>Poznámka.</w:t>
      </w:r>
    </w:p>
    <w:p w:rsidR="00E67271" w:rsidRPr="003B0C2B" w:rsidRDefault="00E67271" w:rsidP="00E67271">
      <w:pPr>
        <w:jc w:val="both"/>
        <w:rPr>
          <w:rFonts w:ascii="Calibri" w:hAnsi="Calibri" w:cs="Calibri"/>
          <w:sz w:val="20"/>
        </w:rPr>
      </w:pPr>
      <w:r w:rsidRPr="003B0C2B">
        <w:rPr>
          <w:rFonts w:ascii="Calibri" w:hAnsi="Calibri" w:cs="Calibri"/>
          <w:sz w:val="20"/>
        </w:rPr>
        <w:t xml:space="preserve">Po ukončení výstavby, vybraný dodávateľ, v spolupráci s investorom stavby, predloží na oddelenie príslušného orgánu štátnej správy, ku každému kolaudačnému konaniu, evidenciu odpadov zo stavieb ( potvrdenie o prevzatí odpadov ) a doklady o ich zneškodnení, zmluvu na odvoz a zneškodňovanie komunálneho odpadu. Počas nakladania s odpadmi bude dodávateľ stavby rešpektovať i podmienky obsiahnuté v Zákone č. 223/2001 Z.z. O odpadoch, Zákone č. 238/1991 Zb. O odpadoch a o zmene a doplnení niektorých zákonov a s ním súvisiace predpisy ( Nariadenie vlády č. 606/1992 Zb., v znení NV SR č. 190/1996 Z.z.) </w:t>
      </w:r>
    </w:p>
    <w:p w:rsidR="00E67271" w:rsidRPr="003B0C2B" w:rsidRDefault="00E67271" w:rsidP="00E67271">
      <w:pPr>
        <w:jc w:val="both"/>
        <w:rPr>
          <w:rFonts w:ascii="Calibri" w:hAnsi="Calibri" w:cs="Calibri"/>
          <w:sz w:val="20"/>
        </w:rPr>
      </w:pPr>
    </w:p>
    <w:p w:rsidR="00E67271" w:rsidRPr="003B0C2B" w:rsidRDefault="00E67271" w:rsidP="00E67271">
      <w:pPr>
        <w:jc w:val="both"/>
        <w:rPr>
          <w:rFonts w:ascii="Calibri" w:hAnsi="Calibri" w:cs="Calibri"/>
          <w:b/>
          <w:sz w:val="20"/>
        </w:rPr>
      </w:pPr>
      <w:r w:rsidRPr="003B0C2B">
        <w:rPr>
          <w:rFonts w:ascii="Calibri" w:hAnsi="Calibri" w:cs="Calibri"/>
          <w:b/>
          <w:sz w:val="20"/>
        </w:rPr>
        <w:t>4.  Predpokladané lehoty výstavby</w:t>
      </w:r>
    </w:p>
    <w:p w:rsidR="00E67271" w:rsidRPr="003B0C2B" w:rsidRDefault="00E67271" w:rsidP="00E67271">
      <w:pPr>
        <w:jc w:val="both"/>
        <w:rPr>
          <w:rFonts w:ascii="Calibri" w:hAnsi="Calibri" w:cs="Calibri"/>
          <w:sz w:val="20"/>
        </w:rPr>
      </w:pPr>
      <w:r w:rsidRPr="003B0C2B">
        <w:rPr>
          <w:rFonts w:ascii="Calibri" w:hAnsi="Calibri" w:cs="Calibri"/>
          <w:sz w:val="20"/>
        </w:rPr>
        <w:t>Zahájenie výstavby:    0</w:t>
      </w:r>
      <w:r w:rsidR="00CA6E4A">
        <w:rPr>
          <w:rFonts w:ascii="Calibri" w:hAnsi="Calibri" w:cs="Calibri"/>
          <w:sz w:val="20"/>
        </w:rPr>
        <w:t>6</w:t>
      </w:r>
      <w:r w:rsidRPr="003B0C2B">
        <w:rPr>
          <w:rFonts w:ascii="Calibri" w:hAnsi="Calibri" w:cs="Calibri"/>
          <w:sz w:val="20"/>
        </w:rPr>
        <w:t xml:space="preserve"> / 20</w:t>
      </w:r>
      <w:r>
        <w:rPr>
          <w:rFonts w:ascii="Calibri" w:hAnsi="Calibri" w:cs="Calibri"/>
          <w:sz w:val="20"/>
        </w:rPr>
        <w:t>20</w:t>
      </w:r>
    </w:p>
    <w:p w:rsidR="00E67271" w:rsidRPr="003B0C2B" w:rsidRDefault="00E67271" w:rsidP="00E67271">
      <w:pPr>
        <w:jc w:val="both"/>
        <w:rPr>
          <w:rFonts w:ascii="Calibri" w:hAnsi="Calibri" w:cs="Calibri"/>
          <w:sz w:val="20"/>
        </w:rPr>
      </w:pPr>
      <w:r w:rsidRPr="003B0C2B">
        <w:rPr>
          <w:rFonts w:ascii="Calibri" w:hAnsi="Calibri" w:cs="Calibri"/>
          <w:sz w:val="20"/>
        </w:rPr>
        <w:t>Ukončenie výstavby:  0</w:t>
      </w:r>
      <w:r w:rsidR="00CA6E4A">
        <w:rPr>
          <w:rFonts w:ascii="Calibri" w:hAnsi="Calibri" w:cs="Calibri"/>
          <w:sz w:val="20"/>
        </w:rPr>
        <w:t>6</w:t>
      </w:r>
      <w:r w:rsidRPr="003B0C2B">
        <w:rPr>
          <w:rFonts w:ascii="Calibri" w:hAnsi="Calibri" w:cs="Calibri"/>
          <w:sz w:val="20"/>
        </w:rPr>
        <w:t xml:space="preserve"> / 202</w:t>
      </w:r>
      <w:r>
        <w:rPr>
          <w:rFonts w:ascii="Calibri" w:hAnsi="Calibri" w:cs="Calibri"/>
          <w:sz w:val="20"/>
        </w:rPr>
        <w:t>2</w:t>
      </w:r>
    </w:p>
    <w:p w:rsidR="00E67271" w:rsidRPr="003B0C2B" w:rsidRDefault="00E67271" w:rsidP="00E67271">
      <w:pPr>
        <w:jc w:val="both"/>
        <w:rPr>
          <w:rFonts w:ascii="Calibri" w:hAnsi="Calibri" w:cs="Calibri"/>
          <w:sz w:val="20"/>
        </w:rPr>
      </w:pPr>
      <w:r w:rsidRPr="003B0C2B">
        <w:rPr>
          <w:rFonts w:ascii="Calibri" w:hAnsi="Calibri" w:cs="Calibri"/>
          <w:sz w:val="20"/>
        </w:rPr>
        <w:t xml:space="preserve">Predpokladaná lehota výstavby je 24 mesiacov.  </w:t>
      </w:r>
    </w:p>
    <w:p w:rsidR="00E67271" w:rsidRPr="003B0C2B" w:rsidRDefault="00E67271" w:rsidP="00E67271">
      <w:pPr>
        <w:jc w:val="both"/>
        <w:rPr>
          <w:rFonts w:ascii="Calibri" w:hAnsi="Calibri" w:cs="Calibri"/>
          <w:sz w:val="20"/>
        </w:rPr>
      </w:pPr>
    </w:p>
    <w:p w:rsidR="00E67271" w:rsidRPr="003B0C2B" w:rsidRDefault="00E67271" w:rsidP="00E67271">
      <w:pPr>
        <w:jc w:val="both"/>
        <w:rPr>
          <w:rFonts w:ascii="Calibri" w:hAnsi="Calibri" w:cs="Calibri"/>
          <w:b/>
          <w:sz w:val="20"/>
        </w:rPr>
      </w:pPr>
      <w:r w:rsidRPr="003B0C2B">
        <w:rPr>
          <w:rFonts w:ascii="Calibri" w:hAnsi="Calibri" w:cs="Calibri"/>
          <w:b/>
          <w:sz w:val="20"/>
        </w:rPr>
        <w:t>5.  Časový postup výstavby</w:t>
      </w:r>
    </w:p>
    <w:p w:rsidR="00E67271" w:rsidRPr="003B0C2B" w:rsidRDefault="00E67271" w:rsidP="00E67271">
      <w:pPr>
        <w:jc w:val="both"/>
        <w:rPr>
          <w:rFonts w:ascii="Calibri" w:hAnsi="Calibri" w:cs="Calibri"/>
          <w:sz w:val="20"/>
        </w:rPr>
      </w:pPr>
      <w:r w:rsidRPr="003B0C2B">
        <w:rPr>
          <w:rFonts w:ascii="Calibri" w:hAnsi="Calibri" w:cs="Calibri"/>
          <w:sz w:val="20"/>
        </w:rPr>
        <w:t>Stavba bude zahájená realizáciou prípravy územia staveniska a  označením stavby. Následne budú vybudované sociálne zariadenia, šatne a prípojky .</w:t>
      </w:r>
    </w:p>
    <w:p w:rsidR="00E67271" w:rsidRPr="003B0C2B" w:rsidRDefault="00E67271" w:rsidP="00E67271">
      <w:pPr>
        <w:jc w:val="both"/>
        <w:rPr>
          <w:rFonts w:ascii="Calibri" w:hAnsi="Calibri" w:cs="Calibri"/>
          <w:sz w:val="20"/>
        </w:rPr>
      </w:pPr>
      <w:r w:rsidRPr="003B0C2B">
        <w:rPr>
          <w:rFonts w:ascii="Calibri" w:hAnsi="Calibri" w:cs="Calibri"/>
          <w:sz w:val="20"/>
        </w:rPr>
        <w:t>Podrobný postup výstavby bude vypracovaný v ďalšom stupni projektovej dokumentácie v závislosti na výsledkoch stavebného konania v sú</w:t>
      </w:r>
      <w:r>
        <w:rPr>
          <w:rFonts w:ascii="Calibri" w:hAnsi="Calibri" w:cs="Calibri"/>
          <w:sz w:val="20"/>
        </w:rPr>
        <w:t>vislosti</w:t>
      </w:r>
      <w:r w:rsidRPr="003B0C2B">
        <w:rPr>
          <w:rFonts w:ascii="Calibri" w:hAnsi="Calibri" w:cs="Calibri"/>
          <w:sz w:val="20"/>
        </w:rPr>
        <w:t xml:space="preserve"> s do úvahy prichádzajúcim dodávateľom stavby.</w:t>
      </w:r>
    </w:p>
    <w:p w:rsidR="00E67271" w:rsidRPr="003B0C2B" w:rsidRDefault="00E67271" w:rsidP="00E67271">
      <w:pPr>
        <w:jc w:val="both"/>
        <w:rPr>
          <w:rFonts w:ascii="Calibri" w:hAnsi="Calibri" w:cs="Calibri"/>
          <w:sz w:val="20"/>
        </w:rPr>
      </w:pPr>
    </w:p>
    <w:p w:rsidR="00E67271" w:rsidRPr="003B0C2B" w:rsidRDefault="00E67271" w:rsidP="00E67271">
      <w:pPr>
        <w:jc w:val="both"/>
        <w:rPr>
          <w:rFonts w:ascii="Calibri" w:hAnsi="Calibri" w:cs="Calibri"/>
          <w:b/>
          <w:sz w:val="20"/>
        </w:rPr>
      </w:pPr>
      <w:r w:rsidRPr="003B0C2B">
        <w:rPr>
          <w:rFonts w:ascii="Calibri" w:hAnsi="Calibri" w:cs="Calibri"/>
          <w:b/>
          <w:sz w:val="20"/>
        </w:rPr>
        <w:t>6.  Odvoz stavebnej sute</w:t>
      </w:r>
    </w:p>
    <w:p w:rsidR="00E67271" w:rsidRPr="003B0C2B" w:rsidRDefault="00E67271" w:rsidP="00E67271">
      <w:pPr>
        <w:jc w:val="both"/>
        <w:rPr>
          <w:rFonts w:ascii="Calibri" w:hAnsi="Calibri" w:cs="Calibri"/>
          <w:sz w:val="20"/>
        </w:rPr>
      </w:pPr>
      <w:r w:rsidRPr="003B0C2B">
        <w:rPr>
          <w:rFonts w:ascii="Calibri" w:hAnsi="Calibri" w:cs="Calibri"/>
          <w:sz w:val="20"/>
        </w:rPr>
        <w:t xml:space="preserve">Stavebná suť bude vyvezená na skládku. </w:t>
      </w: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bookmarkStart w:id="314" w:name="_GoBack"/>
      <w:bookmarkEnd w:id="314"/>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E67271" w:rsidRDefault="00E67271" w:rsidP="0009245A">
      <w:pPr>
        <w:jc w:val="both"/>
        <w:rPr>
          <w:rFonts w:ascii="Calibri" w:hAnsi="Calibri" w:cs="Calibri"/>
          <w:sz w:val="20"/>
        </w:rPr>
      </w:pPr>
    </w:p>
    <w:p w:rsidR="00F06135" w:rsidRPr="003B0C2B" w:rsidRDefault="005A2AD3" w:rsidP="0009245A">
      <w:pPr>
        <w:jc w:val="both"/>
        <w:rPr>
          <w:rFonts w:ascii="Calibri" w:hAnsi="Calibri" w:cs="Calibri"/>
          <w:sz w:val="20"/>
        </w:rPr>
      </w:pPr>
      <w:r w:rsidRPr="003B0C2B">
        <w:rPr>
          <w:rFonts w:ascii="Calibri" w:hAnsi="Calibri" w:cs="Calibri"/>
          <w:sz w:val="20"/>
        </w:rPr>
        <w:t xml:space="preserve">v  Bratislave dňa, </w:t>
      </w:r>
      <w:r w:rsidR="00CA6E4A">
        <w:rPr>
          <w:rFonts w:ascii="Calibri" w:hAnsi="Calibri" w:cs="Calibri"/>
          <w:sz w:val="20"/>
        </w:rPr>
        <w:t>2</w:t>
      </w:r>
      <w:r w:rsidR="00211BA8">
        <w:rPr>
          <w:rFonts w:ascii="Calibri" w:hAnsi="Calibri" w:cs="Calibri"/>
          <w:sz w:val="20"/>
        </w:rPr>
        <w:t>1</w:t>
      </w:r>
      <w:r w:rsidRPr="003B0C2B">
        <w:rPr>
          <w:rFonts w:ascii="Calibri" w:hAnsi="Calibri" w:cs="Calibri"/>
          <w:sz w:val="20"/>
        </w:rPr>
        <w:t>.</w:t>
      </w:r>
      <w:r w:rsidR="004E14D1" w:rsidRPr="003B0C2B">
        <w:rPr>
          <w:rFonts w:ascii="Calibri" w:hAnsi="Calibri" w:cs="Calibri"/>
          <w:sz w:val="20"/>
        </w:rPr>
        <w:t xml:space="preserve"> </w:t>
      </w:r>
      <w:r w:rsidR="00211BA8">
        <w:rPr>
          <w:rFonts w:ascii="Calibri" w:hAnsi="Calibri" w:cs="Calibri"/>
          <w:sz w:val="20"/>
        </w:rPr>
        <w:t>Marca</w:t>
      </w:r>
      <w:r w:rsidRPr="003B0C2B">
        <w:rPr>
          <w:rFonts w:ascii="Calibri" w:hAnsi="Calibri" w:cs="Calibri"/>
          <w:sz w:val="20"/>
        </w:rPr>
        <w:t xml:space="preserve"> 20</w:t>
      </w:r>
      <w:r w:rsidR="00CA6E4A">
        <w:rPr>
          <w:rFonts w:ascii="Calibri" w:hAnsi="Calibri" w:cs="Calibri"/>
          <w:sz w:val="20"/>
        </w:rPr>
        <w:t>20</w:t>
      </w:r>
      <w:r w:rsidR="00907874">
        <w:rPr>
          <w:rFonts w:ascii="Calibri" w:hAnsi="Calibri" w:cs="Calibri"/>
          <w:sz w:val="20"/>
        </w:rPr>
        <w:tab/>
      </w:r>
      <w:r w:rsidR="00907874">
        <w:rPr>
          <w:rFonts w:ascii="Calibri" w:hAnsi="Calibri" w:cs="Calibri"/>
          <w:sz w:val="20"/>
        </w:rPr>
        <w:tab/>
        <w:t xml:space="preserve">    </w:t>
      </w:r>
      <w:r w:rsidRPr="003B0C2B">
        <w:rPr>
          <w:rFonts w:ascii="Calibri" w:hAnsi="Calibri" w:cs="Calibri"/>
          <w:sz w:val="20"/>
        </w:rPr>
        <w:tab/>
      </w:r>
      <w:r w:rsidR="004E14D1" w:rsidRPr="003B0C2B">
        <w:rPr>
          <w:rFonts w:ascii="Calibri" w:hAnsi="Calibri" w:cs="Calibri"/>
          <w:sz w:val="20"/>
        </w:rPr>
        <w:t xml:space="preserve">                      </w:t>
      </w:r>
      <w:r w:rsidR="009C75DF" w:rsidRPr="003B0C2B">
        <w:rPr>
          <w:rFonts w:ascii="Calibri" w:hAnsi="Calibri" w:cs="Calibri"/>
          <w:sz w:val="20"/>
        </w:rPr>
        <w:t xml:space="preserve">                          </w:t>
      </w:r>
      <w:r w:rsidR="004E14D1" w:rsidRPr="003B0C2B">
        <w:rPr>
          <w:rFonts w:ascii="Calibri" w:hAnsi="Calibri" w:cs="Calibri"/>
          <w:sz w:val="20"/>
        </w:rPr>
        <w:t xml:space="preserve"> </w:t>
      </w:r>
      <w:r w:rsidRPr="003B0C2B">
        <w:rPr>
          <w:rFonts w:ascii="Calibri" w:hAnsi="Calibri" w:cs="Calibri"/>
          <w:sz w:val="20"/>
        </w:rPr>
        <w:t xml:space="preserve">Ing. </w:t>
      </w:r>
      <w:r w:rsidR="00CA6E4A">
        <w:rPr>
          <w:rFonts w:ascii="Calibri" w:hAnsi="Calibri" w:cs="Calibri"/>
          <w:sz w:val="20"/>
        </w:rPr>
        <w:t>Ján Majerník</w:t>
      </w:r>
    </w:p>
    <w:sectPr w:rsidR="00F06135" w:rsidRPr="003B0C2B">
      <w:footerReference w:type="default" r:id="rId3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A3673" w:rsidRDefault="00BA3673">
      <w:r>
        <w:separator/>
      </w:r>
    </w:p>
  </w:endnote>
  <w:endnote w:type="continuationSeparator" w:id="0">
    <w:p w:rsidR="00BA3673" w:rsidRDefault="00BA36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tarSymbol">
    <w:altName w:val="Arial Unicode MS"/>
    <w:charset w:val="8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ISOCPEUR">
    <w:panose1 w:val="020B0604020202020204"/>
    <w:charset w:val="EE"/>
    <w:family w:val="swiss"/>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0F65" w:rsidRDefault="00A30F65" w:rsidP="005A2AD3">
    <w:pPr>
      <w:pStyle w:val="Pta"/>
      <w:rPr>
        <w:rStyle w:val="slostrany"/>
      </w:rPr>
    </w:pPr>
    <w:r>
      <w:rPr>
        <w:rStyle w:val="slostrany"/>
      </w:rPr>
      <w:fldChar w:fldCharType="begin"/>
    </w:r>
    <w:r>
      <w:rPr>
        <w:rStyle w:val="slostrany"/>
      </w:rPr>
      <w:instrText xml:space="preserve">PAGE  </w:instrText>
    </w:r>
    <w:r>
      <w:rPr>
        <w:rStyle w:val="slostrany"/>
      </w:rPr>
      <w:fldChar w:fldCharType="end"/>
    </w:r>
  </w:p>
  <w:p w:rsidR="00A30F65" w:rsidRDefault="00A30F65" w:rsidP="005A2AD3">
    <w:pPr>
      <w:pStyle w:val="Pt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89929649"/>
      <w:docPartObj>
        <w:docPartGallery w:val="Page Numbers (Bottom of Page)"/>
        <w:docPartUnique/>
      </w:docPartObj>
    </w:sdtPr>
    <w:sdtEndPr>
      <w:rPr>
        <w:rFonts w:asciiTheme="majorHAnsi" w:hAnsiTheme="majorHAnsi" w:cstheme="majorHAnsi"/>
      </w:rPr>
    </w:sdtEndPr>
    <w:sdtContent>
      <w:p w:rsidR="00A30F65" w:rsidRPr="00E60305" w:rsidRDefault="00A30F65">
        <w:pPr>
          <w:pStyle w:val="Pta"/>
          <w:jc w:val="right"/>
          <w:rPr>
            <w:rFonts w:asciiTheme="majorHAnsi" w:hAnsiTheme="majorHAnsi" w:cstheme="majorHAnsi"/>
          </w:rPr>
        </w:pPr>
        <w:r w:rsidRPr="00E60305">
          <w:rPr>
            <w:rFonts w:asciiTheme="majorHAnsi" w:hAnsiTheme="majorHAnsi" w:cstheme="majorHAnsi"/>
          </w:rPr>
          <w:fldChar w:fldCharType="begin"/>
        </w:r>
        <w:r w:rsidRPr="00E60305">
          <w:rPr>
            <w:rFonts w:asciiTheme="majorHAnsi" w:hAnsiTheme="majorHAnsi" w:cstheme="majorHAnsi"/>
          </w:rPr>
          <w:instrText>PAGE   \* MERGEFORMAT</w:instrText>
        </w:r>
        <w:r w:rsidRPr="00E60305">
          <w:rPr>
            <w:rFonts w:asciiTheme="majorHAnsi" w:hAnsiTheme="majorHAnsi" w:cstheme="majorHAnsi"/>
          </w:rPr>
          <w:fldChar w:fldCharType="separate"/>
        </w:r>
        <w:r w:rsidRPr="00E60305">
          <w:rPr>
            <w:rFonts w:asciiTheme="majorHAnsi" w:hAnsiTheme="majorHAnsi" w:cstheme="majorHAnsi"/>
          </w:rPr>
          <w:t>2</w:t>
        </w:r>
        <w:r w:rsidRPr="00E60305">
          <w:rPr>
            <w:rFonts w:asciiTheme="majorHAnsi" w:hAnsiTheme="majorHAnsi" w:cstheme="majorHAnsi"/>
          </w:rPr>
          <w:fldChar w:fldCharType="end"/>
        </w:r>
      </w:p>
    </w:sdtContent>
  </w:sdt>
  <w:p w:rsidR="00A30F65" w:rsidRDefault="00A30F6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A3673" w:rsidRDefault="00BA3673">
      <w:r>
        <w:separator/>
      </w:r>
    </w:p>
  </w:footnote>
  <w:footnote w:type="continuationSeparator" w:id="0">
    <w:p w:rsidR="00BA3673" w:rsidRDefault="00BA367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C0A615F4"/>
    <w:lvl w:ilvl="0">
      <w:start w:val="1"/>
      <w:numFmt w:val="bullet"/>
      <w:pStyle w:val="Zoznamsodrkami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F048BE08"/>
    <w:lvl w:ilvl="0">
      <w:start w:val="1"/>
      <w:numFmt w:val="bullet"/>
      <w:pStyle w:val="Zoznamsodrkami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4565106"/>
    <w:lvl w:ilvl="0">
      <w:start w:val="1"/>
      <w:numFmt w:val="bullet"/>
      <w:pStyle w:val="Zoznamsodrkami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0FE2983C"/>
    <w:lvl w:ilvl="0">
      <w:start w:val="1"/>
      <w:numFmt w:val="bullet"/>
      <w:pStyle w:val="Zoznamsodrkami2"/>
      <w:lvlText w:val=""/>
      <w:lvlJc w:val="left"/>
      <w:pPr>
        <w:tabs>
          <w:tab w:val="num" w:pos="643"/>
        </w:tabs>
        <w:ind w:left="643" w:hanging="360"/>
      </w:pPr>
      <w:rPr>
        <w:rFonts w:ascii="Symbol" w:hAnsi="Symbol" w:hint="default"/>
      </w:rPr>
    </w:lvl>
  </w:abstractNum>
  <w:abstractNum w:abstractNumId="4" w15:restartNumberingAfterBreak="0">
    <w:nsid w:val="FFFFFFFB"/>
    <w:multiLevelType w:val="multilevel"/>
    <w:tmpl w:val="2EDE6ABA"/>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5" w15:restartNumberingAfterBreak="0">
    <w:nsid w:val="FFFFFFFE"/>
    <w:multiLevelType w:val="singleLevel"/>
    <w:tmpl w:val="12FE0924"/>
    <w:lvl w:ilvl="0">
      <w:numFmt w:val="decimal"/>
      <w:lvlText w:val="*"/>
      <w:lvlJc w:val="left"/>
    </w:lvl>
  </w:abstractNum>
  <w:abstractNum w:abstractNumId="6"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00000002"/>
    <w:multiLevelType w:val="singleLevel"/>
    <w:tmpl w:val="00000002"/>
    <w:name w:val="WW8Num2"/>
    <w:lvl w:ilvl="0">
      <w:start w:val="10"/>
      <w:numFmt w:val="bullet"/>
      <w:lvlText w:val="-"/>
      <w:lvlJc w:val="left"/>
      <w:pPr>
        <w:tabs>
          <w:tab w:val="num" w:pos="1142"/>
        </w:tabs>
        <w:ind w:left="1142" w:hanging="360"/>
      </w:pPr>
      <w:rPr>
        <w:rFonts w:ascii="Arial" w:hAnsi="Arial" w:cs="Arial"/>
      </w:rPr>
    </w:lvl>
  </w:abstractNum>
  <w:abstractNum w:abstractNumId="8" w15:restartNumberingAfterBreak="0">
    <w:nsid w:val="00000003"/>
    <w:multiLevelType w:val="multilevel"/>
    <w:tmpl w:val="00000003"/>
    <w:name w:val="WW8Num3"/>
    <w:lvl w:ilvl="0">
      <w:start w:val="1"/>
      <w:numFmt w:val="none"/>
      <w:suff w:val="nothing"/>
      <w:lvlText w:val=""/>
      <w:lvlJc w:val="left"/>
      <w:pPr>
        <w:tabs>
          <w:tab w:val="num" w:pos="6804"/>
        </w:tabs>
        <w:ind w:left="2160" w:firstLine="0"/>
      </w:pPr>
    </w:lvl>
    <w:lvl w:ilvl="1">
      <w:start w:val="1"/>
      <w:numFmt w:val="none"/>
      <w:suff w:val="nothing"/>
      <w:lvlText w:val=""/>
      <w:lvlJc w:val="left"/>
      <w:pPr>
        <w:tabs>
          <w:tab w:val="num" w:pos="6804"/>
        </w:tabs>
        <w:ind w:left="2160" w:firstLine="0"/>
      </w:pPr>
    </w:lvl>
    <w:lvl w:ilvl="2">
      <w:start w:val="1"/>
      <w:numFmt w:val="none"/>
      <w:suff w:val="nothing"/>
      <w:lvlText w:val=""/>
      <w:lvlJc w:val="left"/>
      <w:pPr>
        <w:tabs>
          <w:tab w:val="num" w:pos="6804"/>
        </w:tabs>
        <w:ind w:left="2160" w:firstLine="0"/>
      </w:pPr>
    </w:lvl>
    <w:lvl w:ilvl="3">
      <w:start w:val="1"/>
      <w:numFmt w:val="none"/>
      <w:suff w:val="nothing"/>
      <w:lvlText w:val=""/>
      <w:lvlJc w:val="left"/>
      <w:pPr>
        <w:tabs>
          <w:tab w:val="num" w:pos="6804"/>
        </w:tabs>
        <w:ind w:left="2160" w:firstLine="0"/>
      </w:pPr>
    </w:lvl>
    <w:lvl w:ilvl="4">
      <w:start w:val="1"/>
      <w:numFmt w:val="none"/>
      <w:suff w:val="nothing"/>
      <w:lvlText w:val=""/>
      <w:lvlJc w:val="left"/>
      <w:pPr>
        <w:tabs>
          <w:tab w:val="num" w:pos="6804"/>
        </w:tabs>
        <w:ind w:left="2160" w:firstLine="0"/>
      </w:pPr>
    </w:lvl>
    <w:lvl w:ilvl="5">
      <w:start w:val="1"/>
      <w:numFmt w:val="none"/>
      <w:suff w:val="nothing"/>
      <w:lvlText w:val=""/>
      <w:lvlJc w:val="left"/>
      <w:pPr>
        <w:tabs>
          <w:tab w:val="num" w:pos="6804"/>
        </w:tabs>
        <w:ind w:left="2160" w:firstLine="0"/>
      </w:pPr>
    </w:lvl>
    <w:lvl w:ilvl="6">
      <w:start w:val="1"/>
      <w:numFmt w:val="none"/>
      <w:suff w:val="nothing"/>
      <w:lvlText w:val=""/>
      <w:lvlJc w:val="left"/>
      <w:pPr>
        <w:tabs>
          <w:tab w:val="num" w:pos="6804"/>
        </w:tabs>
        <w:ind w:left="2160" w:firstLine="0"/>
      </w:pPr>
    </w:lvl>
    <w:lvl w:ilvl="7">
      <w:start w:val="1"/>
      <w:numFmt w:val="none"/>
      <w:suff w:val="nothing"/>
      <w:lvlText w:val=""/>
      <w:lvlJc w:val="left"/>
      <w:pPr>
        <w:tabs>
          <w:tab w:val="num" w:pos="6804"/>
        </w:tabs>
        <w:ind w:left="2160" w:firstLine="0"/>
      </w:pPr>
    </w:lvl>
    <w:lvl w:ilvl="8">
      <w:start w:val="1"/>
      <w:numFmt w:val="none"/>
      <w:suff w:val="nothing"/>
      <w:lvlText w:val=""/>
      <w:lvlJc w:val="left"/>
      <w:pPr>
        <w:tabs>
          <w:tab w:val="num" w:pos="6804"/>
        </w:tabs>
        <w:ind w:left="2160" w:firstLine="0"/>
      </w:pPr>
    </w:lvl>
  </w:abstractNum>
  <w:abstractNum w:abstractNumId="9" w15:restartNumberingAfterBreak="0">
    <w:nsid w:val="00000004"/>
    <w:multiLevelType w:val="multilevel"/>
    <w:tmpl w:val="00000004"/>
    <w:name w:val="WW8Num4"/>
    <w:lvl w:ilvl="0">
      <w:start w:val="1"/>
      <w:numFmt w:val="bullet"/>
      <w:pStyle w:val="Seznamsodrkami"/>
      <w:suff w:val="nothing"/>
      <w:lvlText w:val=""/>
      <w:lvlJc w:val="left"/>
      <w:pPr>
        <w:tabs>
          <w:tab w:val="num" w:pos="0"/>
        </w:tabs>
        <w:ind w:left="0" w:firstLine="0"/>
      </w:pPr>
      <w:rPr>
        <w:rFonts w:ascii="Symbol" w:hAnsi="Symbol"/>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10" w15:restartNumberingAfterBreak="0">
    <w:nsid w:val="00000005"/>
    <w:multiLevelType w:val="singleLevel"/>
    <w:tmpl w:val="00000005"/>
    <w:name w:val="WW8Num5"/>
    <w:lvl w:ilvl="0">
      <w:start w:val="8"/>
      <w:numFmt w:val="bullet"/>
      <w:lvlText w:val="-"/>
      <w:lvlJc w:val="left"/>
      <w:pPr>
        <w:tabs>
          <w:tab w:val="num" w:pos="1080"/>
        </w:tabs>
        <w:ind w:left="1080" w:hanging="360"/>
      </w:pPr>
      <w:rPr>
        <w:rFonts w:ascii="StarSymbol" w:hAnsi="StarSymbol"/>
      </w:rPr>
    </w:lvl>
  </w:abstractNum>
  <w:abstractNum w:abstractNumId="11" w15:restartNumberingAfterBreak="0">
    <w:nsid w:val="02F4750E"/>
    <w:multiLevelType w:val="hybridMultilevel"/>
    <w:tmpl w:val="E4705160"/>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037A210F"/>
    <w:multiLevelType w:val="hybridMultilevel"/>
    <w:tmpl w:val="DDCEE832"/>
    <w:lvl w:ilvl="0" w:tplc="0405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B95E23"/>
    <w:multiLevelType w:val="hybridMultilevel"/>
    <w:tmpl w:val="639845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09292DBB"/>
    <w:multiLevelType w:val="singleLevel"/>
    <w:tmpl w:val="04050017"/>
    <w:lvl w:ilvl="0">
      <w:start w:val="1"/>
      <w:numFmt w:val="lowerLetter"/>
      <w:lvlText w:val="%1)"/>
      <w:lvlJc w:val="left"/>
      <w:pPr>
        <w:tabs>
          <w:tab w:val="num" w:pos="360"/>
        </w:tabs>
        <w:ind w:left="360" w:hanging="360"/>
      </w:pPr>
      <w:rPr>
        <w:rFonts w:hint="default"/>
      </w:rPr>
    </w:lvl>
  </w:abstractNum>
  <w:abstractNum w:abstractNumId="15" w15:restartNumberingAfterBreak="0">
    <w:nsid w:val="09861602"/>
    <w:multiLevelType w:val="singleLevel"/>
    <w:tmpl w:val="F5EE309E"/>
    <w:lvl w:ilvl="0">
      <w:start w:val="1"/>
      <w:numFmt w:val="lowerLetter"/>
      <w:lvlText w:val="%1)"/>
      <w:lvlJc w:val="left"/>
      <w:pPr>
        <w:tabs>
          <w:tab w:val="num" w:pos="1065"/>
        </w:tabs>
        <w:ind w:left="1065" w:hanging="360"/>
      </w:pPr>
      <w:rPr>
        <w:rFonts w:hint="default"/>
      </w:rPr>
    </w:lvl>
  </w:abstractNum>
  <w:abstractNum w:abstractNumId="16" w15:restartNumberingAfterBreak="0">
    <w:nsid w:val="09873E27"/>
    <w:multiLevelType w:val="hybridMultilevel"/>
    <w:tmpl w:val="7036511C"/>
    <w:lvl w:ilvl="0" w:tplc="F1B41CDC">
      <w:start w:val="1"/>
      <w:numFmt w:val="decimal"/>
      <w:lvlText w:val="%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17" w15:restartNumberingAfterBreak="0">
    <w:nsid w:val="09AD50BD"/>
    <w:multiLevelType w:val="hybridMultilevel"/>
    <w:tmpl w:val="D584C560"/>
    <w:lvl w:ilvl="0" w:tplc="6AEC5246">
      <w:start w:val="1"/>
      <w:numFmt w:val="decimal"/>
      <w:lvlText w:val="%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18" w15:restartNumberingAfterBreak="0">
    <w:nsid w:val="0DEC47B0"/>
    <w:multiLevelType w:val="singleLevel"/>
    <w:tmpl w:val="E7F08C62"/>
    <w:lvl w:ilvl="0">
      <w:start w:val="1"/>
      <w:numFmt w:val="lowerLetter"/>
      <w:lvlText w:val="%1)"/>
      <w:lvlJc w:val="left"/>
      <w:pPr>
        <w:tabs>
          <w:tab w:val="num" w:pos="1065"/>
        </w:tabs>
        <w:ind w:left="1065" w:hanging="360"/>
      </w:pPr>
      <w:rPr>
        <w:rFonts w:hint="default"/>
      </w:rPr>
    </w:lvl>
  </w:abstractNum>
  <w:abstractNum w:abstractNumId="19" w15:restartNumberingAfterBreak="0">
    <w:nsid w:val="0F1124FB"/>
    <w:multiLevelType w:val="hybridMultilevel"/>
    <w:tmpl w:val="F90ABC82"/>
    <w:lvl w:ilvl="0" w:tplc="D3E6BD08">
      <w:start w:val="1"/>
      <w:numFmt w:val="bullet"/>
      <w:lvlText w:val=""/>
      <w:lvlJc w:val="left"/>
      <w:pPr>
        <w:tabs>
          <w:tab w:val="num" w:pos="360"/>
        </w:tabs>
        <w:ind w:left="36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F380E83"/>
    <w:multiLevelType w:val="hybridMultilevel"/>
    <w:tmpl w:val="8842C0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12865C42"/>
    <w:multiLevelType w:val="hybridMultilevel"/>
    <w:tmpl w:val="B158F62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136B2B04"/>
    <w:multiLevelType w:val="hybridMultilevel"/>
    <w:tmpl w:val="780C022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50B799E"/>
    <w:multiLevelType w:val="hybridMultilevel"/>
    <w:tmpl w:val="EAC65858"/>
    <w:lvl w:ilvl="0" w:tplc="AB6E1C74">
      <w:start w:val="1"/>
      <w:numFmt w:val="bullet"/>
      <w:lvlText w:val="-"/>
      <w:lvlJc w:val="left"/>
      <w:pPr>
        <w:ind w:left="1080" w:hanging="360"/>
      </w:pPr>
      <w:rPr>
        <w:rFonts w:ascii="Arial" w:eastAsia="Times New Roman" w:hAnsi="Arial" w:cs="Aria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24" w15:restartNumberingAfterBreak="0">
    <w:nsid w:val="170D7E6B"/>
    <w:multiLevelType w:val="hybridMultilevel"/>
    <w:tmpl w:val="698466A0"/>
    <w:lvl w:ilvl="0" w:tplc="041B0001">
      <w:start w:val="1"/>
      <w:numFmt w:val="bullet"/>
      <w:lvlText w:val=""/>
      <w:lvlJc w:val="left"/>
      <w:pPr>
        <w:ind w:left="1429" w:hanging="360"/>
      </w:pPr>
      <w:rPr>
        <w:rFonts w:ascii="Symbol" w:hAnsi="Symbol" w:hint="default"/>
      </w:rPr>
    </w:lvl>
    <w:lvl w:ilvl="1" w:tplc="041B0003" w:tentative="1">
      <w:start w:val="1"/>
      <w:numFmt w:val="bullet"/>
      <w:lvlText w:val="o"/>
      <w:lvlJc w:val="left"/>
      <w:pPr>
        <w:ind w:left="2149" w:hanging="360"/>
      </w:pPr>
      <w:rPr>
        <w:rFonts w:ascii="Courier New" w:hAnsi="Courier New" w:cs="Courier New" w:hint="default"/>
      </w:rPr>
    </w:lvl>
    <w:lvl w:ilvl="2" w:tplc="041B0005" w:tentative="1">
      <w:start w:val="1"/>
      <w:numFmt w:val="bullet"/>
      <w:lvlText w:val=""/>
      <w:lvlJc w:val="left"/>
      <w:pPr>
        <w:ind w:left="2869" w:hanging="360"/>
      </w:pPr>
      <w:rPr>
        <w:rFonts w:ascii="Wingdings" w:hAnsi="Wingdings" w:hint="default"/>
      </w:rPr>
    </w:lvl>
    <w:lvl w:ilvl="3" w:tplc="041B0001" w:tentative="1">
      <w:start w:val="1"/>
      <w:numFmt w:val="bullet"/>
      <w:lvlText w:val=""/>
      <w:lvlJc w:val="left"/>
      <w:pPr>
        <w:ind w:left="3589" w:hanging="360"/>
      </w:pPr>
      <w:rPr>
        <w:rFonts w:ascii="Symbol" w:hAnsi="Symbol" w:hint="default"/>
      </w:rPr>
    </w:lvl>
    <w:lvl w:ilvl="4" w:tplc="041B0003" w:tentative="1">
      <w:start w:val="1"/>
      <w:numFmt w:val="bullet"/>
      <w:lvlText w:val="o"/>
      <w:lvlJc w:val="left"/>
      <w:pPr>
        <w:ind w:left="4309" w:hanging="360"/>
      </w:pPr>
      <w:rPr>
        <w:rFonts w:ascii="Courier New" w:hAnsi="Courier New" w:cs="Courier New" w:hint="default"/>
      </w:rPr>
    </w:lvl>
    <w:lvl w:ilvl="5" w:tplc="041B0005" w:tentative="1">
      <w:start w:val="1"/>
      <w:numFmt w:val="bullet"/>
      <w:lvlText w:val=""/>
      <w:lvlJc w:val="left"/>
      <w:pPr>
        <w:ind w:left="5029" w:hanging="360"/>
      </w:pPr>
      <w:rPr>
        <w:rFonts w:ascii="Wingdings" w:hAnsi="Wingdings" w:hint="default"/>
      </w:rPr>
    </w:lvl>
    <w:lvl w:ilvl="6" w:tplc="041B0001" w:tentative="1">
      <w:start w:val="1"/>
      <w:numFmt w:val="bullet"/>
      <w:lvlText w:val=""/>
      <w:lvlJc w:val="left"/>
      <w:pPr>
        <w:ind w:left="5749" w:hanging="360"/>
      </w:pPr>
      <w:rPr>
        <w:rFonts w:ascii="Symbol" w:hAnsi="Symbol" w:hint="default"/>
      </w:rPr>
    </w:lvl>
    <w:lvl w:ilvl="7" w:tplc="041B0003" w:tentative="1">
      <w:start w:val="1"/>
      <w:numFmt w:val="bullet"/>
      <w:lvlText w:val="o"/>
      <w:lvlJc w:val="left"/>
      <w:pPr>
        <w:ind w:left="6469" w:hanging="360"/>
      </w:pPr>
      <w:rPr>
        <w:rFonts w:ascii="Courier New" w:hAnsi="Courier New" w:cs="Courier New" w:hint="default"/>
      </w:rPr>
    </w:lvl>
    <w:lvl w:ilvl="8" w:tplc="041B0005" w:tentative="1">
      <w:start w:val="1"/>
      <w:numFmt w:val="bullet"/>
      <w:lvlText w:val=""/>
      <w:lvlJc w:val="left"/>
      <w:pPr>
        <w:ind w:left="7189" w:hanging="360"/>
      </w:pPr>
      <w:rPr>
        <w:rFonts w:ascii="Wingdings" w:hAnsi="Wingdings" w:hint="default"/>
      </w:rPr>
    </w:lvl>
  </w:abstractNum>
  <w:abstractNum w:abstractNumId="25" w15:restartNumberingAfterBreak="0">
    <w:nsid w:val="1D950999"/>
    <w:multiLevelType w:val="hybridMultilevel"/>
    <w:tmpl w:val="D24A0CE4"/>
    <w:lvl w:ilvl="0" w:tplc="041B0005">
      <w:start w:val="1"/>
      <w:numFmt w:val="bullet"/>
      <w:lvlText w:val=""/>
      <w:lvlJc w:val="left"/>
      <w:pPr>
        <w:ind w:left="3195"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219C11F8"/>
    <w:multiLevelType w:val="hybridMultilevel"/>
    <w:tmpl w:val="F89878EA"/>
    <w:lvl w:ilvl="0" w:tplc="041B0005">
      <w:start w:val="1"/>
      <w:numFmt w:val="bullet"/>
      <w:lvlText w:val=""/>
      <w:lvlJc w:val="left"/>
      <w:pPr>
        <w:ind w:left="1068" w:hanging="360"/>
      </w:pPr>
      <w:rPr>
        <w:rFonts w:ascii="Wingdings" w:hAnsi="Wingdings"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27" w15:restartNumberingAfterBreak="0">
    <w:nsid w:val="241C71C2"/>
    <w:multiLevelType w:val="multilevel"/>
    <w:tmpl w:val="A3A80C38"/>
    <w:lvl w:ilvl="0">
      <w:start w:val="1"/>
      <w:numFmt w:val="decimal"/>
      <w:lvlText w:val="%1"/>
      <w:lvlJc w:val="left"/>
      <w:pPr>
        <w:ind w:left="502" w:hanging="360"/>
      </w:pPr>
      <w:rPr>
        <w:rFonts w:hint="default"/>
        <w:sz w:val="20"/>
        <w:szCs w:val="20"/>
      </w:rPr>
    </w:lvl>
    <w:lvl w:ilvl="1">
      <w:start w:val="1"/>
      <w:numFmt w:val="decimal"/>
      <w:lvlText w:val="%1.%2."/>
      <w:lvlJc w:val="left"/>
      <w:pPr>
        <w:ind w:left="716" w:hanging="432"/>
      </w:pPr>
      <w:rPr>
        <w:sz w:val="32"/>
      </w:rPr>
    </w:lvl>
    <w:lvl w:ilvl="2">
      <w:start w:val="1"/>
      <w:numFmt w:val="decimal"/>
      <w:lvlText w:val="%3."/>
      <w:lvlJc w:val="left"/>
      <w:pPr>
        <w:ind w:left="1366" w:hanging="504"/>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lvlText w:val="%1.%2.%3.%4."/>
      <w:lvlJc w:val="left"/>
      <w:pPr>
        <w:ind w:left="1870" w:hanging="648"/>
      </w:pPr>
      <w:rPr>
        <w:sz w:val="24"/>
      </w:r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28" w15:restartNumberingAfterBreak="0">
    <w:nsid w:val="248948B9"/>
    <w:multiLevelType w:val="hybridMultilevel"/>
    <w:tmpl w:val="AE64DF8C"/>
    <w:lvl w:ilvl="0" w:tplc="7A06B42C">
      <w:numFmt w:val="bullet"/>
      <w:pStyle w:val="normlny11"/>
      <w:lvlText w:val="-"/>
      <w:lvlJc w:val="left"/>
      <w:pPr>
        <w:tabs>
          <w:tab w:val="num" w:pos="397"/>
        </w:tabs>
        <w:ind w:left="397" w:hanging="397"/>
      </w:pPr>
      <w:rPr>
        <w:rFonts w:ascii="Times New Roman" w:eastAsia="Times New Roman" w:hAnsi="Times New Roman" w:cs="Times New Roman" w:hint="default"/>
      </w:rPr>
    </w:lvl>
    <w:lvl w:ilvl="1" w:tplc="FFFFFFFF">
      <w:numFmt w:val="bullet"/>
      <w:lvlText w:val="-"/>
      <w:lvlJc w:val="left"/>
      <w:pPr>
        <w:tabs>
          <w:tab w:val="num" w:pos="1740"/>
        </w:tabs>
        <w:ind w:left="1740" w:hanging="360"/>
      </w:pPr>
      <w:rPr>
        <w:rFonts w:ascii="Times New Roman" w:eastAsia="Times New Roman" w:hAnsi="Times New Roman" w:cs="Times New Roman" w:hint="default"/>
      </w:rPr>
    </w:lvl>
    <w:lvl w:ilvl="2" w:tplc="041B0005" w:tentative="1">
      <w:start w:val="1"/>
      <w:numFmt w:val="bullet"/>
      <w:lvlText w:val=""/>
      <w:lvlJc w:val="left"/>
      <w:pPr>
        <w:tabs>
          <w:tab w:val="num" w:pos="2460"/>
        </w:tabs>
        <w:ind w:left="2460" w:hanging="360"/>
      </w:pPr>
      <w:rPr>
        <w:rFonts w:ascii="Wingdings" w:hAnsi="Wingdings" w:hint="default"/>
      </w:rPr>
    </w:lvl>
    <w:lvl w:ilvl="3" w:tplc="041B0001" w:tentative="1">
      <w:start w:val="1"/>
      <w:numFmt w:val="bullet"/>
      <w:lvlText w:val=""/>
      <w:lvlJc w:val="left"/>
      <w:pPr>
        <w:tabs>
          <w:tab w:val="num" w:pos="3180"/>
        </w:tabs>
        <w:ind w:left="3180" w:hanging="360"/>
      </w:pPr>
      <w:rPr>
        <w:rFonts w:ascii="Symbol" w:hAnsi="Symbol" w:hint="default"/>
      </w:rPr>
    </w:lvl>
    <w:lvl w:ilvl="4" w:tplc="041B0003" w:tentative="1">
      <w:start w:val="1"/>
      <w:numFmt w:val="bullet"/>
      <w:lvlText w:val="o"/>
      <w:lvlJc w:val="left"/>
      <w:pPr>
        <w:tabs>
          <w:tab w:val="num" w:pos="3900"/>
        </w:tabs>
        <w:ind w:left="3900" w:hanging="360"/>
      </w:pPr>
      <w:rPr>
        <w:rFonts w:ascii="Courier New" w:hAnsi="Courier New" w:hint="default"/>
      </w:rPr>
    </w:lvl>
    <w:lvl w:ilvl="5" w:tplc="041B0005" w:tentative="1">
      <w:start w:val="1"/>
      <w:numFmt w:val="bullet"/>
      <w:lvlText w:val=""/>
      <w:lvlJc w:val="left"/>
      <w:pPr>
        <w:tabs>
          <w:tab w:val="num" w:pos="4620"/>
        </w:tabs>
        <w:ind w:left="4620" w:hanging="360"/>
      </w:pPr>
      <w:rPr>
        <w:rFonts w:ascii="Wingdings" w:hAnsi="Wingdings" w:hint="default"/>
      </w:rPr>
    </w:lvl>
    <w:lvl w:ilvl="6" w:tplc="041B0001" w:tentative="1">
      <w:start w:val="1"/>
      <w:numFmt w:val="bullet"/>
      <w:lvlText w:val=""/>
      <w:lvlJc w:val="left"/>
      <w:pPr>
        <w:tabs>
          <w:tab w:val="num" w:pos="5340"/>
        </w:tabs>
        <w:ind w:left="5340" w:hanging="360"/>
      </w:pPr>
      <w:rPr>
        <w:rFonts w:ascii="Symbol" w:hAnsi="Symbol" w:hint="default"/>
      </w:rPr>
    </w:lvl>
    <w:lvl w:ilvl="7" w:tplc="041B0003" w:tentative="1">
      <w:start w:val="1"/>
      <w:numFmt w:val="bullet"/>
      <w:lvlText w:val="o"/>
      <w:lvlJc w:val="left"/>
      <w:pPr>
        <w:tabs>
          <w:tab w:val="num" w:pos="6060"/>
        </w:tabs>
        <w:ind w:left="6060" w:hanging="360"/>
      </w:pPr>
      <w:rPr>
        <w:rFonts w:ascii="Courier New" w:hAnsi="Courier New" w:hint="default"/>
      </w:rPr>
    </w:lvl>
    <w:lvl w:ilvl="8" w:tplc="041B0005" w:tentative="1">
      <w:start w:val="1"/>
      <w:numFmt w:val="bullet"/>
      <w:lvlText w:val=""/>
      <w:lvlJc w:val="left"/>
      <w:pPr>
        <w:tabs>
          <w:tab w:val="num" w:pos="6780"/>
        </w:tabs>
        <w:ind w:left="6780" w:hanging="360"/>
      </w:pPr>
      <w:rPr>
        <w:rFonts w:ascii="Wingdings" w:hAnsi="Wingdings" w:hint="default"/>
      </w:rPr>
    </w:lvl>
  </w:abstractNum>
  <w:abstractNum w:abstractNumId="29" w15:restartNumberingAfterBreak="0">
    <w:nsid w:val="25637A6D"/>
    <w:multiLevelType w:val="hybridMultilevel"/>
    <w:tmpl w:val="D708FCC6"/>
    <w:lvl w:ilvl="0" w:tplc="76A40316">
      <w:start w:val="1"/>
      <w:numFmt w:val="decimal"/>
      <w:lvlText w:val="%1."/>
      <w:lvlJc w:val="left"/>
      <w:pPr>
        <w:ind w:left="960" w:hanging="360"/>
      </w:pPr>
      <w:rPr>
        <w:rFonts w:hint="default"/>
      </w:rPr>
    </w:lvl>
    <w:lvl w:ilvl="1" w:tplc="041B0019" w:tentative="1">
      <w:start w:val="1"/>
      <w:numFmt w:val="lowerLetter"/>
      <w:lvlText w:val="%2."/>
      <w:lvlJc w:val="left"/>
      <w:pPr>
        <w:ind w:left="1680" w:hanging="360"/>
      </w:pPr>
    </w:lvl>
    <w:lvl w:ilvl="2" w:tplc="041B001B" w:tentative="1">
      <w:start w:val="1"/>
      <w:numFmt w:val="lowerRoman"/>
      <w:lvlText w:val="%3."/>
      <w:lvlJc w:val="right"/>
      <w:pPr>
        <w:ind w:left="2400" w:hanging="180"/>
      </w:pPr>
    </w:lvl>
    <w:lvl w:ilvl="3" w:tplc="041B000F" w:tentative="1">
      <w:start w:val="1"/>
      <w:numFmt w:val="decimal"/>
      <w:lvlText w:val="%4."/>
      <w:lvlJc w:val="left"/>
      <w:pPr>
        <w:ind w:left="3120" w:hanging="360"/>
      </w:pPr>
    </w:lvl>
    <w:lvl w:ilvl="4" w:tplc="041B0019" w:tentative="1">
      <w:start w:val="1"/>
      <w:numFmt w:val="lowerLetter"/>
      <w:lvlText w:val="%5."/>
      <w:lvlJc w:val="left"/>
      <w:pPr>
        <w:ind w:left="3840" w:hanging="360"/>
      </w:pPr>
    </w:lvl>
    <w:lvl w:ilvl="5" w:tplc="041B001B" w:tentative="1">
      <w:start w:val="1"/>
      <w:numFmt w:val="lowerRoman"/>
      <w:lvlText w:val="%6."/>
      <w:lvlJc w:val="right"/>
      <w:pPr>
        <w:ind w:left="4560" w:hanging="180"/>
      </w:pPr>
    </w:lvl>
    <w:lvl w:ilvl="6" w:tplc="041B000F" w:tentative="1">
      <w:start w:val="1"/>
      <w:numFmt w:val="decimal"/>
      <w:lvlText w:val="%7."/>
      <w:lvlJc w:val="left"/>
      <w:pPr>
        <w:ind w:left="5280" w:hanging="360"/>
      </w:pPr>
    </w:lvl>
    <w:lvl w:ilvl="7" w:tplc="041B0019" w:tentative="1">
      <w:start w:val="1"/>
      <w:numFmt w:val="lowerLetter"/>
      <w:lvlText w:val="%8."/>
      <w:lvlJc w:val="left"/>
      <w:pPr>
        <w:ind w:left="6000" w:hanging="360"/>
      </w:pPr>
    </w:lvl>
    <w:lvl w:ilvl="8" w:tplc="041B001B" w:tentative="1">
      <w:start w:val="1"/>
      <w:numFmt w:val="lowerRoman"/>
      <w:lvlText w:val="%9."/>
      <w:lvlJc w:val="right"/>
      <w:pPr>
        <w:ind w:left="6720" w:hanging="180"/>
      </w:pPr>
    </w:lvl>
  </w:abstractNum>
  <w:abstractNum w:abstractNumId="30" w15:restartNumberingAfterBreak="0">
    <w:nsid w:val="27646FDE"/>
    <w:multiLevelType w:val="hybridMultilevel"/>
    <w:tmpl w:val="484C12F6"/>
    <w:lvl w:ilvl="0" w:tplc="5C06F018">
      <w:start w:val="5"/>
      <w:numFmt w:val="bullet"/>
      <w:lvlText w:val="-"/>
      <w:lvlJc w:val="left"/>
      <w:pPr>
        <w:ind w:left="927" w:hanging="360"/>
      </w:pPr>
      <w:rPr>
        <w:rFonts w:ascii="Arial" w:eastAsia="Times New Roman" w:hAnsi="Arial" w:cs="Arial" w:hint="default"/>
      </w:rPr>
    </w:lvl>
    <w:lvl w:ilvl="1" w:tplc="041B0003" w:tentative="1">
      <w:start w:val="1"/>
      <w:numFmt w:val="bullet"/>
      <w:lvlText w:val="o"/>
      <w:lvlJc w:val="left"/>
      <w:pPr>
        <w:ind w:left="1647" w:hanging="360"/>
      </w:pPr>
      <w:rPr>
        <w:rFonts w:ascii="Courier New" w:hAnsi="Courier New" w:cs="Courier New" w:hint="default"/>
      </w:rPr>
    </w:lvl>
    <w:lvl w:ilvl="2" w:tplc="041B0005" w:tentative="1">
      <w:start w:val="1"/>
      <w:numFmt w:val="bullet"/>
      <w:lvlText w:val=""/>
      <w:lvlJc w:val="left"/>
      <w:pPr>
        <w:ind w:left="2367" w:hanging="360"/>
      </w:pPr>
      <w:rPr>
        <w:rFonts w:ascii="Wingdings" w:hAnsi="Wingdings" w:hint="default"/>
      </w:rPr>
    </w:lvl>
    <w:lvl w:ilvl="3" w:tplc="041B0001" w:tentative="1">
      <w:start w:val="1"/>
      <w:numFmt w:val="bullet"/>
      <w:lvlText w:val=""/>
      <w:lvlJc w:val="left"/>
      <w:pPr>
        <w:ind w:left="3087" w:hanging="360"/>
      </w:pPr>
      <w:rPr>
        <w:rFonts w:ascii="Symbol" w:hAnsi="Symbol" w:hint="default"/>
      </w:rPr>
    </w:lvl>
    <w:lvl w:ilvl="4" w:tplc="041B0003" w:tentative="1">
      <w:start w:val="1"/>
      <w:numFmt w:val="bullet"/>
      <w:lvlText w:val="o"/>
      <w:lvlJc w:val="left"/>
      <w:pPr>
        <w:ind w:left="3807" w:hanging="360"/>
      </w:pPr>
      <w:rPr>
        <w:rFonts w:ascii="Courier New" w:hAnsi="Courier New" w:cs="Courier New" w:hint="default"/>
      </w:rPr>
    </w:lvl>
    <w:lvl w:ilvl="5" w:tplc="041B0005" w:tentative="1">
      <w:start w:val="1"/>
      <w:numFmt w:val="bullet"/>
      <w:lvlText w:val=""/>
      <w:lvlJc w:val="left"/>
      <w:pPr>
        <w:ind w:left="4527" w:hanging="360"/>
      </w:pPr>
      <w:rPr>
        <w:rFonts w:ascii="Wingdings" w:hAnsi="Wingdings" w:hint="default"/>
      </w:rPr>
    </w:lvl>
    <w:lvl w:ilvl="6" w:tplc="041B0001" w:tentative="1">
      <w:start w:val="1"/>
      <w:numFmt w:val="bullet"/>
      <w:lvlText w:val=""/>
      <w:lvlJc w:val="left"/>
      <w:pPr>
        <w:ind w:left="5247" w:hanging="360"/>
      </w:pPr>
      <w:rPr>
        <w:rFonts w:ascii="Symbol" w:hAnsi="Symbol" w:hint="default"/>
      </w:rPr>
    </w:lvl>
    <w:lvl w:ilvl="7" w:tplc="041B0003" w:tentative="1">
      <w:start w:val="1"/>
      <w:numFmt w:val="bullet"/>
      <w:lvlText w:val="o"/>
      <w:lvlJc w:val="left"/>
      <w:pPr>
        <w:ind w:left="5967" w:hanging="360"/>
      </w:pPr>
      <w:rPr>
        <w:rFonts w:ascii="Courier New" w:hAnsi="Courier New" w:cs="Courier New" w:hint="default"/>
      </w:rPr>
    </w:lvl>
    <w:lvl w:ilvl="8" w:tplc="041B0005" w:tentative="1">
      <w:start w:val="1"/>
      <w:numFmt w:val="bullet"/>
      <w:lvlText w:val=""/>
      <w:lvlJc w:val="left"/>
      <w:pPr>
        <w:ind w:left="6687" w:hanging="360"/>
      </w:pPr>
      <w:rPr>
        <w:rFonts w:ascii="Wingdings" w:hAnsi="Wingdings" w:hint="default"/>
      </w:rPr>
    </w:lvl>
  </w:abstractNum>
  <w:abstractNum w:abstractNumId="31" w15:restartNumberingAfterBreak="0">
    <w:nsid w:val="281F7469"/>
    <w:multiLevelType w:val="hybridMultilevel"/>
    <w:tmpl w:val="481CF130"/>
    <w:lvl w:ilvl="0" w:tplc="5B18434E">
      <w:start w:val="1"/>
      <w:numFmt w:val="bullet"/>
      <w:lvlText w:val="-"/>
      <w:lvlJc w:val="left"/>
      <w:pPr>
        <w:ind w:left="1429" w:hanging="360"/>
      </w:pPr>
      <w:rPr>
        <w:rFonts w:hint="default"/>
      </w:rPr>
    </w:lvl>
    <w:lvl w:ilvl="1" w:tplc="041B0003">
      <w:start w:val="1"/>
      <w:numFmt w:val="bullet"/>
      <w:lvlText w:val="o"/>
      <w:lvlJc w:val="left"/>
      <w:pPr>
        <w:ind w:left="2149" w:hanging="360"/>
      </w:pPr>
      <w:rPr>
        <w:rFonts w:ascii="Courier New" w:hAnsi="Courier New" w:cs="Courier New" w:hint="default"/>
      </w:rPr>
    </w:lvl>
    <w:lvl w:ilvl="2" w:tplc="041B0005">
      <w:start w:val="1"/>
      <w:numFmt w:val="bullet"/>
      <w:lvlText w:val=""/>
      <w:lvlJc w:val="left"/>
      <w:pPr>
        <w:ind w:left="2869" w:hanging="360"/>
      </w:pPr>
      <w:rPr>
        <w:rFonts w:ascii="Wingdings" w:hAnsi="Wingdings" w:hint="default"/>
      </w:rPr>
    </w:lvl>
    <w:lvl w:ilvl="3" w:tplc="041B0001">
      <w:start w:val="1"/>
      <w:numFmt w:val="bullet"/>
      <w:lvlText w:val=""/>
      <w:lvlJc w:val="left"/>
      <w:pPr>
        <w:ind w:left="3589" w:hanging="360"/>
      </w:pPr>
      <w:rPr>
        <w:rFonts w:ascii="Symbol" w:hAnsi="Symbol" w:hint="default"/>
      </w:rPr>
    </w:lvl>
    <w:lvl w:ilvl="4" w:tplc="041B0003" w:tentative="1">
      <w:start w:val="1"/>
      <w:numFmt w:val="bullet"/>
      <w:lvlText w:val="o"/>
      <w:lvlJc w:val="left"/>
      <w:pPr>
        <w:ind w:left="4309" w:hanging="360"/>
      </w:pPr>
      <w:rPr>
        <w:rFonts w:ascii="Courier New" w:hAnsi="Courier New" w:cs="Courier New" w:hint="default"/>
      </w:rPr>
    </w:lvl>
    <w:lvl w:ilvl="5" w:tplc="041B0005" w:tentative="1">
      <w:start w:val="1"/>
      <w:numFmt w:val="bullet"/>
      <w:lvlText w:val=""/>
      <w:lvlJc w:val="left"/>
      <w:pPr>
        <w:ind w:left="5029" w:hanging="360"/>
      </w:pPr>
      <w:rPr>
        <w:rFonts w:ascii="Wingdings" w:hAnsi="Wingdings" w:hint="default"/>
      </w:rPr>
    </w:lvl>
    <w:lvl w:ilvl="6" w:tplc="041B0001" w:tentative="1">
      <w:start w:val="1"/>
      <w:numFmt w:val="bullet"/>
      <w:lvlText w:val=""/>
      <w:lvlJc w:val="left"/>
      <w:pPr>
        <w:ind w:left="5749" w:hanging="360"/>
      </w:pPr>
      <w:rPr>
        <w:rFonts w:ascii="Symbol" w:hAnsi="Symbol" w:hint="default"/>
      </w:rPr>
    </w:lvl>
    <w:lvl w:ilvl="7" w:tplc="041B0003" w:tentative="1">
      <w:start w:val="1"/>
      <w:numFmt w:val="bullet"/>
      <w:lvlText w:val="o"/>
      <w:lvlJc w:val="left"/>
      <w:pPr>
        <w:ind w:left="6469" w:hanging="360"/>
      </w:pPr>
      <w:rPr>
        <w:rFonts w:ascii="Courier New" w:hAnsi="Courier New" w:cs="Courier New" w:hint="default"/>
      </w:rPr>
    </w:lvl>
    <w:lvl w:ilvl="8" w:tplc="041B0005" w:tentative="1">
      <w:start w:val="1"/>
      <w:numFmt w:val="bullet"/>
      <w:lvlText w:val=""/>
      <w:lvlJc w:val="left"/>
      <w:pPr>
        <w:ind w:left="7189" w:hanging="360"/>
      </w:pPr>
      <w:rPr>
        <w:rFonts w:ascii="Wingdings" w:hAnsi="Wingdings" w:hint="default"/>
      </w:rPr>
    </w:lvl>
  </w:abstractNum>
  <w:abstractNum w:abstractNumId="32" w15:restartNumberingAfterBreak="0">
    <w:nsid w:val="298A51C8"/>
    <w:multiLevelType w:val="hybridMultilevel"/>
    <w:tmpl w:val="954C1FA8"/>
    <w:lvl w:ilvl="0" w:tplc="FA728122">
      <w:start w:val="1"/>
      <w:numFmt w:val="decimal"/>
      <w:lvlText w:val="%1."/>
      <w:lvlJc w:val="left"/>
      <w:pPr>
        <w:ind w:left="927" w:hanging="360"/>
      </w:pPr>
      <w:rPr>
        <w:rFonts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tentative="1">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33" w15:restartNumberingAfterBreak="0">
    <w:nsid w:val="2A286AD7"/>
    <w:multiLevelType w:val="hybridMultilevel"/>
    <w:tmpl w:val="F74CDC5C"/>
    <w:lvl w:ilvl="0" w:tplc="63D8F3CA">
      <w:start w:val="5"/>
      <w:numFmt w:val="bullet"/>
      <w:lvlText w:val="-"/>
      <w:lvlJc w:val="left"/>
      <w:pPr>
        <w:ind w:left="1428" w:hanging="360"/>
      </w:pPr>
      <w:rPr>
        <w:rFonts w:ascii="Times New Roman" w:eastAsia="Calibri" w:hAnsi="Times New Roman" w:cs="Times New Roman"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34" w15:restartNumberingAfterBreak="0">
    <w:nsid w:val="2BC55EF4"/>
    <w:multiLevelType w:val="hybridMultilevel"/>
    <w:tmpl w:val="1032C5E6"/>
    <w:lvl w:ilvl="0" w:tplc="63D8F3CA">
      <w:start w:val="5"/>
      <w:numFmt w:val="bullet"/>
      <w:lvlText w:val="-"/>
      <w:lvlJc w:val="left"/>
      <w:pPr>
        <w:ind w:left="720" w:hanging="360"/>
      </w:pPr>
      <w:rPr>
        <w:rFonts w:ascii="Times New Roman" w:eastAsia="Calibri" w:hAnsi="Times New Roman"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15:restartNumberingAfterBreak="0">
    <w:nsid w:val="2BC71A93"/>
    <w:multiLevelType w:val="multilevel"/>
    <w:tmpl w:val="EE90A856"/>
    <w:lvl w:ilvl="0">
      <w:start w:val="1"/>
      <w:numFmt w:val="decimal"/>
      <w:lvlText w:val="%1"/>
      <w:lvlJc w:val="left"/>
      <w:pPr>
        <w:ind w:left="504" w:hanging="50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2CEC25C4"/>
    <w:multiLevelType w:val="hybridMultilevel"/>
    <w:tmpl w:val="1A8CC5A2"/>
    <w:lvl w:ilvl="0" w:tplc="041B0001">
      <w:start w:val="1"/>
      <w:numFmt w:val="bullet"/>
      <w:lvlText w:val=""/>
      <w:lvlJc w:val="left"/>
      <w:pPr>
        <w:ind w:left="1429" w:hanging="360"/>
      </w:pPr>
      <w:rPr>
        <w:rFonts w:ascii="Symbol" w:hAnsi="Symbol" w:hint="default"/>
      </w:rPr>
    </w:lvl>
    <w:lvl w:ilvl="1" w:tplc="041B0003" w:tentative="1">
      <w:start w:val="1"/>
      <w:numFmt w:val="bullet"/>
      <w:lvlText w:val="o"/>
      <w:lvlJc w:val="left"/>
      <w:pPr>
        <w:ind w:left="2149" w:hanging="360"/>
      </w:pPr>
      <w:rPr>
        <w:rFonts w:ascii="Courier New" w:hAnsi="Courier New" w:cs="Courier New" w:hint="default"/>
      </w:rPr>
    </w:lvl>
    <w:lvl w:ilvl="2" w:tplc="041B0005" w:tentative="1">
      <w:start w:val="1"/>
      <w:numFmt w:val="bullet"/>
      <w:lvlText w:val=""/>
      <w:lvlJc w:val="left"/>
      <w:pPr>
        <w:ind w:left="2869" w:hanging="360"/>
      </w:pPr>
      <w:rPr>
        <w:rFonts w:ascii="Wingdings" w:hAnsi="Wingdings" w:hint="default"/>
      </w:rPr>
    </w:lvl>
    <w:lvl w:ilvl="3" w:tplc="041B0001" w:tentative="1">
      <w:start w:val="1"/>
      <w:numFmt w:val="bullet"/>
      <w:lvlText w:val=""/>
      <w:lvlJc w:val="left"/>
      <w:pPr>
        <w:ind w:left="3589" w:hanging="360"/>
      </w:pPr>
      <w:rPr>
        <w:rFonts w:ascii="Symbol" w:hAnsi="Symbol" w:hint="default"/>
      </w:rPr>
    </w:lvl>
    <w:lvl w:ilvl="4" w:tplc="041B0003" w:tentative="1">
      <w:start w:val="1"/>
      <w:numFmt w:val="bullet"/>
      <w:lvlText w:val="o"/>
      <w:lvlJc w:val="left"/>
      <w:pPr>
        <w:ind w:left="4309" w:hanging="360"/>
      </w:pPr>
      <w:rPr>
        <w:rFonts w:ascii="Courier New" w:hAnsi="Courier New" w:cs="Courier New" w:hint="default"/>
      </w:rPr>
    </w:lvl>
    <w:lvl w:ilvl="5" w:tplc="041B0005" w:tentative="1">
      <w:start w:val="1"/>
      <w:numFmt w:val="bullet"/>
      <w:lvlText w:val=""/>
      <w:lvlJc w:val="left"/>
      <w:pPr>
        <w:ind w:left="5029" w:hanging="360"/>
      </w:pPr>
      <w:rPr>
        <w:rFonts w:ascii="Wingdings" w:hAnsi="Wingdings" w:hint="default"/>
      </w:rPr>
    </w:lvl>
    <w:lvl w:ilvl="6" w:tplc="041B0001" w:tentative="1">
      <w:start w:val="1"/>
      <w:numFmt w:val="bullet"/>
      <w:lvlText w:val=""/>
      <w:lvlJc w:val="left"/>
      <w:pPr>
        <w:ind w:left="5749" w:hanging="360"/>
      </w:pPr>
      <w:rPr>
        <w:rFonts w:ascii="Symbol" w:hAnsi="Symbol" w:hint="default"/>
      </w:rPr>
    </w:lvl>
    <w:lvl w:ilvl="7" w:tplc="041B0003" w:tentative="1">
      <w:start w:val="1"/>
      <w:numFmt w:val="bullet"/>
      <w:lvlText w:val="o"/>
      <w:lvlJc w:val="left"/>
      <w:pPr>
        <w:ind w:left="6469" w:hanging="360"/>
      </w:pPr>
      <w:rPr>
        <w:rFonts w:ascii="Courier New" w:hAnsi="Courier New" w:cs="Courier New" w:hint="default"/>
      </w:rPr>
    </w:lvl>
    <w:lvl w:ilvl="8" w:tplc="041B0005" w:tentative="1">
      <w:start w:val="1"/>
      <w:numFmt w:val="bullet"/>
      <w:lvlText w:val=""/>
      <w:lvlJc w:val="left"/>
      <w:pPr>
        <w:ind w:left="7189" w:hanging="360"/>
      </w:pPr>
      <w:rPr>
        <w:rFonts w:ascii="Wingdings" w:hAnsi="Wingdings" w:hint="default"/>
      </w:rPr>
    </w:lvl>
  </w:abstractNum>
  <w:abstractNum w:abstractNumId="37" w15:restartNumberingAfterBreak="0">
    <w:nsid w:val="2D8D39E4"/>
    <w:multiLevelType w:val="hybridMultilevel"/>
    <w:tmpl w:val="00565FFC"/>
    <w:lvl w:ilvl="0" w:tplc="2E48E9C6">
      <w:start w:val="4"/>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15:restartNumberingAfterBreak="0">
    <w:nsid w:val="2DA852ED"/>
    <w:multiLevelType w:val="hybridMultilevel"/>
    <w:tmpl w:val="28E41FC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15:restartNumberingAfterBreak="0">
    <w:nsid w:val="2EBB7335"/>
    <w:multiLevelType w:val="hybridMultilevel"/>
    <w:tmpl w:val="A336C8E0"/>
    <w:lvl w:ilvl="0" w:tplc="85601832">
      <w:start w:val="1"/>
      <w:numFmt w:val="upperLetter"/>
      <w:lvlText w:val="%1."/>
      <w:lvlJc w:val="left"/>
      <w:pPr>
        <w:ind w:left="720" w:hanging="360"/>
      </w:pPr>
      <w:rPr>
        <w:b/>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40" w15:restartNumberingAfterBreak="0">
    <w:nsid w:val="32F06E21"/>
    <w:multiLevelType w:val="hybridMultilevel"/>
    <w:tmpl w:val="8108AF46"/>
    <w:lvl w:ilvl="0" w:tplc="0405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C5B213F"/>
    <w:multiLevelType w:val="hybridMultilevel"/>
    <w:tmpl w:val="5EDEF2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3E0A57C2"/>
    <w:multiLevelType w:val="hybridMultilevel"/>
    <w:tmpl w:val="D7927C70"/>
    <w:lvl w:ilvl="0" w:tplc="041B0001">
      <w:start w:val="1"/>
      <w:numFmt w:val="bullet"/>
      <w:lvlText w:val=""/>
      <w:lvlJc w:val="left"/>
      <w:pPr>
        <w:tabs>
          <w:tab w:val="num" w:pos="1429"/>
        </w:tabs>
        <w:ind w:left="1429" w:hanging="360"/>
      </w:pPr>
      <w:rPr>
        <w:rFonts w:ascii="Symbol" w:hAnsi="Symbol" w:hint="default"/>
      </w:rPr>
    </w:lvl>
    <w:lvl w:ilvl="1" w:tplc="041B0003">
      <w:start w:val="1"/>
      <w:numFmt w:val="bullet"/>
      <w:lvlText w:val="o"/>
      <w:lvlJc w:val="left"/>
      <w:pPr>
        <w:tabs>
          <w:tab w:val="num" w:pos="2149"/>
        </w:tabs>
        <w:ind w:left="2149" w:hanging="360"/>
      </w:pPr>
      <w:rPr>
        <w:rFonts w:ascii="Courier New" w:hAnsi="Courier New" w:cs="Courier New" w:hint="default"/>
      </w:rPr>
    </w:lvl>
    <w:lvl w:ilvl="2" w:tplc="041B0005" w:tentative="1">
      <w:start w:val="1"/>
      <w:numFmt w:val="bullet"/>
      <w:lvlText w:val=""/>
      <w:lvlJc w:val="left"/>
      <w:pPr>
        <w:tabs>
          <w:tab w:val="num" w:pos="2869"/>
        </w:tabs>
        <w:ind w:left="2869" w:hanging="360"/>
      </w:pPr>
      <w:rPr>
        <w:rFonts w:ascii="Wingdings" w:hAnsi="Wingdings" w:hint="default"/>
      </w:rPr>
    </w:lvl>
    <w:lvl w:ilvl="3" w:tplc="041B0001" w:tentative="1">
      <w:start w:val="1"/>
      <w:numFmt w:val="bullet"/>
      <w:lvlText w:val=""/>
      <w:lvlJc w:val="left"/>
      <w:pPr>
        <w:tabs>
          <w:tab w:val="num" w:pos="3589"/>
        </w:tabs>
        <w:ind w:left="3589" w:hanging="360"/>
      </w:pPr>
      <w:rPr>
        <w:rFonts w:ascii="Symbol" w:hAnsi="Symbol" w:hint="default"/>
      </w:rPr>
    </w:lvl>
    <w:lvl w:ilvl="4" w:tplc="041B0003" w:tentative="1">
      <w:start w:val="1"/>
      <w:numFmt w:val="bullet"/>
      <w:lvlText w:val="o"/>
      <w:lvlJc w:val="left"/>
      <w:pPr>
        <w:tabs>
          <w:tab w:val="num" w:pos="4309"/>
        </w:tabs>
        <w:ind w:left="4309" w:hanging="360"/>
      </w:pPr>
      <w:rPr>
        <w:rFonts w:ascii="Courier New" w:hAnsi="Courier New" w:cs="Courier New" w:hint="default"/>
      </w:rPr>
    </w:lvl>
    <w:lvl w:ilvl="5" w:tplc="041B0005" w:tentative="1">
      <w:start w:val="1"/>
      <w:numFmt w:val="bullet"/>
      <w:lvlText w:val=""/>
      <w:lvlJc w:val="left"/>
      <w:pPr>
        <w:tabs>
          <w:tab w:val="num" w:pos="5029"/>
        </w:tabs>
        <w:ind w:left="5029" w:hanging="360"/>
      </w:pPr>
      <w:rPr>
        <w:rFonts w:ascii="Wingdings" w:hAnsi="Wingdings" w:hint="default"/>
      </w:rPr>
    </w:lvl>
    <w:lvl w:ilvl="6" w:tplc="041B0001" w:tentative="1">
      <w:start w:val="1"/>
      <w:numFmt w:val="bullet"/>
      <w:lvlText w:val=""/>
      <w:lvlJc w:val="left"/>
      <w:pPr>
        <w:tabs>
          <w:tab w:val="num" w:pos="5749"/>
        </w:tabs>
        <w:ind w:left="5749" w:hanging="360"/>
      </w:pPr>
      <w:rPr>
        <w:rFonts w:ascii="Symbol" w:hAnsi="Symbol" w:hint="default"/>
      </w:rPr>
    </w:lvl>
    <w:lvl w:ilvl="7" w:tplc="041B0003" w:tentative="1">
      <w:start w:val="1"/>
      <w:numFmt w:val="bullet"/>
      <w:lvlText w:val="o"/>
      <w:lvlJc w:val="left"/>
      <w:pPr>
        <w:tabs>
          <w:tab w:val="num" w:pos="6469"/>
        </w:tabs>
        <w:ind w:left="6469" w:hanging="360"/>
      </w:pPr>
      <w:rPr>
        <w:rFonts w:ascii="Courier New" w:hAnsi="Courier New" w:cs="Courier New" w:hint="default"/>
      </w:rPr>
    </w:lvl>
    <w:lvl w:ilvl="8" w:tplc="041B0005" w:tentative="1">
      <w:start w:val="1"/>
      <w:numFmt w:val="bullet"/>
      <w:lvlText w:val=""/>
      <w:lvlJc w:val="left"/>
      <w:pPr>
        <w:tabs>
          <w:tab w:val="num" w:pos="7189"/>
        </w:tabs>
        <w:ind w:left="7189" w:hanging="360"/>
      </w:pPr>
      <w:rPr>
        <w:rFonts w:ascii="Wingdings" w:hAnsi="Wingdings" w:hint="default"/>
      </w:rPr>
    </w:lvl>
  </w:abstractNum>
  <w:abstractNum w:abstractNumId="43" w15:restartNumberingAfterBreak="0">
    <w:nsid w:val="3F2E1A2C"/>
    <w:multiLevelType w:val="hybridMultilevel"/>
    <w:tmpl w:val="7C122DC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15:restartNumberingAfterBreak="0">
    <w:nsid w:val="41563DF4"/>
    <w:multiLevelType w:val="hybridMultilevel"/>
    <w:tmpl w:val="6B04ECD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15:restartNumberingAfterBreak="0">
    <w:nsid w:val="41DE3504"/>
    <w:multiLevelType w:val="hybridMultilevel"/>
    <w:tmpl w:val="6D26D732"/>
    <w:lvl w:ilvl="0" w:tplc="0405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2102ACA"/>
    <w:multiLevelType w:val="hybridMultilevel"/>
    <w:tmpl w:val="A14A3716"/>
    <w:lvl w:ilvl="0" w:tplc="63D8F3CA">
      <w:start w:val="5"/>
      <w:numFmt w:val="bullet"/>
      <w:lvlText w:val="-"/>
      <w:lvlJc w:val="left"/>
      <w:pPr>
        <w:ind w:left="1428" w:hanging="360"/>
      </w:pPr>
      <w:rPr>
        <w:rFonts w:ascii="Times New Roman" w:eastAsia="Calibri" w:hAnsi="Times New Roman" w:cs="Times New Roman"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47" w15:restartNumberingAfterBreak="0">
    <w:nsid w:val="423C2786"/>
    <w:multiLevelType w:val="hybridMultilevel"/>
    <w:tmpl w:val="E42AA19C"/>
    <w:lvl w:ilvl="0" w:tplc="041B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8" w15:restartNumberingAfterBreak="0">
    <w:nsid w:val="43ED2C80"/>
    <w:multiLevelType w:val="hybridMultilevel"/>
    <w:tmpl w:val="E2522236"/>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49" w15:restartNumberingAfterBreak="0">
    <w:nsid w:val="459A6B4F"/>
    <w:multiLevelType w:val="hybridMultilevel"/>
    <w:tmpl w:val="F7DC4F5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 w15:restartNumberingAfterBreak="0">
    <w:nsid w:val="4A5E397D"/>
    <w:multiLevelType w:val="hybridMultilevel"/>
    <w:tmpl w:val="3AFC3954"/>
    <w:lvl w:ilvl="0" w:tplc="63D8F3CA">
      <w:start w:val="5"/>
      <w:numFmt w:val="bullet"/>
      <w:lvlText w:val="-"/>
      <w:lvlJc w:val="left"/>
      <w:pPr>
        <w:ind w:left="1428" w:hanging="360"/>
      </w:pPr>
      <w:rPr>
        <w:rFonts w:ascii="Times New Roman" w:eastAsia="Calibri" w:hAnsi="Times New Roman" w:cs="Times New Roman"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51" w15:restartNumberingAfterBreak="0">
    <w:nsid w:val="4AF60F09"/>
    <w:multiLevelType w:val="hybridMultilevel"/>
    <w:tmpl w:val="00FAC9E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15:restartNumberingAfterBreak="0">
    <w:nsid w:val="504227B9"/>
    <w:multiLevelType w:val="hybridMultilevel"/>
    <w:tmpl w:val="26A01D32"/>
    <w:lvl w:ilvl="0" w:tplc="1922A674">
      <w:start w:val="5"/>
      <w:numFmt w:val="bullet"/>
      <w:lvlText w:val="-"/>
      <w:lvlJc w:val="left"/>
      <w:pPr>
        <w:ind w:left="1080" w:hanging="360"/>
      </w:pPr>
      <w:rPr>
        <w:rFonts w:ascii="Arial" w:eastAsia="Calibri" w:hAnsi="Arial" w:cs="Aria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53" w15:restartNumberingAfterBreak="0">
    <w:nsid w:val="567E642A"/>
    <w:multiLevelType w:val="hybridMultilevel"/>
    <w:tmpl w:val="EF9CC10A"/>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15:restartNumberingAfterBreak="0">
    <w:nsid w:val="56F07566"/>
    <w:multiLevelType w:val="hybridMultilevel"/>
    <w:tmpl w:val="3E7A45EE"/>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5" w15:restartNumberingAfterBreak="0">
    <w:nsid w:val="572D19BF"/>
    <w:multiLevelType w:val="hybridMultilevel"/>
    <w:tmpl w:val="E7FA12D4"/>
    <w:lvl w:ilvl="0" w:tplc="041B0003">
      <w:start w:val="1"/>
      <w:numFmt w:val="bullet"/>
      <w:lvlText w:val="o"/>
      <w:lvlJc w:val="left"/>
      <w:pPr>
        <w:ind w:left="1428" w:hanging="360"/>
      </w:pPr>
      <w:rPr>
        <w:rFonts w:ascii="Courier New" w:hAnsi="Courier New" w:cs="Courier New"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56" w15:restartNumberingAfterBreak="0">
    <w:nsid w:val="573A0157"/>
    <w:multiLevelType w:val="hybridMultilevel"/>
    <w:tmpl w:val="21F05ABA"/>
    <w:lvl w:ilvl="0" w:tplc="041B0017">
      <w:start w:val="1"/>
      <w:numFmt w:val="lowerLetter"/>
      <w:lvlText w:val="%1)"/>
      <w:lvlJc w:val="left"/>
      <w:pPr>
        <w:tabs>
          <w:tab w:val="num" w:pos="360"/>
        </w:tabs>
        <w:ind w:left="360" w:hanging="360"/>
      </w:pPr>
      <w:rPr>
        <w:rFonts w:hint="default"/>
      </w:rPr>
    </w:lvl>
    <w:lvl w:ilvl="1" w:tplc="041B0019" w:tentative="1">
      <w:start w:val="1"/>
      <w:numFmt w:val="lowerLetter"/>
      <w:lvlText w:val="%2."/>
      <w:lvlJc w:val="left"/>
      <w:pPr>
        <w:tabs>
          <w:tab w:val="num" w:pos="1014"/>
        </w:tabs>
        <w:ind w:left="1014" w:hanging="360"/>
      </w:pPr>
    </w:lvl>
    <w:lvl w:ilvl="2" w:tplc="041B001B" w:tentative="1">
      <w:start w:val="1"/>
      <w:numFmt w:val="lowerRoman"/>
      <w:lvlText w:val="%3."/>
      <w:lvlJc w:val="right"/>
      <w:pPr>
        <w:tabs>
          <w:tab w:val="num" w:pos="1734"/>
        </w:tabs>
        <w:ind w:left="1734" w:hanging="180"/>
      </w:pPr>
    </w:lvl>
    <w:lvl w:ilvl="3" w:tplc="041B000F" w:tentative="1">
      <w:start w:val="1"/>
      <w:numFmt w:val="decimal"/>
      <w:lvlText w:val="%4."/>
      <w:lvlJc w:val="left"/>
      <w:pPr>
        <w:tabs>
          <w:tab w:val="num" w:pos="2454"/>
        </w:tabs>
        <w:ind w:left="2454" w:hanging="360"/>
      </w:pPr>
    </w:lvl>
    <w:lvl w:ilvl="4" w:tplc="041B0019" w:tentative="1">
      <w:start w:val="1"/>
      <w:numFmt w:val="lowerLetter"/>
      <w:lvlText w:val="%5."/>
      <w:lvlJc w:val="left"/>
      <w:pPr>
        <w:tabs>
          <w:tab w:val="num" w:pos="3174"/>
        </w:tabs>
        <w:ind w:left="3174" w:hanging="360"/>
      </w:pPr>
    </w:lvl>
    <w:lvl w:ilvl="5" w:tplc="041B001B" w:tentative="1">
      <w:start w:val="1"/>
      <w:numFmt w:val="lowerRoman"/>
      <w:lvlText w:val="%6."/>
      <w:lvlJc w:val="right"/>
      <w:pPr>
        <w:tabs>
          <w:tab w:val="num" w:pos="3894"/>
        </w:tabs>
        <w:ind w:left="3894" w:hanging="180"/>
      </w:pPr>
    </w:lvl>
    <w:lvl w:ilvl="6" w:tplc="041B000F" w:tentative="1">
      <w:start w:val="1"/>
      <w:numFmt w:val="decimal"/>
      <w:lvlText w:val="%7."/>
      <w:lvlJc w:val="left"/>
      <w:pPr>
        <w:tabs>
          <w:tab w:val="num" w:pos="4614"/>
        </w:tabs>
        <w:ind w:left="4614" w:hanging="360"/>
      </w:pPr>
    </w:lvl>
    <w:lvl w:ilvl="7" w:tplc="041B0019" w:tentative="1">
      <w:start w:val="1"/>
      <w:numFmt w:val="lowerLetter"/>
      <w:lvlText w:val="%8."/>
      <w:lvlJc w:val="left"/>
      <w:pPr>
        <w:tabs>
          <w:tab w:val="num" w:pos="5334"/>
        </w:tabs>
        <w:ind w:left="5334" w:hanging="360"/>
      </w:pPr>
    </w:lvl>
    <w:lvl w:ilvl="8" w:tplc="041B001B" w:tentative="1">
      <w:start w:val="1"/>
      <w:numFmt w:val="lowerRoman"/>
      <w:lvlText w:val="%9."/>
      <w:lvlJc w:val="right"/>
      <w:pPr>
        <w:tabs>
          <w:tab w:val="num" w:pos="6054"/>
        </w:tabs>
        <w:ind w:left="6054" w:hanging="180"/>
      </w:pPr>
    </w:lvl>
  </w:abstractNum>
  <w:abstractNum w:abstractNumId="57" w15:restartNumberingAfterBreak="0">
    <w:nsid w:val="5D0B4597"/>
    <w:multiLevelType w:val="hybridMultilevel"/>
    <w:tmpl w:val="D2E096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62226EB7"/>
    <w:multiLevelType w:val="hybridMultilevel"/>
    <w:tmpl w:val="44DE8814"/>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59" w15:restartNumberingAfterBreak="0">
    <w:nsid w:val="62BE57F5"/>
    <w:multiLevelType w:val="hybridMultilevel"/>
    <w:tmpl w:val="594C0BDC"/>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60" w15:restartNumberingAfterBreak="0">
    <w:nsid w:val="695C2C02"/>
    <w:multiLevelType w:val="hybridMultilevel"/>
    <w:tmpl w:val="17FEC058"/>
    <w:lvl w:ilvl="0" w:tplc="0405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9ED061C"/>
    <w:multiLevelType w:val="multilevel"/>
    <w:tmpl w:val="28C8CE7E"/>
    <w:lvl w:ilvl="0">
      <w:start w:val="1"/>
      <w:numFmt w:val="decimal"/>
      <w:lvlText w:val="%1."/>
      <w:lvlJc w:val="left"/>
      <w:pPr>
        <w:ind w:left="397" w:hanging="397"/>
      </w:pPr>
      <w:rPr>
        <w:rFonts w:ascii="Arial" w:hAnsi="Arial" w:cs="Arial" w:hint="default"/>
        <w:b/>
        <w:i w:val="0"/>
        <w:sz w:val="22"/>
        <w:szCs w:val="22"/>
      </w:rPr>
    </w:lvl>
    <w:lvl w:ilvl="1">
      <w:start w:val="1"/>
      <w:numFmt w:val="decimal"/>
      <w:lvlRestart w:val="0"/>
      <w:pStyle w:val="Nadpis2"/>
      <w:isLgl/>
      <w:lvlText w:val="%1.%2."/>
      <w:lvlJc w:val="left"/>
      <w:pPr>
        <w:ind w:left="397" w:hanging="397"/>
      </w:pPr>
      <w:rPr>
        <w:rFonts w:ascii="Times New Roman" w:hAnsi="Times New Roman" w:hint="default"/>
        <w:b/>
        <w:i w:val="0"/>
        <w:sz w:val="20"/>
      </w:rPr>
    </w:lvl>
    <w:lvl w:ilvl="2">
      <w:start w:val="1"/>
      <w:numFmt w:val="decimal"/>
      <w:lvlRestart w:val="0"/>
      <w:pStyle w:val="Nadpis3"/>
      <w:isLgl/>
      <w:lvlText w:val="%2.%1.%3."/>
      <w:lvlJc w:val="left"/>
      <w:pPr>
        <w:ind w:left="397" w:hanging="397"/>
      </w:pPr>
      <w:rPr>
        <w:rFonts w:ascii="Times New Roman" w:hAnsi="Times New Roman" w:hint="default"/>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C205804"/>
    <w:multiLevelType w:val="hybridMultilevel"/>
    <w:tmpl w:val="9D0078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75230232"/>
    <w:multiLevelType w:val="hybridMultilevel"/>
    <w:tmpl w:val="E0F6C7D4"/>
    <w:lvl w:ilvl="0" w:tplc="0405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73C074B"/>
    <w:multiLevelType w:val="hybridMultilevel"/>
    <w:tmpl w:val="F18AE8FC"/>
    <w:lvl w:ilvl="0" w:tplc="08090019">
      <w:start w:val="1"/>
      <w:numFmt w:val="lowerLetter"/>
      <w:lvlText w:val="%1."/>
      <w:lvlJc w:val="left"/>
      <w:pPr>
        <w:ind w:left="1428" w:hanging="360"/>
      </w:pPr>
    </w:lvl>
    <w:lvl w:ilvl="1" w:tplc="04050001">
      <w:start w:val="1"/>
      <w:numFmt w:val="bullet"/>
      <w:lvlText w:val=""/>
      <w:lvlJc w:val="left"/>
      <w:pPr>
        <w:ind w:left="720" w:hanging="360"/>
      </w:pPr>
      <w:rPr>
        <w:rFonts w:ascii="Symbol" w:hAnsi="Symbol" w:hint="default"/>
      </w:rPr>
    </w:lvl>
    <w:lvl w:ilvl="2" w:tplc="0809001B">
      <w:start w:val="1"/>
      <w:numFmt w:val="lowerRoman"/>
      <w:lvlText w:val="%3."/>
      <w:lvlJc w:val="right"/>
      <w:pPr>
        <w:ind w:left="2868" w:hanging="180"/>
      </w:pPr>
    </w:lvl>
    <w:lvl w:ilvl="3" w:tplc="0809000F" w:tentative="1">
      <w:start w:val="1"/>
      <w:numFmt w:val="decimal"/>
      <w:lvlText w:val="%4."/>
      <w:lvlJc w:val="left"/>
      <w:pPr>
        <w:ind w:left="3588" w:hanging="360"/>
      </w:pPr>
    </w:lvl>
    <w:lvl w:ilvl="4" w:tplc="08090019" w:tentative="1">
      <w:start w:val="1"/>
      <w:numFmt w:val="lowerLetter"/>
      <w:lvlText w:val="%5."/>
      <w:lvlJc w:val="left"/>
      <w:pPr>
        <w:ind w:left="4308" w:hanging="360"/>
      </w:pPr>
    </w:lvl>
    <w:lvl w:ilvl="5" w:tplc="0809001B" w:tentative="1">
      <w:start w:val="1"/>
      <w:numFmt w:val="lowerRoman"/>
      <w:lvlText w:val="%6."/>
      <w:lvlJc w:val="right"/>
      <w:pPr>
        <w:ind w:left="5028" w:hanging="180"/>
      </w:pPr>
    </w:lvl>
    <w:lvl w:ilvl="6" w:tplc="0809000F" w:tentative="1">
      <w:start w:val="1"/>
      <w:numFmt w:val="decimal"/>
      <w:lvlText w:val="%7."/>
      <w:lvlJc w:val="left"/>
      <w:pPr>
        <w:ind w:left="5748" w:hanging="360"/>
      </w:pPr>
    </w:lvl>
    <w:lvl w:ilvl="7" w:tplc="08090019" w:tentative="1">
      <w:start w:val="1"/>
      <w:numFmt w:val="lowerLetter"/>
      <w:lvlText w:val="%8."/>
      <w:lvlJc w:val="left"/>
      <w:pPr>
        <w:ind w:left="6468" w:hanging="360"/>
      </w:pPr>
    </w:lvl>
    <w:lvl w:ilvl="8" w:tplc="0809001B" w:tentative="1">
      <w:start w:val="1"/>
      <w:numFmt w:val="lowerRoman"/>
      <w:lvlText w:val="%9."/>
      <w:lvlJc w:val="right"/>
      <w:pPr>
        <w:ind w:left="7188" w:hanging="180"/>
      </w:pPr>
    </w:lvl>
  </w:abstractNum>
  <w:abstractNum w:abstractNumId="65" w15:restartNumberingAfterBreak="0">
    <w:nsid w:val="797B2A69"/>
    <w:multiLevelType w:val="hybridMultilevel"/>
    <w:tmpl w:val="773EF2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7DC30605"/>
    <w:multiLevelType w:val="hybridMultilevel"/>
    <w:tmpl w:val="4B9C320C"/>
    <w:lvl w:ilvl="0" w:tplc="041B0005">
      <w:start w:val="1"/>
      <w:numFmt w:val="bullet"/>
      <w:lvlText w:val=""/>
      <w:lvlJc w:val="left"/>
      <w:pPr>
        <w:tabs>
          <w:tab w:val="num" w:pos="720"/>
        </w:tabs>
        <w:ind w:left="720" w:hanging="360"/>
      </w:pPr>
      <w:rPr>
        <w:rFonts w:ascii="Wingdings" w:hAnsi="Wingding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num w:numId="1">
    <w:abstractNumId w:val="61"/>
  </w:num>
  <w:num w:numId="2">
    <w:abstractNumId w:val="9"/>
  </w:num>
  <w:num w:numId="3">
    <w:abstractNumId w:val="6"/>
  </w:num>
  <w:num w:numId="4">
    <w:abstractNumId w:val="52"/>
  </w:num>
  <w:num w:numId="5">
    <w:abstractNumId w:val="62"/>
  </w:num>
  <w:num w:numId="6">
    <w:abstractNumId w:val="13"/>
  </w:num>
  <w:num w:numId="7">
    <w:abstractNumId w:val="65"/>
  </w:num>
  <w:num w:numId="8">
    <w:abstractNumId w:val="57"/>
  </w:num>
  <w:num w:numId="9">
    <w:abstractNumId w:val="48"/>
  </w:num>
  <w:num w:numId="10">
    <w:abstractNumId w:val="43"/>
  </w:num>
  <w:num w:numId="11">
    <w:abstractNumId w:val="58"/>
  </w:num>
  <w:num w:numId="12">
    <w:abstractNumId w:val="47"/>
  </w:num>
  <w:num w:numId="13">
    <w:abstractNumId w:val="49"/>
  </w:num>
  <w:num w:numId="14">
    <w:abstractNumId w:val="27"/>
  </w:num>
  <w:num w:numId="15">
    <w:abstractNumId w:val="35"/>
  </w:num>
  <w:num w:numId="16">
    <w:abstractNumId w:val="53"/>
  </w:num>
  <w:num w:numId="17">
    <w:abstractNumId w:val="59"/>
  </w:num>
  <w:num w:numId="1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6"/>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num>
  <w:num w:numId="22">
    <w:abstractNumId w:val="20"/>
  </w:num>
  <w:num w:numId="23">
    <w:abstractNumId w:val="51"/>
  </w:num>
  <w:num w:numId="24">
    <w:abstractNumId w:val="66"/>
  </w:num>
  <w:num w:numId="25">
    <w:abstractNumId w:val="28"/>
  </w:num>
  <w:num w:numId="26">
    <w:abstractNumId w:val="23"/>
  </w:num>
  <w:num w:numId="27">
    <w:abstractNumId w:val="30"/>
  </w:num>
  <w:num w:numId="28">
    <w:abstractNumId w:val="29"/>
  </w:num>
  <w:num w:numId="29">
    <w:abstractNumId w:val="19"/>
  </w:num>
  <w:num w:numId="30">
    <w:abstractNumId w:val="64"/>
  </w:num>
  <w:num w:numId="31">
    <w:abstractNumId w:val="32"/>
  </w:num>
  <w:num w:numId="32">
    <w:abstractNumId w:val="17"/>
  </w:num>
  <w:num w:numId="33">
    <w:abstractNumId w:val="42"/>
  </w:num>
  <w:num w:numId="34">
    <w:abstractNumId w:val="36"/>
  </w:num>
  <w:num w:numId="35">
    <w:abstractNumId w:val="4"/>
  </w:num>
  <w:num w:numId="36">
    <w:abstractNumId w:val="5"/>
    <w:lvlOverride w:ilvl="0">
      <w:lvl w:ilvl="0">
        <w:start w:val="1"/>
        <w:numFmt w:val="bullet"/>
        <w:lvlText w:val=""/>
        <w:legacy w:legacy="1" w:legacySpace="120" w:legacyIndent="360"/>
        <w:lvlJc w:val="left"/>
        <w:pPr>
          <w:ind w:left="502" w:hanging="360"/>
        </w:pPr>
        <w:rPr>
          <w:rFonts w:ascii="Symbol" w:hAnsi="Symbol" w:hint="default"/>
        </w:rPr>
      </w:lvl>
    </w:lvlOverride>
  </w:num>
  <w:num w:numId="37">
    <w:abstractNumId w:val="3"/>
  </w:num>
  <w:num w:numId="38">
    <w:abstractNumId w:val="2"/>
  </w:num>
  <w:num w:numId="39">
    <w:abstractNumId w:val="1"/>
  </w:num>
  <w:num w:numId="40">
    <w:abstractNumId w:val="0"/>
  </w:num>
  <w:num w:numId="41">
    <w:abstractNumId w:val="63"/>
  </w:num>
  <w:num w:numId="42">
    <w:abstractNumId w:val="33"/>
  </w:num>
  <w:num w:numId="43">
    <w:abstractNumId w:val="50"/>
  </w:num>
  <w:num w:numId="44">
    <w:abstractNumId w:val="34"/>
  </w:num>
  <w:num w:numId="45">
    <w:abstractNumId w:val="46"/>
  </w:num>
  <w:num w:numId="46">
    <w:abstractNumId w:val="55"/>
  </w:num>
  <w:num w:numId="47">
    <w:abstractNumId w:val="12"/>
  </w:num>
  <w:num w:numId="48">
    <w:abstractNumId w:val="40"/>
  </w:num>
  <w:num w:numId="49">
    <w:abstractNumId w:val="60"/>
  </w:num>
  <w:num w:numId="50">
    <w:abstractNumId w:val="45"/>
  </w:num>
  <w:num w:numId="51">
    <w:abstractNumId w:val="54"/>
  </w:num>
  <w:num w:numId="52">
    <w:abstractNumId w:val="11"/>
  </w:num>
  <w:num w:numId="53">
    <w:abstractNumId w:val="44"/>
  </w:num>
  <w:num w:numId="54">
    <w:abstractNumId w:val="21"/>
  </w:num>
  <w:num w:numId="55">
    <w:abstractNumId w:val="41"/>
  </w:num>
  <w:num w:numId="56">
    <w:abstractNumId w:val="38"/>
  </w:num>
  <w:num w:numId="57">
    <w:abstractNumId w:val="22"/>
  </w:num>
  <w:num w:numId="58">
    <w:abstractNumId w:val="25"/>
  </w:num>
  <w:num w:numId="59">
    <w:abstractNumId w:val="37"/>
  </w:num>
  <w:num w:numId="60">
    <w:abstractNumId w:val="16"/>
  </w:num>
  <w:num w:numId="61">
    <w:abstractNumId w:val="18"/>
  </w:num>
  <w:num w:numId="62">
    <w:abstractNumId w:val="14"/>
  </w:num>
  <w:num w:numId="63">
    <w:abstractNumId w:val="15"/>
  </w:num>
  <w:num w:numId="64">
    <w:abstractNumId w:val="56"/>
  </w:num>
  <w:num w:numId="65">
    <w:abstractNumId w:val="24"/>
  </w:num>
  <w:num w:numId="66">
    <w:abstractNumId w:val="31"/>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6B09"/>
    <w:rsid w:val="00011FCD"/>
    <w:rsid w:val="00013313"/>
    <w:rsid w:val="00014B2D"/>
    <w:rsid w:val="00016203"/>
    <w:rsid w:val="00026B04"/>
    <w:rsid w:val="00027E6C"/>
    <w:rsid w:val="0003066E"/>
    <w:rsid w:val="00032CB4"/>
    <w:rsid w:val="00033C59"/>
    <w:rsid w:val="00044F21"/>
    <w:rsid w:val="000457C0"/>
    <w:rsid w:val="00050F3C"/>
    <w:rsid w:val="00053255"/>
    <w:rsid w:val="00055759"/>
    <w:rsid w:val="00056875"/>
    <w:rsid w:val="00061F55"/>
    <w:rsid w:val="00062C3F"/>
    <w:rsid w:val="0006411C"/>
    <w:rsid w:val="00066DE2"/>
    <w:rsid w:val="00073294"/>
    <w:rsid w:val="0007407E"/>
    <w:rsid w:val="000741B2"/>
    <w:rsid w:val="00084433"/>
    <w:rsid w:val="000858BA"/>
    <w:rsid w:val="0009245A"/>
    <w:rsid w:val="00096E5D"/>
    <w:rsid w:val="00097146"/>
    <w:rsid w:val="000A1A25"/>
    <w:rsid w:val="000A2051"/>
    <w:rsid w:val="000A368D"/>
    <w:rsid w:val="000B2DEB"/>
    <w:rsid w:val="000B32E0"/>
    <w:rsid w:val="000B5796"/>
    <w:rsid w:val="000B621C"/>
    <w:rsid w:val="000C06C9"/>
    <w:rsid w:val="000C074F"/>
    <w:rsid w:val="000C46F8"/>
    <w:rsid w:val="000C4FF7"/>
    <w:rsid w:val="000C6440"/>
    <w:rsid w:val="000D00F5"/>
    <w:rsid w:val="000D26DA"/>
    <w:rsid w:val="000D3022"/>
    <w:rsid w:val="000E07FD"/>
    <w:rsid w:val="000E581C"/>
    <w:rsid w:val="000E7975"/>
    <w:rsid w:val="000F0D5B"/>
    <w:rsid w:val="000F134D"/>
    <w:rsid w:val="000F22E1"/>
    <w:rsid w:val="000F26DD"/>
    <w:rsid w:val="000F4680"/>
    <w:rsid w:val="000F5BF4"/>
    <w:rsid w:val="000F7CB7"/>
    <w:rsid w:val="00102A52"/>
    <w:rsid w:val="00102D58"/>
    <w:rsid w:val="00103372"/>
    <w:rsid w:val="001037C4"/>
    <w:rsid w:val="0011008E"/>
    <w:rsid w:val="00111243"/>
    <w:rsid w:val="00111850"/>
    <w:rsid w:val="00112686"/>
    <w:rsid w:val="0011640E"/>
    <w:rsid w:val="001205CF"/>
    <w:rsid w:val="00123C3F"/>
    <w:rsid w:val="00127F35"/>
    <w:rsid w:val="001312B9"/>
    <w:rsid w:val="00136A9B"/>
    <w:rsid w:val="00136E30"/>
    <w:rsid w:val="001371B3"/>
    <w:rsid w:val="00141ABF"/>
    <w:rsid w:val="001430E4"/>
    <w:rsid w:val="001447A3"/>
    <w:rsid w:val="001473AC"/>
    <w:rsid w:val="001525AC"/>
    <w:rsid w:val="00154DEA"/>
    <w:rsid w:val="00155242"/>
    <w:rsid w:val="00165121"/>
    <w:rsid w:val="00165ED7"/>
    <w:rsid w:val="00167D28"/>
    <w:rsid w:val="00172413"/>
    <w:rsid w:val="00172C9F"/>
    <w:rsid w:val="001730E3"/>
    <w:rsid w:val="00180F95"/>
    <w:rsid w:val="001835E5"/>
    <w:rsid w:val="0018393F"/>
    <w:rsid w:val="001839F7"/>
    <w:rsid w:val="0018463F"/>
    <w:rsid w:val="00187DC0"/>
    <w:rsid w:val="00190764"/>
    <w:rsid w:val="00191FC4"/>
    <w:rsid w:val="001934B9"/>
    <w:rsid w:val="001947D3"/>
    <w:rsid w:val="001A01F2"/>
    <w:rsid w:val="001A1600"/>
    <w:rsid w:val="001A4C3A"/>
    <w:rsid w:val="001A548C"/>
    <w:rsid w:val="001A66EF"/>
    <w:rsid w:val="001B12D9"/>
    <w:rsid w:val="001B15A1"/>
    <w:rsid w:val="001B3635"/>
    <w:rsid w:val="001B366B"/>
    <w:rsid w:val="001B64E5"/>
    <w:rsid w:val="001B6EA3"/>
    <w:rsid w:val="001C0194"/>
    <w:rsid w:val="001C09D4"/>
    <w:rsid w:val="001C2E4D"/>
    <w:rsid w:val="001C2FCC"/>
    <w:rsid w:val="001C3874"/>
    <w:rsid w:val="001C4837"/>
    <w:rsid w:val="001C5FB5"/>
    <w:rsid w:val="001C6C24"/>
    <w:rsid w:val="001D4D75"/>
    <w:rsid w:val="001E14B5"/>
    <w:rsid w:val="001E7B38"/>
    <w:rsid w:val="001F0161"/>
    <w:rsid w:val="001F01A5"/>
    <w:rsid w:val="001F05E9"/>
    <w:rsid w:val="001F1F78"/>
    <w:rsid w:val="001F4315"/>
    <w:rsid w:val="001F78B1"/>
    <w:rsid w:val="001F7EBA"/>
    <w:rsid w:val="00200AD7"/>
    <w:rsid w:val="0020129F"/>
    <w:rsid w:val="002016E3"/>
    <w:rsid w:val="00203EFF"/>
    <w:rsid w:val="0021025A"/>
    <w:rsid w:val="00211BA8"/>
    <w:rsid w:val="00214001"/>
    <w:rsid w:val="002148BD"/>
    <w:rsid w:val="00214C8F"/>
    <w:rsid w:val="00214D28"/>
    <w:rsid w:val="00217D62"/>
    <w:rsid w:val="002219D6"/>
    <w:rsid w:val="00224401"/>
    <w:rsid w:val="00224E05"/>
    <w:rsid w:val="00225B0F"/>
    <w:rsid w:val="00231290"/>
    <w:rsid w:val="002323C9"/>
    <w:rsid w:val="002366CA"/>
    <w:rsid w:val="00243280"/>
    <w:rsid w:val="002500C0"/>
    <w:rsid w:val="00254A19"/>
    <w:rsid w:val="002558A5"/>
    <w:rsid w:val="00256E35"/>
    <w:rsid w:val="002614ED"/>
    <w:rsid w:val="00263CBE"/>
    <w:rsid w:val="00265854"/>
    <w:rsid w:val="00266D08"/>
    <w:rsid w:val="00266D14"/>
    <w:rsid w:val="00270B92"/>
    <w:rsid w:val="00271178"/>
    <w:rsid w:val="00271937"/>
    <w:rsid w:val="0027256B"/>
    <w:rsid w:val="00281A29"/>
    <w:rsid w:val="00281AD0"/>
    <w:rsid w:val="00283664"/>
    <w:rsid w:val="00284AF6"/>
    <w:rsid w:val="00286565"/>
    <w:rsid w:val="00286D6B"/>
    <w:rsid w:val="00286FA1"/>
    <w:rsid w:val="00294E67"/>
    <w:rsid w:val="00296345"/>
    <w:rsid w:val="0029727B"/>
    <w:rsid w:val="002A5CC1"/>
    <w:rsid w:val="002A6FE2"/>
    <w:rsid w:val="002A7C25"/>
    <w:rsid w:val="002B0465"/>
    <w:rsid w:val="002B3C33"/>
    <w:rsid w:val="002B5208"/>
    <w:rsid w:val="002C27B4"/>
    <w:rsid w:val="002C2AEC"/>
    <w:rsid w:val="002C2FD5"/>
    <w:rsid w:val="002C4BA7"/>
    <w:rsid w:val="002C50FA"/>
    <w:rsid w:val="002C5ACF"/>
    <w:rsid w:val="002C76F1"/>
    <w:rsid w:val="002D1D87"/>
    <w:rsid w:val="002D2D6B"/>
    <w:rsid w:val="002D4157"/>
    <w:rsid w:val="002E1CBE"/>
    <w:rsid w:val="002E28C0"/>
    <w:rsid w:val="002E499F"/>
    <w:rsid w:val="002E5D7C"/>
    <w:rsid w:val="002F14B3"/>
    <w:rsid w:val="002F1AD3"/>
    <w:rsid w:val="002F61F4"/>
    <w:rsid w:val="002F6AB0"/>
    <w:rsid w:val="00300C43"/>
    <w:rsid w:val="00302280"/>
    <w:rsid w:val="00306F04"/>
    <w:rsid w:val="00310ABA"/>
    <w:rsid w:val="00310C5D"/>
    <w:rsid w:val="00314E90"/>
    <w:rsid w:val="00316D43"/>
    <w:rsid w:val="00317224"/>
    <w:rsid w:val="00317B5F"/>
    <w:rsid w:val="00320B4F"/>
    <w:rsid w:val="00325E89"/>
    <w:rsid w:val="003376DD"/>
    <w:rsid w:val="00337EA7"/>
    <w:rsid w:val="00340918"/>
    <w:rsid w:val="00342AFA"/>
    <w:rsid w:val="00344633"/>
    <w:rsid w:val="00345FB8"/>
    <w:rsid w:val="00351AA8"/>
    <w:rsid w:val="00355192"/>
    <w:rsid w:val="00357B8C"/>
    <w:rsid w:val="003649B8"/>
    <w:rsid w:val="003655FC"/>
    <w:rsid w:val="00365898"/>
    <w:rsid w:val="003814A8"/>
    <w:rsid w:val="00381C27"/>
    <w:rsid w:val="00385D7E"/>
    <w:rsid w:val="0039030E"/>
    <w:rsid w:val="00391E5A"/>
    <w:rsid w:val="00392CD3"/>
    <w:rsid w:val="00394176"/>
    <w:rsid w:val="00397059"/>
    <w:rsid w:val="003A11B0"/>
    <w:rsid w:val="003A4B91"/>
    <w:rsid w:val="003A6BD9"/>
    <w:rsid w:val="003B07BE"/>
    <w:rsid w:val="003B0C2B"/>
    <w:rsid w:val="003B0D53"/>
    <w:rsid w:val="003B3D98"/>
    <w:rsid w:val="003B40C3"/>
    <w:rsid w:val="003B5E3C"/>
    <w:rsid w:val="003B635E"/>
    <w:rsid w:val="003B71E8"/>
    <w:rsid w:val="003C10BD"/>
    <w:rsid w:val="003C2B4A"/>
    <w:rsid w:val="003C7702"/>
    <w:rsid w:val="003C78BB"/>
    <w:rsid w:val="003D3854"/>
    <w:rsid w:val="003D6FA8"/>
    <w:rsid w:val="003E52B2"/>
    <w:rsid w:val="003E656C"/>
    <w:rsid w:val="003E72E5"/>
    <w:rsid w:val="003F2986"/>
    <w:rsid w:val="003F3AB0"/>
    <w:rsid w:val="003F4392"/>
    <w:rsid w:val="003F59E5"/>
    <w:rsid w:val="003F7343"/>
    <w:rsid w:val="00400C10"/>
    <w:rsid w:val="00412F04"/>
    <w:rsid w:val="004200D5"/>
    <w:rsid w:val="00420206"/>
    <w:rsid w:val="0042116B"/>
    <w:rsid w:val="004234F1"/>
    <w:rsid w:val="00424051"/>
    <w:rsid w:val="00424E92"/>
    <w:rsid w:val="00424ED9"/>
    <w:rsid w:val="00427ABF"/>
    <w:rsid w:val="004305BC"/>
    <w:rsid w:val="00436F32"/>
    <w:rsid w:val="004410F9"/>
    <w:rsid w:val="004443E0"/>
    <w:rsid w:val="00451E89"/>
    <w:rsid w:val="00452751"/>
    <w:rsid w:val="00452CC1"/>
    <w:rsid w:val="004530AE"/>
    <w:rsid w:val="00455FF5"/>
    <w:rsid w:val="00456C81"/>
    <w:rsid w:val="004574C7"/>
    <w:rsid w:val="0046296B"/>
    <w:rsid w:val="0046339C"/>
    <w:rsid w:val="00475BE6"/>
    <w:rsid w:val="00476EB6"/>
    <w:rsid w:val="004837CB"/>
    <w:rsid w:val="004847CE"/>
    <w:rsid w:val="00485310"/>
    <w:rsid w:val="004875D4"/>
    <w:rsid w:val="00487B26"/>
    <w:rsid w:val="00490A0B"/>
    <w:rsid w:val="0049167D"/>
    <w:rsid w:val="004918BC"/>
    <w:rsid w:val="00491DAF"/>
    <w:rsid w:val="00491E90"/>
    <w:rsid w:val="004934DB"/>
    <w:rsid w:val="00496C26"/>
    <w:rsid w:val="004A0558"/>
    <w:rsid w:val="004A2354"/>
    <w:rsid w:val="004A2B2B"/>
    <w:rsid w:val="004A47C5"/>
    <w:rsid w:val="004A5E3D"/>
    <w:rsid w:val="004B5180"/>
    <w:rsid w:val="004B52EF"/>
    <w:rsid w:val="004B7E43"/>
    <w:rsid w:val="004C0F79"/>
    <w:rsid w:val="004C26FC"/>
    <w:rsid w:val="004C3DDE"/>
    <w:rsid w:val="004D0E6B"/>
    <w:rsid w:val="004D18A1"/>
    <w:rsid w:val="004D1B1B"/>
    <w:rsid w:val="004D653A"/>
    <w:rsid w:val="004E0549"/>
    <w:rsid w:val="004E14D1"/>
    <w:rsid w:val="004E5DB4"/>
    <w:rsid w:val="004E6376"/>
    <w:rsid w:val="004F3A8E"/>
    <w:rsid w:val="004F6736"/>
    <w:rsid w:val="004F68FB"/>
    <w:rsid w:val="004F789C"/>
    <w:rsid w:val="004F7C37"/>
    <w:rsid w:val="00501EDD"/>
    <w:rsid w:val="00504F15"/>
    <w:rsid w:val="00511EEB"/>
    <w:rsid w:val="00513644"/>
    <w:rsid w:val="00517833"/>
    <w:rsid w:val="005205A8"/>
    <w:rsid w:val="00521DBF"/>
    <w:rsid w:val="005240E8"/>
    <w:rsid w:val="00524F20"/>
    <w:rsid w:val="00526C25"/>
    <w:rsid w:val="00531733"/>
    <w:rsid w:val="00531ACB"/>
    <w:rsid w:val="005320A7"/>
    <w:rsid w:val="00532DDF"/>
    <w:rsid w:val="00533D4D"/>
    <w:rsid w:val="00534355"/>
    <w:rsid w:val="00541DF6"/>
    <w:rsid w:val="00545CFB"/>
    <w:rsid w:val="005475EE"/>
    <w:rsid w:val="00550B89"/>
    <w:rsid w:val="00552604"/>
    <w:rsid w:val="00565082"/>
    <w:rsid w:val="005651D5"/>
    <w:rsid w:val="0056717B"/>
    <w:rsid w:val="00572698"/>
    <w:rsid w:val="00575C98"/>
    <w:rsid w:val="005761FF"/>
    <w:rsid w:val="0057701E"/>
    <w:rsid w:val="005822C5"/>
    <w:rsid w:val="0058466B"/>
    <w:rsid w:val="005847EC"/>
    <w:rsid w:val="00584814"/>
    <w:rsid w:val="00587B84"/>
    <w:rsid w:val="0059076E"/>
    <w:rsid w:val="0059162B"/>
    <w:rsid w:val="0059515F"/>
    <w:rsid w:val="00596C1F"/>
    <w:rsid w:val="005A2AD3"/>
    <w:rsid w:val="005A4489"/>
    <w:rsid w:val="005A48F6"/>
    <w:rsid w:val="005A78C4"/>
    <w:rsid w:val="005B33B0"/>
    <w:rsid w:val="005B39FD"/>
    <w:rsid w:val="005C1062"/>
    <w:rsid w:val="005C21D3"/>
    <w:rsid w:val="005C224B"/>
    <w:rsid w:val="005C3E60"/>
    <w:rsid w:val="005C4C10"/>
    <w:rsid w:val="005C5267"/>
    <w:rsid w:val="005C7312"/>
    <w:rsid w:val="005D0C16"/>
    <w:rsid w:val="005D0ECD"/>
    <w:rsid w:val="005D142D"/>
    <w:rsid w:val="005D41AB"/>
    <w:rsid w:val="005D46EF"/>
    <w:rsid w:val="005D5769"/>
    <w:rsid w:val="005E0837"/>
    <w:rsid w:val="005E0E1D"/>
    <w:rsid w:val="005E1F1C"/>
    <w:rsid w:val="005E2FA0"/>
    <w:rsid w:val="005E39B9"/>
    <w:rsid w:val="005E4FB0"/>
    <w:rsid w:val="005E7050"/>
    <w:rsid w:val="005F04B1"/>
    <w:rsid w:val="005F095F"/>
    <w:rsid w:val="005F296F"/>
    <w:rsid w:val="006010A4"/>
    <w:rsid w:val="00602ECA"/>
    <w:rsid w:val="00606839"/>
    <w:rsid w:val="00615798"/>
    <w:rsid w:val="00616A16"/>
    <w:rsid w:val="006217B4"/>
    <w:rsid w:val="00624F60"/>
    <w:rsid w:val="00626ECF"/>
    <w:rsid w:val="00631D32"/>
    <w:rsid w:val="00632EE3"/>
    <w:rsid w:val="0063464C"/>
    <w:rsid w:val="00634D5E"/>
    <w:rsid w:val="006363C7"/>
    <w:rsid w:val="0064381A"/>
    <w:rsid w:val="00650445"/>
    <w:rsid w:val="006512C1"/>
    <w:rsid w:val="0065273C"/>
    <w:rsid w:val="006629DF"/>
    <w:rsid w:val="00663585"/>
    <w:rsid w:val="00666B46"/>
    <w:rsid w:val="00672125"/>
    <w:rsid w:val="00672D8F"/>
    <w:rsid w:val="00674877"/>
    <w:rsid w:val="006756F4"/>
    <w:rsid w:val="006771DE"/>
    <w:rsid w:val="00680861"/>
    <w:rsid w:val="006820AB"/>
    <w:rsid w:val="0068562C"/>
    <w:rsid w:val="006910CB"/>
    <w:rsid w:val="0069118A"/>
    <w:rsid w:val="00692D54"/>
    <w:rsid w:val="00694467"/>
    <w:rsid w:val="006949EF"/>
    <w:rsid w:val="00695FC0"/>
    <w:rsid w:val="006A2B1B"/>
    <w:rsid w:val="006A3049"/>
    <w:rsid w:val="006A30AB"/>
    <w:rsid w:val="006A31B2"/>
    <w:rsid w:val="006A3505"/>
    <w:rsid w:val="006A3CFC"/>
    <w:rsid w:val="006A61E1"/>
    <w:rsid w:val="006A7D20"/>
    <w:rsid w:val="006B1D5D"/>
    <w:rsid w:val="006B5A20"/>
    <w:rsid w:val="006C02B0"/>
    <w:rsid w:val="006C0B67"/>
    <w:rsid w:val="006C400B"/>
    <w:rsid w:val="006C4D67"/>
    <w:rsid w:val="006D2BE5"/>
    <w:rsid w:val="006D60FF"/>
    <w:rsid w:val="006D71E8"/>
    <w:rsid w:val="006E218E"/>
    <w:rsid w:val="006E5582"/>
    <w:rsid w:val="006E7D05"/>
    <w:rsid w:val="006F38C0"/>
    <w:rsid w:val="00700B96"/>
    <w:rsid w:val="00701B1A"/>
    <w:rsid w:val="0070241B"/>
    <w:rsid w:val="007039A4"/>
    <w:rsid w:val="00704A38"/>
    <w:rsid w:val="007059CF"/>
    <w:rsid w:val="007109FE"/>
    <w:rsid w:val="00711011"/>
    <w:rsid w:val="007111EE"/>
    <w:rsid w:val="0071469E"/>
    <w:rsid w:val="0071637C"/>
    <w:rsid w:val="00716CD9"/>
    <w:rsid w:val="00717018"/>
    <w:rsid w:val="00717E02"/>
    <w:rsid w:val="007200C0"/>
    <w:rsid w:val="007210A8"/>
    <w:rsid w:val="0072296D"/>
    <w:rsid w:val="0073116E"/>
    <w:rsid w:val="007345F6"/>
    <w:rsid w:val="00735272"/>
    <w:rsid w:val="007415DB"/>
    <w:rsid w:val="007429CA"/>
    <w:rsid w:val="00742C4C"/>
    <w:rsid w:val="007435F3"/>
    <w:rsid w:val="00744B0B"/>
    <w:rsid w:val="007501F2"/>
    <w:rsid w:val="00754DDC"/>
    <w:rsid w:val="00755F67"/>
    <w:rsid w:val="007611DB"/>
    <w:rsid w:val="00763F78"/>
    <w:rsid w:val="007652E7"/>
    <w:rsid w:val="00767E56"/>
    <w:rsid w:val="00772981"/>
    <w:rsid w:val="0077314C"/>
    <w:rsid w:val="007767F5"/>
    <w:rsid w:val="00780C24"/>
    <w:rsid w:val="0078683D"/>
    <w:rsid w:val="00786B2D"/>
    <w:rsid w:val="0078725B"/>
    <w:rsid w:val="00791E77"/>
    <w:rsid w:val="007977F5"/>
    <w:rsid w:val="007A29E5"/>
    <w:rsid w:val="007A35AD"/>
    <w:rsid w:val="007A3724"/>
    <w:rsid w:val="007A3A8A"/>
    <w:rsid w:val="007A5218"/>
    <w:rsid w:val="007B045C"/>
    <w:rsid w:val="007B2678"/>
    <w:rsid w:val="007B27FC"/>
    <w:rsid w:val="007B5418"/>
    <w:rsid w:val="007B697D"/>
    <w:rsid w:val="007C44E2"/>
    <w:rsid w:val="007C7DA5"/>
    <w:rsid w:val="007D02DA"/>
    <w:rsid w:val="007D1E97"/>
    <w:rsid w:val="007D59A9"/>
    <w:rsid w:val="007E4196"/>
    <w:rsid w:val="007F1BB6"/>
    <w:rsid w:val="007F743B"/>
    <w:rsid w:val="007F7E16"/>
    <w:rsid w:val="00800254"/>
    <w:rsid w:val="00800C4A"/>
    <w:rsid w:val="008012D6"/>
    <w:rsid w:val="0080452C"/>
    <w:rsid w:val="0080763B"/>
    <w:rsid w:val="00813934"/>
    <w:rsid w:val="00813D8E"/>
    <w:rsid w:val="00814DEB"/>
    <w:rsid w:val="00816C0C"/>
    <w:rsid w:val="00821B53"/>
    <w:rsid w:val="0082522E"/>
    <w:rsid w:val="008255CA"/>
    <w:rsid w:val="0082676A"/>
    <w:rsid w:val="00827D8F"/>
    <w:rsid w:val="008306E2"/>
    <w:rsid w:val="00832769"/>
    <w:rsid w:val="008344C5"/>
    <w:rsid w:val="00841106"/>
    <w:rsid w:val="00863A5E"/>
    <w:rsid w:val="00864762"/>
    <w:rsid w:val="00872283"/>
    <w:rsid w:val="00872573"/>
    <w:rsid w:val="00874ED9"/>
    <w:rsid w:val="00876007"/>
    <w:rsid w:val="00876B09"/>
    <w:rsid w:val="008778C1"/>
    <w:rsid w:val="00877EFE"/>
    <w:rsid w:val="00880EFF"/>
    <w:rsid w:val="00881A0E"/>
    <w:rsid w:val="0088445B"/>
    <w:rsid w:val="00885D95"/>
    <w:rsid w:val="00890281"/>
    <w:rsid w:val="008954D5"/>
    <w:rsid w:val="008A0588"/>
    <w:rsid w:val="008A112F"/>
    <w:rsid w:val="008A3460"/>
    <w:rsid w:val="008A6494"/>
    <w:rsid w:val="008B55D5"/>
    <w:rsid w:val="008B7933"/>
    <w:rsid w:val="008B7BBC"/>
    <w:rsid w:val="008C0295"/>
    <w:rsid w:val="008C12B2"/>
    <w:rsid w:val="008C12C1"/>
    <w:rsid w:val="008C437B"/>
    <w:rsid w:val="008C45D1"/>
    <w:rsid w:val="008D0F0B"/>
    <w:rsid w:val="008D1D16"/>
    <w:rsid w:val="008D6C26"/>
    <w:rsid w:val="008D6F84"/>
    <w:rsid w:val="008E03FC"/>
    <w:rsid w:val="008E455B"/>
    <w:rsid w:val="008E7BBD"/>
    <w:rsid w:val="008F256A"/>
    <w:rsid w:val="008F58C0"/>
    <w:rsid w:val="008F5CC1"/>
    <w:rsid w:val="00902F40"/>
    <w:rsid w:val="00905298"/>
    <w:rsid w:val="00907874"/>
    <w:rsid w:val="00912E17"/>
    <w:rsid w:val="00913717"/>
    <w:rsid w:val="00914299"/>
    <w:rsid w:val="0092666F"/>
    <w:rsid w:val="009305F4"/>
    <w:rsid w:val="009318E8"/>
    <w:rsid w:val="00932C3C"/>
    <w:rsid w:val="0093317D"/>
    <w:rsid w:val="0093413F"/>
    <w:rsid w:val="00934C70"/>
    <w:rsid w:val="00935A71"/>
    <w:rsid w:val="009371A4"/>
    <w:rsid w:val="00940733"/>
    <w:rsid w:val="00940954"/>
    <w:rsid w:val="0094721C"/>
    <w:rsid w:val="00947FC8"/>
    <w:rsid w:val="009540A4"/>
    <w:rsid w:val="00954AAC"/>
    <w:rsid w:val="00954CF6"/>
    <w:rsid w:val="00954FFE"/>
    <w:rsid w:val="009616FA"/>
    <w:rsid w:val="00963396"/>
    <w:rsid w:val="00963A5D"/>
    <w:rsid w:val="00964D77"/>
    <w:rsid w:val="00972A9A"/>
    <w:rsid w:val="00973841"/>
    <w:rsid w:val="00975416"/>
    <w:rsid w:val="009756E5"/>
    <w:rsid w:val="00976581"/>
    <w:rsid w:val="00977B92"/>
    <w:rsid w:val="0098204C"/>
    <w:rsid w:val="00982CB9"/>
    <w:rsid w:val="00983816"/>
    <w:rsid w:val="009843B1"/>
    <w:rsid w:val="009900F1"/>
    <w:rsid w:val="00991F5F"/>
    <w:rsid w:val="00993EB1"/>
    <w:rsid w:val="009A22A9"/>
    <w:rsid w:val="009A3299"/>
    <w:rsid w:val="009B1F40"/>
    <w:rsid w:val="009B589C"/>
    <w:rsid w:val="009C4386"/>
    <w:rsid w:val="009C6303"/>
    <w:rsid w:val="009C6D1E"/>
    <w:rsid w:val="009C75DF"/>
    <w:rsid w:val="009D0D70"/>
    <w:rsid w:val="009D0DB6"/>
    <w:rsid w:val="009D398E"/>
    <w:rsid w:val="009D4F12"/>
    <w:rsid w:val="009D5625"/>
    <w:rsid w:val="009E2EC2"/>
    <w:rsid w:val="009F18DB"/>
    <w:rsid w:val="009F2D21"/>
    <w:rsid w:val="009F3AF7"/>
    <w:rsid w:val="009F546B"/>
    <w:rsid w:val="009F7606"/>
    <w:rsid w:val="00A002E9"/>
    <w:rsid w:val="00A03009"/>
    <w:rsid w:val="00A04B3E"/>
    <w:rsid w:val="00A05AA7"/>
    <w:rsid w:val="00A06674"/>
    <w:rsid w:val="00A16A0B"/>
    <w:rsid w:val="00A1794E"/>
    <w:rsid w:val="00A24FF4"/>
    <w:rsid w:val="00A30F65"/>
    <w:rsid w:val="00A310DA"/>
    <w:rsid w:val="00A339D0"/>
    <w:rsid w:val="00A42047"/>
    <w:rsid w:val="00A42E2F"/>
    <w:rsid w:val="00A44A64"/>
    <w:rsid w:val="00A52664"/>
    <w:rsid w:val="00A54274"/>
    <w:rsid w:val="00A542EA"/>
    <w:rsid w:val="00A56052"/>
    <w:rsid w:val="00A61132"/>
    <w:rsid w:val="00A61C84"/>
    <w:rsid w:val="00A64358"/>
    <w:rsid w:val="00A64479"/>
    <w:rsid w:val="00A65787"/>
    <w:rsid w:val="00A65D8F"/>
    <w:rsid w:val="00A67E15"/>
    <w:rsid w:val="00A67E7B"/>
    <w:rsid w:val="00A713AC"/>
    <w:rsid w:val="00A71A26"/>
    <w:rsid w:val="00A761C1"/>
    <w:rsid w:val="00A8088B"/>
    <w:rsid w:val="00A813EF"/>
    <w:rsid w:val="00A92308"/>
    <w:rsid w:val="00A930C8"/>
    <w:rsid w:val="00A96D81"/>
    <w:rsid w:val="00A97125"/>
    <w:rsid w:val="00AA4931"/>
    <w:rsid w:val="00AA7188"/>
    <w:rsid w:val="00AB49E4"/>
    <w:rsid w:val="00AC04C9"/>
    <w:rsid w:val="00AC11C7"/>
    <w:rsid w:val="00AC64E4"/>
    <w:rsid w:val="00AD51A0"/>
    <w:rsid w:val="00AD5D9E"/>
    <w:rsid w:val="00AD76E7"/>
    <w:rsid w:val="00AE3CC2"/>
    <w:rsid w:val="00AF0C24"/>
    <w:rsid w:val="00AF191D"/>
    <w:rsid w:val="00AF1AEF"/>
    <w:rsid w:val="00AF3C67"/>
    <w:rsid w:val="00AF51BB"/>
    <w:rsid w:val="00AF5396"/>
    <w:rsid w:val="00AF66E2"/>
    <w:rsid w:val="00AF7359"/>
    <w:rsid w:val="00B063B6"/>
    <w:rsid w:val="00B07A59"/>
    <w:rsid w:val="00B07BE9"/>
    <w:rsid w:val="00B11F8C"/>
    <w:rsid w:val="00B14700"/>
    <w:rsid w:val="00B15A46"/>
    <w:rsid w:val="00B17C2B"/>
    <w:rsid w:val="00B17C85"/>
    <w:rsid w:val="00B17CA0"/>
    <w:rsid w:val="00B257F8"/>
    <w:rsid w:val="00B26100"/>
    <w:rsid w:val="00B26E2C"/>
    <w:rsid w:val="00B277BF"/>
    <w:rsid w:val="00B30CAC"/>
    <w:rsid w:val="00B31A05"/>
    <w:rsid w:val="00B31E09"/>
    <w:rsid w:val="00B337C3"/>
    <w:rsid w:val="00B35722"/>
    <w:rsid w:val="00B35A51"/>
    <w:rsid w:val="00B369FD"/>
    <w:rsid w:val="00B40403"/>
    <w:rsid w:val="00B40489"/>
    <w:rsid w:val="00B404EE"/>
    <w:rsid w:val="00B45C90"/>
    <w:rsid w:val="00B45F90"/>
    <w:rsid w:val="00B473D2"/>
    <w:rsid w:val="00B476DB"/>
    <w:rsid w:val="00B51A73"/>
    <w:rsid w:val="00B52780"/>
    <w:rsid w:val="00B541B4"/>
    <w:rsid w:val="00B55695"/>
    <w:rsid w:val="00B605D3"/>
    <w:rsid w:val="00B62214"/>
    <w:rsid w:val="00B6409C"/>
    <w:rsid w:val="00B6440A"/>
    <w:rsid w:val="00B64F97"/>
    <w:rsid w:val="00B64FE5"/>
    <w:rsid w:val="00B6776F"/>
    <w:rsid w:val="00B713E6"/>
    <w:rsid w:val="00B71C98"/>
    <w:rsid w:val="00B74996"/>
    <w:rsid w:val="00B80D21"/>
    <w:rsid w:val="00B81BFA"/>
    <w:rsid w:val="00B821F7"/>
    <w:rsid w:val="00B860E8"/>
    <w:rsid w:val="00B92353"/>
    <w:rsid w:val="00BA16F8"/>
    <w:rsid w:val="00BA1D74"/>
    <w:rsid w:val="00BA3673"/>
    <w:rsid w:val="00BB12F5"/>
    <w:rsid w:val="00BB4FAF"/>
    <w:rsid w:val="00BB57C3"/>
    <w:rsid w:val="00BB57FD"/>
    <w:rsid w:val="00BB7E41"/>
    <w:rsid w:val="00BC0174"/>
    <w:rsid w:val="00BC14DB"/>
    <w:rsid w:val="00BC17E6"/>
    <w:rsid w:val="00BC3EB6"/>
    <w:rsid w:val="00BD0E1A"/>
    <w:rsid w:val="00BD37A1"/>
    <w:rsid w:val="00BD3DDD"/>
    <w:rsid w:val="00BD6746"/>
    <w:rsid w:val="00BE142D"/>
    <w:rsid w:val="00BE1F9B"/>
    <w:rsid w:val="00BE3E3C"/>
    <w:rsid w:val="00BE7E5C"/>
    <w:rsid w:val="00BF15F0"/>
    <w:rsid w:val="00C015A4"/>
    <w:rsid w:val="00C02970"/>
    <w:rsid w:val="00C02F94"/>
    <w:rsid w:val="00C0402E"/>
    <w:rsid w:val="00C04A4F"/>
    <w:rsid w:val="00C06B9F"/>
    <w:rsid w:val="00C11F29"/>
    <w:rsid w:val="00C1295B"/>
    <w:rsid w:val="00C130AC"/>
    <w:rsid w:val="00C2233C"/>
    <w:rsid w:val="00C230C3"/>
    <w:rsid w:val="00C23FAC"/>
    <w:rsid w:val="00C248E3"/>
    <w:rsid w:val="00C25F4A"/>
    <w:rsid w:val="00C34A79"/>
    <w:rsid w:val="00C351FE"/>
    <w:rsid w:val="00C357DF"/>
    <w:rsid w:val="00C36302"/>
    <w:rsid w:val="00C410F6"/>
    <w:rsid w:val="00C439F2"/>
    <w:rsid w:val="00C50C86"/>
    <w:rsid w:val="00C52992"/>
    <w:rsid w:val="00C52E3B"/>
    <w:rsid w:val="00C55A2B"/>
    <w:rsid w:val="00C55F85"/>
    <w:rsid w:val="00C57B06"/>
    <w:rsid w:val="00C57D73"/>
    <w:rsid w:val="00C6486B"/>
    <w:rsid w:val="00C6748B"/>
    <w:rsid w:val="00C72D4C"/>
    <w:rsid w:val="00C73E22"/>
    <w:rsid w:val="00C815AC"/>
    <w:rsid w:val="00C81E66"/>
    <w:rsid w:val="00C82A04"/>
    <w:rsid w:val="00C82AD7"/>
    <w:rsid w:val="00C85F0D"/>
    <w:rsid w:val="00C91993"/>
    <w:rsid w:val="00C93A05"/>
    <w:rsid w:val="00C93B72"/>
    <w:rsid w:val="00CA1643"/>
    <w:rsid w:val="00CA37E2"/>
    <w:rsid w:val="00CA403F"/>
    <w:rsid w:val="00CA430D"/>
    <w:rsid w:val="00CA6E4A"/>
    <w:rsid w:val="00CA72DF"/>
    <w:rsid w:val="00CB1692"/>
    <w:rsid w:val="00CB37BF"/>
    <w:rsid w:val="00CB7325"/>
    <w:rsid w:val="00CC0358"/>
    <w:rsid w:val="00CC0B7A"/>
    <w:rsid w:val="00CC32C2"/>
    <w:rsid w:val="00CC41D6"/>
    <w:rsid w:val="00CC65AD"/>
    <w:rsid w:val="00CD2C5A"/>
    <w:rsid w:val="00CD3B60"/>
    <w:rsid w:val="00CD3C73"/>
    <w:rsid w:val="00CD5533"/>
    <w:rsid w:val="00CD65DF"/>
    <w:rsid w:val="00CE0EA6"/>
    <w:rsid w:val="00CE4A38"/>
    <w:rsid w:val="00CE6A18"/>
    <w:rsid w:val="00CE7F67"/>
    <w:rsid w:val="00CF34C5"/>
    <w:rsid w:val="00CF482B"/>
    <w:rsid w:val="00CF4A90"/>
    <w:rsid w:val="00CF5BC5"/>
    <w:rsid w:val="00D008BB"/>
    <w:rsid w:val="00D0108B"/>
    <w:rsid w:val="00D02120"/>
    <w:rsid w:val="00D03116"/>
    <w:rsid w:val="00D0565C"/>
    <w:rsid w:val="00D06FEE"/>
    <w:rsid w:val="00D126E6"/>
    <w:rsid w:val="00D14641"/>
    <w:rsid w:val="00D16BFA"/>
    <w:rsid w:val="00D17ECB"/>
    <w:rsid w:val="00D2215E"/>
    <w:rsid w:val="00D245A2"/>
    <w:rsid w:val="00D24DA9"/>
    <w:rsid w:val="00D25A29"/>
    <w:rsid w:val="00D279BC"/>
    <w:rsid w:val="00D31E90"/>
    <w:rsid w:val="00D328B5"/>
    <w:rsid w:val="00D356E5"/>
    <w:rsid w:val="00D3736F"/>
    <w:rsid w:val="00D374C7"/>
    <w:rsid w:val="00D43426"/>
    <w:rsid w:val="00D449E5"/>
    <w:rsid w:val="00D45B6E"/>
    <w:rsid w:val="00D46CA6"/>
    <w:rsid w:val="00D47B44"/>
    <w:rsid w:val="00D51901"/>
    <w:rsid w:val="00D519E1"/>
    <w:rsid w:val="00D5235B"/>
    <w:rsid w:val="00D55998"/>
    <w:rsid w:val="00D61DAC"/>
    <w:rsid w:val="00D625E1"/>
    <w:rsid w:val="00D638F6"/>
    <w:rsid w:val="00D642FA"/>
    <w:rsid w:val="00D655F3"/>
    <w:rsid w:val="00D65A00"/>
    <w:rsid w:val="00D67FFB"/>
    <w:rsid w:val="00D717DF"/>
    <w:rsid w:val="00D71F5F"/>
    <w:rsid w:val="00D720B5"/>
    <w:rsid w:val="00D81CA0"/>
    <w:rsid w:val="00D823FE"/>
    <w:rsid w:val="00D9488B"/>
    <w:rsid w:val="00D96CCD"/>
    <w:rsid w:val="00D9713B"/>
    <w:rsid w:val="00DA189A"/>
    <w:rsid w:val="00DA5D1C"/>
    <w:rsid w:val="00DB25DF"/>
    <w:rsid w:val="00DB54CF"/>
    <w:rsid w:val="00DC1A0E"/>
    <w:rsid w:val="00DC1DA2"/>
    <w:rsid w:val="00DC5C62"/>
    <w:rsid w:val="00DD0679"/>
    <w:rsid w:val="00DD0AEE"/>
    <w:rsid w:val="00DD16F0"/>
    <w:rsid w:val="00DD33D7"/>
    <w:rsid w:val="00DD379A"/>
    <w:rsid w:val="00DD5BCD"/>
    <w:rsid w:val="00DD7FB0"/>
    <w:rsid w:val="00DE026B"/>
    <w:rsid w:val="00DE1496"/>
    <w:rsid w:val="00DE3AB5"/>
    <w:rsid w:val="00DE3E67"/>
    <w:rsid w:val="00DE500A"/>
    <w:rsid w:val="00DE60BB"/>
    <w:rsid w:val="00DE7A21"/>
    <w:rsid w:val="00DF2C60"/>
    <w:rsid w:val="00DF55E6"/>
    <w:rsid w:val="00DF71C0"/>
    <w:rsid w:val="00E032AB"/>
    <w:rsid w:val="00E033A9"/>
    <w:rsid w:val="00E054E9"/>
    <w:rsid w:val="00E0594E"/>
    <w:rsid w:val="00E065FB"/>
    <w:rsid w:val="00E075A2"/>
    <w:rsid w:val="00E11A33"/>
    <w:rsid w:val="00E15291"/>
    <w:rsid w:val="00E16171"/>
    <w:rsid w:val="00E16610"/>
    <w:rsid w:val="00E178A4"/>
    <w:rsid w:val="00E2279D"/>
    <w:rsid w:val="00E2645D"/>
    <w:rsid w:val="00E2763C"/>
    <w:rsid w:val="00E3191D"/>
    <w:rsid w:val="00E32713"/>
    <w:rsid w:val="00E40F58"/>
    <w:rsid w:val="00E44420"/>
    <w:rsid w:val="00E46F08"/>
    <w:rsid w:val="00E47E4D"/>
    <w:rsid w:val="00E50A48"/>
    <w:rsid w:val="00E52F13"/>
    <w:rsid w:val="00E555BA"/>
    <w:rsid w:val="00E5648C"/>
    <w:rsid w:val="00E56F99"/>
    <w:rsid w:val="00E56FA4"/>
    <w:rsid w:val="00E60305"/>
    <w:rsid w:val="00E64508"/>
    <w:rsid w:val="00E67271"/>
    <w:rsid w:val="00E67470"/>
    <w:rsid w:val="00E70077"/>
    <w:rsid w:val="00E70C32"/>
    <w:rsid w:val="00E7170C"/>
    <w:rsid w:val="00E73CCA"/>
    <w:rsid w:val="00E760CC"/>
    <w:rsid w:val="00E81023"/>
    <w:rsid w:val="00E81E78"/>
    <w:rsid w:val="00E82F2B"/>
    <w:rsid w:val="00E836AD"/>
    <w:rsid w:val="00E84DCB"/>
    <w:rsid w:val="00E869C3"/>
    <w:rsid w:val="00E91B40"/>
    <w:rsid w:val="00E94D21"/>
    <w:rsid w:val="00E95208"/>
    <w:rsid w:val="00EA064B"/>
    <w:rsid w:val="00EA0B10"/>
    <w:rsid w:val="00EB390B"/>
    <w:rsid w:val="00EB489B"/>
    <w:rsid w:val="00EB4A1F"/>
    <w:rsid w:val="00EC3A33"/>
    <w:rsid w:val="00EC7D73"/>
    <w:rsid w:val="00ED12C2"/>
    <w:rsid w:val="00ED3761"/>
    <w:rsid w:val="00ED39B3"/>
    <w:rsid w:val="00ED3C25"/>
    <w:rsid w:val="00ED7A60"/>
    <w:rsid w:val="00EE2E08"/>
    <w:rsid w:val="00EE6A26"/>
    <w:rsid w:val="00EF1433"/>
    <w:rsid w:val="00EF64A8"/>
    <w:rsid w:val="00EF7992"/>
    <w:rsid w:val="00EF7C85"/>
    <w:rsid w:val="00F0098E"/>
    <w:rsid w:val="00F02B56"/>
    <w:rsid w:val="00F05470"/>
    <w:rsid w:val="00F05E14"/>
    <w:rsid w:val="00F06135"/>
    <w:rsid w:val="00F065D2"/>
    <w:rsid w:val="00F10B2E"/>
    <w:rsid w:val="00F124DD"/>
    <w:rsid w:val="00F1518F"/>
    <w:rsid w:val="00F15C98"/>
    <w:rsid w:val="00F16EAB"/>
    <w:rsid w:val="00F1732C"/>
    <w:rsid w:val="00F24B23"/>
    <w:rsid w:val="00F35C1C"/>
    <w:rsid w:val="00F377F4"/>
    <w:rsid w:val="00F4583F"/>
    <w:rsid w:val="00F507BA"/>
    <w:rsid w:val="00F5424E"/>
    <w:rsid w:val="00F56296"/>
    <w:rsid w:val="00F664C6"/>
    <w:rsid w:val="00F7444B"/>
    <w:rsid w:val="00F75FD8"/>
    <w:rsid w:val="00F7674E"/>
    <w:rsid w:val="00F76A6D"/>
    <w:rsid w:val="00F7772A"/>
    <w:rsid w:val="00F77F75"/>
    <w:rsid w:val="00F8205D"/>
    <w:rsid w:val="00F8478C"/>
    <w:rsid w:val="00F849B3"/>
    <w:rsid w:val="00F856B4"/>
    <w:rsid w:val="00F90D65"/>
    <w:rsid w:val="00F91C7C"/>
    <w:rsid w:val="00F936C1"/>
    <w:rsid w:val="00F94BA8"/>
    <w:rsid w:val="00F94C13"/>
    <w:rsid w:val="00F9520F"/>
    <w:rsid w:val="00F97CA4"/>
    <w:rsid w:val="00FA02CC"/>
    <w:rsid w:val="00FA09D7"/>
    <w:rsid w:val="00FA1BD5"/>
    <w:rsid w:val="00FA572B"/>
    <w:rsid w:val="00FA5749"/>
    <w:rsid w:val="00FA5D18"/>
    <w:rsid w:val="00FB2108"/>
    <w:rsid w:val="00FB2B03"/>
    <w:rsid w:val="00FC1311"/>
    <w:rsid w:val="00FC1315"/>
    <w:rsid w:val="00FC3D59"/>
    <w:rsid w:val="00FC40AC"/>
    <w:rsid w:val="00FC6B60"/>
    <w:rsid w:val="00FE2B0C"/>
    <w:rsid w:val="00FE2C86"/>
    <w:rsid w:val="00FE4147"/>
    <w:rsid w:val="00FF119E"/>
    <w:rsid w:val="00FF14C5"/>
    <w:rsid w:val="00FF2B38"/>
    <w:rsid w:val="00FF42A5"/>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32E95DA6"/>
  <w15:docId w15:val="{E8588DAC-E0DD-4B0D-9853-6EBD08E7A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cs-CZ"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FollowedHyperlink" w:uiPriority="99"/>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19" w:qFormat="1"/>
    <w:lsdException w:name="Intense Emphasis" w:uiPriority="44"/>
    <w:lsdException w:name="Subtle Reference" w:uiPriority="45"/>
    <w:lsdException w:name="Intense Reference" w:uiPriority="40"/>
    <w:lsdException w:name="Book Title" w:uiPriority="46"/>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lny">
    <w:name w:val="Normal"/>
    <w:qFormat/>
    <w:rsid w:val="00876B09"/>
    <w:rPr>
      <w:rFonts w:ascii="Arial" w:hAnsi="Arial"/>
      <w:sz w:val="22"/>
      <w:lang w:val="sk-SK" w:eastAsia="sk-SK"/>
    </w:rPr>
  </w:style>
  <w:style w:type="paragraph" w:styleId="Nadpis1">
    <w:name w:val="heading 1"/>
    <w:aliases w:val="HLAVNA KAPITOLA"/>
    <w:basedOn w:val="Normlny"/>
    <w:next w:val="Nadpis2"/>
    <w:link w:val="Nadpis1Char"/>
    <w:autoRedefine/>
    <w:qFormat/>
    <w:rsid w:val="00165ED7"/>
    <w:pPr>
      <w:keepNext/>
      <w:tabs>
        <w:tab w:val="num" w:pos="0"/>
      </w:tabs>
      <w:suppressAutoHyphens/>
      <w:outlineLvl w:val="0"/>
    </w:pPr>
    <w:rPr>
      <w:rFonts w:asciiTheme="majorHAnsi" w:hAnsiTheme="majorHAnsi" w:cstheme="majorHAnsi"/>
      <w:b/>
      <w:bCs/>
      <w:kern w:val="32"/>
    </w:rPr>
  </w:style>
  <w:style w:type="paragraph" w:styleId="Nadpis2">
    <w:name w:val="heading 2"/>
    <w:aliases w:val="Názov kapitoly"/>
    <w:basedOn w:val="Normlny"/>
    <w:next w:val="Normlny"/>
    <w:link w:val="Nadpis2Char"/>
    <w:qFormat/>
    <w:rsid w:val="00876B09"/>
    <w:pPr>
      <w:keepNext/>
      <w:numPr>
        <w:ilvl w:val="1"/>
        <w:numId w:val="1"/>
      </w:numPr>
      <w:overflowPunct w:val="0"/>
      <w:autoSpaceDE w:val="0"/>
      <w:autoSpaceDN w:val="0"/>
      <w:adjustRightInd w:val="0"/>
      <w:spacing w:before="160" w:after="40"/>
      <w:textAlignment w:val="baseline"/>
      <w:outlineLvl w:val="1"/>
    </w:pPr>
    <w:rPr>
      <w:rFonts w:ascii="Times New Roman" w:hAnsi="Times New Roman" w:cs="Arial"/>
      <w:b/>
      <w:bCs/>
      <w:iCs/>
      <w:sz w:val="20"/>
      <w:szCs w:val="28"/>
      <w:lang w:val="cs-CZ"/>
    </w:rPr>
  </w:style>
  <w:style w:type="paragraph" w:styleId="Nadpis3">
    <w:name w:val="heading 3"/>
    <w:aliases w:val="Názov podkapitoly"/>
    <w:basedOn w:val="Normlny"/>
    <w:next w:val="Normlny"/>
    <w:link w:val="Nadpis3Char"/>
    <w:qFormat/>
    <w:rsid w:val="00876B09"/>
    <w:pPr>
      <w:keepNext/>
      <w:numPr>
        <w:ilvl w:val="2"/>
        <w:numId w:val="1"/>
      </w:numPr>
      <w:overflowPunct w:val="0"/>
      <w:autoSpaceDE w:val="0"/>
      <w:autoSpaceDN w:val="0"/>
      <w:adjustRightInd w:val="0"/>
      <w:spacing w:before="240" w:after="60"/>
      <w:textAlignment w:val="baseline"/>
      <w:outlineLvl w:val="2"/>
    </w:pPr>
    <w:rPr>
      <w:rFonts w:ascii="Times New Roman" w:hAnsi="Times New Roman"/>
      <w:sz w:val="20"/>
      <w:lang w:val="cs-CZ"/>
    </w:rPr>
  </w:style>
  <w:style w:type="paragraph" w:styleId="Nadpis4">
    <w:name w:val="heading 4"/>
    <w:basedOn w:val="Normlny"/>
    <w:next w:val="Normlny"/>
    <w:link w:val="Nadpis4Char"/>
    <w:unhideWhenUsed/>
    <w:qFormat/>
    <w:rsid w:val="00C57D73"/>
    <w:pPr>
      <w:keepNext/>
      <w:keepLines/>
      <w:spacing w:before="40"/>
      <w:outlineLvl w:val="3"/>
    </w:pPr>
    <w:rPr>
      <w:rFonts w:asciiTheme="majorHAnsi" w:eastAsiaTheme="majorEastAsia" w:hAnsiTheme="majorHAnsi" w:cstheme="majorBidi"/>
      <w:i/>
      <w:iCs/>
      <w:color w:val="365F91" w:themeColor="accent1" w:themeShade="BF"/>
    </w:rPr>
  </w:style>
  <w:style w:type="paragraph" w:styleId="Nadpis5">
    <w:name w:val="heading 5"/>
    <w:basedOn w:val="Normlny"/>
    <w:next w:val="Normlny"/>
    <w:link w:val="Nadpis5Char"/>
    <w:qFormat/>
    <w:rsid w:val="00ED3761"/>
    <w:pPr>
      <w:keepNext/>
      <w:widowControl w:val="0"/>
      <w:tabs>
        <w:tab w:val="num" w:pos="0"/>
      </w:tabs>
      <w:suppressAutoHyphens/>
      <w:autoSpaceDE w:val="0"/>
      <w:jc w:val="both"/>
      <w:outlineLvl w:val="4"/>
    </w:pPr>
    <w:rPr>
      <w:rFonts w:ascii="Courier New" w:hAnsi="Courier New" w:cs="Courier New"/>
      <w:b/>
      <w:sz w:val="16"/>
      <w:szCs w:val="16"/>
      <w:lang w:eastAsia="ar-SA"/>
    </w:rPr>
  </w:style>
  <w:style w:type="paragraph" w:styleId="Nadpis6">
    <w:name w:val="heading 6"/>
    <w:basedOn w:val="Normlny"/>
    <w:next w:val="Normlny"/>
    <w:link w:val="Nadpis6Char"/>
    <w:qFormat/>
    <w:rsid w:val="00ED3761"/>
    <w:pPr>
      <w:keepNext/>
      <w:tabs>
        <w:tab w:val="num" w:pos="0"/>
      </w:tabs>
      <w:suppressAutoHyphens/>
      <w:spacing w:before="40" w:after="20"/>
      <w:jc w:val="both"/>
      <w:outlineLvl w:val="5"/>
    </w:pPr>
    <w:rPr>
      <w:rFonts w:ascii="Times New Roman" w:hAnsi="Times New Roman"/>
      <w:b/>
      <w:sz w:val="20"/>
      <w:lang w:eastAsia="ar-SA"/>
    </w:rPr>
  </w:style>
  <w:style w:type="paragraph" w:styleId="Nadpis7">
    <w:name w:val="heading 7"/>
    <w:basedOn w:val="Normlny"/>
    <w:next w:val="Normlny"/>
    <w:link w:val="Nadpis7Char"/>
    <w:qFormat/>
    <w:rsid w:val="00155242"/>
    <w:pPr>
      <w:overflowPunct w:val="0"/>
      <w:autoSpaceDE w:val="0"/>
      <w:autoSpaceDN w:val="0"/>
      <w:adjustRightInd w:val="0"/>
      <w:spacing w:before="240" w:after="60"/>
      <w:jc w:val="both"/>
      <w:textAlignment w:val="baseline"/>
      <w:outlineLvl w:val="6"/>
    </w:pPr>
    <w:rPr>
      <w:sz w:val="20"/>
    </w:rPr>
  </w:style>
  <w:style w:type="paragraph" w:styleId="Nadpis8">
    <w:name w:val="heading 8"/>
    <w:basedOn w:val="Normlny"/>
    <w:next w:val="Normlny"/>
    <w:link w:val="Nadpis8Char"/>
    <w:qFormat/>
    <w:rsid w:val="00155242"/>
    <w:pPr>
      <w:overflowPunct w:val="0"/>
      <w:autoSpaceDE w:val="0"/>
      <w:autoSpaceDN w:val="0"/>
      <w:adjustRightInd w:val="0"/>
      <w:spacing w:before="240" w:after="60"/>
      <w:jc w:val="both"/>
      <w:textAlignment w:val="baseline"/>
      <w:outlineLvl w:val="7"/>
    </w:pPr>
    <w:rPr>
      <w:i/>
      <w:sz w:val="20"/>
    </w:rPr>
  </w:style>
  <w:style w:type="paragraph" w:styleId="Nadpis9">
    <w:name w:val="heading 9"/>
    <w:basedOn w:val="Normlny"/>
    <w:next w:val="Normlny"/>
    <w:link w:val="Nadpis9Char"/>
    <w:qFormat/>
    <w:rsid w:val="00155242"/>
    <w:pPr>
      <w:overflowPunct w:val="0"/>
      <w:autoSpaceDE w:val="0"/>
      <w:autoSpaceDN w:val="0"/>
      <w:adjustRightInd w:val="0"/>
      <w:spacing w:before="240" w:after="60"/>
      <w:jc w:val="both"/>
      <w:textAlignment w:val="baseline"/>
      <w:outlineLvl w:val="8"/>
    </w:pPr>
    <w:rPr>
      <w:b/>
      <w:i/>
      <w:sz w:val="18"/>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Normal13">
    <w:name w:val="Normal 13"/>
    <w:basedOn w:val="Normlny"/>
    <w:rsid w:val="00876B09"/>
    <w:pPr>
      <w:overflowPunct w:val="0"/>
      <w:autoSpaceDE w:val="0"/>
      <w:autoSpaceDN w:val="0"/>
      <w:adjustRightInd w:val="0"/>
      <w:spacing w:line="360" w:lineRule="atLeast"/>
      <w:jc w:val="both"/>
      <w:textAlignment w:val="baseline"/>
    </w:pPr>
    <w:rPr>
      <w:rFonts w:ascii="Times New Roman" w:hAnsi="Times New Roman"/>
      <w:sz w:val="26"/>
      <w:lang w:val="cs-CZ"/>
    </w:rPr>
  </w:style>
  <w:style w:type="paragraph" w:styleId="Zkladntext">
    <w:name w:val="Body Text"/>
    <w:basedOn w:val="Normlny"/>
    <w:link w:val="ZkladntextChar"/>
    <w:rsid w:val="00876B09"/>
    <w:pPr>
      <w:widowControl w:val="0"/>
      <w:overflowPunct w:val="0"/>
      <w:autoSpaceDE w:val="0"/>
      <w:autoSpaceDN w:val="0"/>
      <w:adjustRightInd w:val="0"/>
      <w:ind w:left="737"/>
      <w:jc w:val="both"/>
      <w:textAlignment w:val="baseline"/>
    </w:pPr>
    <w:rPr>
      <w:rFonts w:ascii="Times New Roman" w:hAnsi="Times New Roman"/>
      <w:color w:val="000000"/>
      <w:sz w:val="20"/>
      <w:lang w:val="cs-CZ"/>
    </w:rPr>
  </w:style>
  <w:style w:type="paragraph" w:customStyle="1" w:styleId="Text2">
    <w:name w:val="Text 2"/>
    <w:rsid w:val="00876B09"/>
    <w:pPr>
      <w:widowControl w:val="0"/>
      <w:overflowPunct w:val="0"/>
      <w:autoSpaceDE w:val="0"/>
      <w:autoSpaceDN w:val="0"/>
      <w:adjustRightInd w:val="0"/>
      <w:jc w:val="both"/>
      <w:textAlignment w:val="baseline"/>
    </w:pPr>
    <w:rPr>
      <w:color w:val="000000"/>
      <w:sz w:val="24"/>
      <w:lang w:eastAsia="sk-SK"/>
    </w:rPr>
  </w:style>
  <w:style w:type="character" w:styleId="Hypertextovprepojenie">
    <w:name w:val="Hyperlink"/>
    <w:rsid w:val="007A29E5"/>
    <w:rPr>
      <w:color w:val="0000FF"/>
      <w:u w:val="single"/>
    </w:rPr>
  </w:style>
  <w:style w:type="character" w:customStyle="1" w:styleId="apple-converted-space">
    <w:name w:val="apple-converted-space"/>
    <w:rsid w:val="00A42E2F"/>
  </w:style>
  <w:style w:type="paragraph" w:styleId="Zarkazkladnhotextu">
    <w:name w:val="Body Text Indent"/>
    <w:basedOn w:val="Normlny"/>
    <w:link w:val="ZarkazkladnhotextuChar"/>
    <w:rsid w:val="00F0098E"/>
    <w:pPr>
      <w:spacing w:after="120"/>
      <w:ind w:left="283"/>
    </w:pPr>
  </w:style>
  <w:style w:type="character" w:customStyle="1" w:styleId="ZarkazkladnhotextuChar">
    <w:name w:val="Zarážka základného textu Char"/>
    <w:link w:val="Zarkazkladnhotextu"/>
    <w:rsid w:val="00F0098E"/>
    <w:rPr>
      <w:rFonts w:ascii="Arial" w:hAnsi="Arial"/>
      <w:sz w:val="22"/>
    </w:rPr>
  </w:style>
  <w:style w:type="paragraph" w:customStyle="1" w:styleId="13">
    <w:name w:val="13"/>
    <w:basedOn w:val="Normlny"/>
    <w:rsid w:val="003F2986"/>
    <w:pPr>
      <w:spacing w:line="360" w:lineRule="atLeast"/>
      <w:jc w:val="both"/>
    </w:pPr>
    <w:rPr>
      <w:rFonts w:ascii="Times New Roman" w:hAnsi="Times New Roman"/>
      <w:snapToGrid w:val="0"/>
      <w:sz w:val="26"/>
      <w:lang w:val="cs-CZ" w:eastAsia="cs-CZ"/>
    </w:rPr>
  </w:style>
  <w:style w:type="paragraph" w:customStyle="1" w:styleId="Zkladntext3">
    <w:name w:val="Základní text 3"/>
    <w:basedOn w:val="Normlny"/>
    <w:rsid w:val="006A61E1"/>
    <w:pPr>
      <w:suppressAutoHyphens/>
      <w:spacing w:line="360" w:lineRule="auto"/>
    </w:pPr>
    <w:rPr>
      <w:i/>
      <w:iCs/>
      <w:sz w:val="20"/>
      <w:szCs w:val="24"/>
      <w:lang w:eastAsia="cs-CZ"/>
    </w:rPr>
  </w:style>
  <w:style w:type="paragraph" w:customStyle="1" w:styleId="Seznamsodrkami">
    <w:name w:val="Seznam s odrážkami"/>
    <w:basedOn w:val="Normlny"/>
    <w:rsid w:val="006A61E1"/>
    <w:pPr>
      <w:numPr>
        <w:numId w:val="2"/>
      </w:numPr>
      <w:suppressAutoHyphens/>
      <w:spacing w:line="360" w:lineRule="auto"/>
    </w:pPr>
    <w:rPr>
      <w:sz w:val="20"/>
      <w:lang w:eastAsia="cs-CZ"/>
    </w:rPr>
  </w:style>
  <w:style w:type="paragraph" w:styleId="Zkladntext2">
    <w:name w:val="Body Text 2"/>
    <w:basedOn w:val="Normlny"/>
    <w:link w:val="Zkladntext2Char"/>
    <w:rsid w:val="004D0E6B"/>
    <w:pPr>
      <w:spacing w:after="120" w:line="480" w:lineRule="auto"/>
    </w:pPr>
  </w:style>
  <w:style w:type="character" w:customStyle="1" w:styleId="Zkladntext2Char">
    <w:name w:val="Základný text 2 Char"/>
    <w:link w:val="Zkladntext2"/>
    <w:rsid w:val="004D0E6B"/>
    <w:rPr>
      <w:rFonts w:ascii="Arial" w:hAnsi="Arial"/>
      <w:sz w:val="22"/>
    </w:rPr>
  </w:style>
  <w:style w:type="paragraph" w:styleId="Odsekzoznamu">
    <w:name w:val="List Paragraph"/>
    <w:basedOn w:val="Normlny"/>
    <w:uiPriority w:val="34"/>
    <w:qFormat/>
    <w:rsid w:val="004D0E6B"/>
    <w:pPr>
      <w:ind w:left="720"/>
      <w:contextualSpacing/>
    </w:pPr>
    <w:rPr>
      <w:rFonts w:ascii="Cambria" w:hAnsi="Cambria"/>
      <w:sz w:val="28"/>
      <w:szCs w:val="24"/>
    </w:rPr>
  </w:style>
  <w:style w:type="paragraph" w:customStyle="1" w:styleId="Podnadpis">
    <w:name w:val="Podnadpis"/>
    <w:basedOn w:val="Nadpis1"/>
    <w:link w:val="PodnadpisChar"/>
    <w:qFormat/>
    <w:rsid w:val="004D0E6B"/>
    <w:pPr>
      <w:spacing w:line="360" w:lineRule="auto"/>
    </w:pPr>
    <w:rPr>
      <w:rFonts w:ascii="Cambria" w:eastAsia="Arial Unicode MS" w:hAnsi="Cambria" w:cs="Times New Roman"/>
      <w:bCs w:val="0"/>
      <w:caps/>
      <w:kern w:val="0"/>
      <w:sz w:val="28"/>
      <w:szCs w:val="28"/>
      <w:lang w:eastAsia="cs-CZ"/>
    </w:rPr>
  </w:style>
  <w:style w:type="paragraph" w:customStyle="1" w:styleId="PNCambria">
    <w:name w:val="PN Cambria"/>
    <w:basedOn w:val="Nadpis1"/>
    <w:link w:val="PNCambriaChar"/>
    <w:qFormat/>
    <w:rsid w:val="004D0E6B"/>
    <w:pPr>
      <w:spacing w:line="360" w:lineRule="auto"/>
    </w:pPr>
    <w:rPr>
      <w:rFonts w:ascii="Cambria" w:eastAsia="Arial Unicode MS" w:hAnsi="Cambria" w:cs="Times New Roman"/>
      <w:bCs w:val="0"/>
      <w:caps/>
      <w:kern w:val="0"/>
      <w:sz w:val="28"/>
      <w:szCs w:val="28"/>
      <w:lang w:eastAsia="cs-CZ"/>
    </w:rPr>
  </w:style>
  <w:style w:type="character" w:customStyle="1" w:styleId="PodnadpisChar">
    <w:name w:val="Podnadpis Char"/>
    <w:link w:val="Podnadpis"/>
    <w:rsid w:val="004D0E6B"/>
    <w:rPr>
      <w:rFonts w:ascii="Cambria" w:eastAsia="Arial Unicode MS" w:hAnsi="Cambria"/>
      <w:b/>
      <w:caps/>
      <w:sz w:val="28"/>
      <w:szCs w:val="28"/>
      <w:lang w:eastAsia="cs-CZ"/>
    </w:rPr>
  </w:style>
  <w:style w:type="paragraph" w:customStyle="1" w:styleId="Text">
    <w:name w:val="Text"/>
    <w:basedOn w:val="Zkladntext"/>
    <w:link w:val="TextChar"/>
    <w:qFormat/>
    <w:rsid w:val="004D0E6B"/>
    <w:pPr>
      <w:widowControl/>
      <w:overflowPunct/>
      <w:autoSpaceDE/>
      <w:autoSpaceDN/>
      <w:adjustRightInd/>
      <w:spacing w:line="360" w:lineRule="auto"/>
      <w:ind w:left="0" w:firstLine="450"/>
      <w:textAlignment w:val="auto"/>
    </w:pPr>
    <w:rPr>
      <w:rFonts w:ascii="Cambria" w:hAnsi="Cambria"/>
      <w:color w:val="auto"/>
      <w:sz w:val="26"/>
      <w:szCs w:val="26"/>
      <w:lang w:val="sk-SK" w:eastAsia="cs-CZ"/>
    </w:rPr>
  </w:style>
  <w:style w:type="character" w:customStyle="1" w:styleId="PNCambriaChar">
    <w:name w:val="PN Cambria Char"/>
    <w:link w:val="PNCambria"/>
    <w:rsid w:val="004D0E6B"/>
    <w:rPr>
      <w:rFonts w:ascii="Cambria" w:eastAsia="Arial Unicode MS" w:hAnsi="Cambria"/>
      <w:b/>
      <w:caps/>
      <w:sz w:val="28"/>
      <w:szCs w:val="28"/>
      <w:lang w:eastAsia="cs-CZ"/>
    </w:rPr>
  </w:style>
  <w:style w:type="character" w:customStyle="1" w:styleId="TextChar">
    <w:name w:val="Text Char"/>
    <w:link w:val="Text"/>
    <w:rsid w:val="004D0E6B"/>
    <w:rPr>
      <w:rFonts w:ascii="Cambria" w:hAnsi="Cambria"/>
      <w:sz w:val="26"/>
      <w:szCs w:val="26"/>
      <w:lang w:eastAsia="cs-CZ"/>
    </w:rPr>
  </w:style>
  <w:style w:type="character" w:styleId="Vrazn">
    <w:name w:val="Strong"/>
    <w:uiPriority w:val="22"/>
    <w:qFormat/>
    <w:rsid w:val="004D0E6B"/>
    <w:rPr>
      <w:b/>
      <w:bCs/>
    </w:rPr>
  </w:style>
  <w:style w:type="paragraph" w:styleId="Hlavika">
    <w:name w:val="header"/>
    <w:aliases w:val="Char,1. Zeile,   1. Zeile"/>
    <w:basedOn w:val="Normlny"/>
    <w:link w:val="HlavikaChar"/>
    <w:rsid w:val="00283664"/>
    <w:pPr>
      <w:tabs>
        <w:tab w:val="center" w:pos="4536"/>
        <w:tab w:val="right" w:pos="9072"/>
      </w:tabs>
    </w:pPr>
    <w:rPr>
      <w:rFonts w:ascii="Times New Roman" w:hAnsi="Times New Roman"/>
      <w:sz w:val="20"/>
      <w:lang w:val="cs-CZ"/>
    </w:rPr>
  </w:style>
  <w:style w:type="character" w:customStyle="1" w:styleId="HlavikaChar">
    <w:name w:val="Hlavička Char"/>
    <w:aliases w:val="Char Char,1. Zeile Char,   1. Zeile Char"/>
    <w:link w:val="Hlavika"/>
    <w:rsid w:val="00283664"/>
    <w:rPr>
      <w:lang w:val="cs-CZ"/>
    </w:rPr>
  </w:style>
  <w:style w:type="paragraph" w:styleId="Zkladntext30">
    <w:name w:val="Body Text 3"/>
    <w:basedOn w:val="Normlny"/>
    <w:link w:val="Zkladntext3Char"/>
    <w:rsid w:val="00283664"/>
    <w:pPr>
      <w:spacing w:after="120"/>
    </w:pPr>
    <w:rPr>
      <w:rFonts w:ascii="Times New Roman" w:hAnsi="Times New Roman"/>
      <w:sz w:val="16"/>
      <w:szCs w:val="16"/>
      <w:lang w:val="cs-CZ"/>
    </w:rPr>
  </w:style>
  <w:style w:type="character" w:customStyle="1" w:styleId="Zkladntext3Char">
    <w:name w:val="Základný text 3 Char"/>
    <w:link w:val="Zkladntext30"/>
    <w:rsid w:val="00283664"/>
    <w:rPr>
      <w:sz w:val="16"/>
      <w:szCs w:val="16"/>
      <w:lang w:val="cs-CZ"/>
    </w:rPr>
  </w:style>
  <w:style w:type="numbering" w:customStyle="1" w:styleId="NoList1">
    <w:name w:val="No List1"/>
    <w:next w:val="Bezzoznamu"/>
    <w:semiHidden/>
    <w:rsid w:val="00F849B3"/>
  </w:style>
  <w:style w:type="paragraph" w:styleId="Obsah1">
    <w:name w:val="toc 1"/>
    <w:basedOn w:val="Normlny"/>
    <w:next w:val="Normlny"/>
    <w:autoRedefine/>
    <w:qFormat/>
    <w:rsid w:val="00F849B3"/>
    <w:rPr>
      <w:rFonts w:ascii="Times New Roman" w:hAnsi="Times New Roman"/>
      <w:sz w:val="20"/>
      <w:lang w:eastAsia="cs-CZ"/>
    </w:rPr>
  </w:style>
  <w:style w:type="paragraph" w:styleId="Obsah2">
    <w:name w:val="toc 2"/>
    <w:basedOn w:val="Normlny"/>
    <w:next w:val="Normlny"/>
    <w:autoRedefine/>
    <w:qFormat/>
    <w:rsid w:val="00F849B3"/>
    <w:pPr>
      <w:ind w:left="240"/>
    </w:pPr>
    <w:rPr>
      <w:rFonts w:ascii="Times New Roman" w:hAnsi="Times New Roman"/>
      <w:sz w:val="20"/>
      <w:lang w:eastAsia="cs-CZ"/>
    </w:rPr>
  </w:style>
  <w:style w:type="table" w:styleId="Moderntabuka">
    <w:name w:val="Table Contemporary"/>
    <w:basedOn w:val="Normlnatabuka"/>
    <w:rsid w:val="00F849B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Mriekatabuky7">
    <w:name w:val="Table Grid 7"/>
    <w:basedOn w:val="Normlnatabuka"/>
    <w:rsid w:val="00F849B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ukaakozoznam1">
    <w:name w:val="Table List 1"/>
    <w:basedOn w:val="Normlnatabuka"/>
    <w:rsid w:val="00F849B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Pta">
    <w:name w:val="footer"/>
    <w:basedOn w:val="Normlny"/>
    <w:link w:val="PtaChar"/>
    <w:rsid w:val="00F849B3"/>
    <w:pPr>
      <w:tabs>
        <w:tab w:val="center" w:pos="4536"/>
        <w:tab w:val="right" w:pos="9072"/>
      </w:tabs>
    </w:pPr>
    <w:rPr>
      <w:rFonts w:ascii="Times New Roman" w:hAnsi="Times New Roman"/>
      <w:sz w:val="20"/>
      <w:lang w:eastAsia="cs-CZ"/>
    </w:rPr>
  </w:style>
  <w:style w:type="character" w:customStyle="1" w:styleId="PtaChar">
    <w:name w:val="Päta Char"/>
    <w:link w:val="Pta"/>
    <w:rsid w:val="00F849B3"/>
    <w:rPr>
      <w:lang w:eastAsia="cs-CZ"/>
    </w:rPr>
  </w:style>
  <w:style w:type="character" w:styleId="slostrany">
    <w:name w:val="page number"/>
    <w:rsid w:val="00F849B3"/>
  </w:style>
  <w:style w:type="table" w:styleId="Mriekatabuky">
    <w:name w:val="Table Grid"/>
    <w:basedOn w:val="Normlnatabuka"/>
    <w:rsid w:val="00F849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bubliny">
    <w:name w:val="Balloon Text"/>
    <w:basedOn w:val="Normlny"/>
    <w:link w:val="TextbublinyChar"/>
    <w:rsid w:val="00F849B3"/>
    <w:rPr>
      <w:rFonts w:ascii="Tahoma" w:hAnsi="Tahoma" w:cs="Tahoma"/>
      <w:sz w:val="16"/>
      <w:szCs w:val="16"/>
      <w:lang w:eastAsia="cs-CZ"/>
    </w:rPr>
  </w:style>
  <w:style w:type="character" w:customStyle="1" w:styleId="TextbublinyChar">
    <w:name w:val="Text bubliny Char"/>
    <w:link w:val="Textbubliny"/>
    <w:rsid w:val="00F849B3"/>
    <w:rPr>
      <w:rFonts w:ascii="Tahoma" w:hAnsi="Tahoma" w:cs="Tahoma"/>
      <w:sz w:val="16"/>
      <w:szCs w:val="16"/>
      <w:lang w:eastAsia="cs-CZ"/>
    </w:rPr>
  </w:style>
  <w:style w:type="character" w:customStyle="1" w:styleId="Nadpis2Char">
    <w:name w:val="Nadpis 2 Char"/>
    <w:aliases w:val="Názov kapitoly Char"/>
    <w:link w:val="Nadpis2"/>
    <w:rsid w:val="00F849B3"/>
    <w:rPr>
      <w:rFonts w:cs="Arial"/>
      <w:b/>
      <w:bCs/>
      <w:iCs/>
      <w:szCs w:val="28"/>
      <w:lang w:eastAsia="sk-SK"/>
    </w:rPr>
  </w:style>
  <w:style w:type="paragraph" w:styleId="Zarkazkladnhotextu3">
    <w:name w:val="Body Text Indent 3"/>
    <w:basedOn w:val="Normlny"/>
    <w:link w:val="Zarkazkladnhotextu3Char"/>
    <w:rsid w:val="00F849B3"/>
    <w:pPr>
      <w:ind w:firstLine="567"/>
      <w:jc w:val="both"/>
    </w:pPr>
    <w:rPr>
      <w:rFonts w:ascii="Times New Roman" w:hAnsi="Times New Roman"/>
      <w:lang w:eastAsia="cs-CZ"/>
    </w:rPr>
  </w:style>
  <w:style w:type="character" w:customStyle="1" w:styleId="Zarkazkladnhotextu3Char">
    <w:name w:val="Zarážka základného textu 3 Char"/>
    <w:link w:val="Zarkazkladnhotextu3"/>
    <w:rsid w:val="00F849B3"/>
    <w:rPr>
      <w:sz w:val="22"/>
      <w:lang w:eastAsia="cs-CZ"/>
    </w:rPr>
  </w:style>
  <w:style w:type="paragraph" w:customStyle="1" w:styleId="BodyText21">
    <w:name w:val="Body Text 21"/>
    <w:basedOn w:val="Normlny"/>
    <w:rsid w:val="00357B8C"/>
    <w:pPr>
      <w:suppressAutoHyphens/>
      <w:ind w:firstLine="720"/>
      <w:jc w:val="both"/>
    </w:pPr>
    <w:rPr>
      <w:rFonts w:ascii="Times New Roman" w:hAnsi="Times New Roman"/>
      <w:sz w:val="24"/>
      <w:lang w:eastAsia="ar-SA"/>
    </w:rPr>
  </w:style>
  <w:style w:type="paragraph" w:customStyle="1" w:styleId="Style6">
    <w:name w:val="Style6"/>
    <w:basedOn w:val="Normlny"/>
    <w:uiPriority w:val="99"/>
    <w:rsid w:val="00357B8C"/>
    <w:pPr>
      <w:widowControl w:val="0"/>
      <w:autoSpaceDE w:val="0"/>
      <w:autoSpaceDN w:val="0"/>
      <w:adjustRightInd w:val="0"/>
      <w:spacing w:line="175" w:lineRule="exact"/>
      <w:ind w:firstLine="531"/>
    </w:pPr>
    <w:rPr>
      <w:rFonts w:ascii="Century Gothic" w:hAnsi="Century Gothic"/>
      <w:sz w:val="24"/>
      <w:szCs w:val="24"/>
    </w:rPr>
  </w:style>
  <w:style w:type="table" w:customStyle="1" w:styleId="TableGrid">
    <w:name w:val="TableGrid"/>
    <w:rsid w:val="00E50A48"/>
    <w:rPr>
      <w:rFonts w:asciiTheme="minorHAnsi" w:eastAsiaTheme="minorEastAsia" w:hAnsiTheme="minorHAnsi" w:cstheme="minorBidi"/>
      <w:sz w:val="22"/>
      <w:szCs w:val="22"/>
      <w:lang w:val="sk-SK" w:eastAsia="sk-SK"/>
    </w:rPr>
    <w:tblPr>
      <w:tblCellMar>
        <w:top w:w="0" w:type="dxa"/>
        <w:left w:w="0" w:type="dxa"/>
        <w:bottom w:w="0" w:type="dxa"/>
        <w:right w:w="0" w:type="dxa"/>
      </w:tblCellMar>
    </w:tblPr>
  </w:style>
  <w:style w:type="paragraph" w:customStyle="1" w:styleId="Nadpis">
    <w:name w:val="Nadpis"/>
    <w:rsid w:val="006629DF"/>
    <w:pPr>
      <w:widowControl w:val="0"/>
      <w:autoSpaceDE w:val="0"/>
      <w:autoSpaceDN w:val="0"/>
      <w:adjustRightInd w:val="0"/>
      <w:jc w:val="center"/>
    </w:pPr>
    <w:rPr>
      <w:rFonts w:ascii="Arial" w:hAnsi="Arial" w:cs="Arial"/>
      <w:b/>
      <w:bCs/>
      <w:color w:val="000000"/>
      <w:sz w:val="36"/>
      <w:szCs w:val="36"/>
      <w:lang w:eastAsia="sk-SK"/>
    </w:rPr>
  </w:style>
  <w:style w:type="character" w:customStyle="1" w:styleId="Nadpis4Char">
    <w:name w:val="Nadpis 4 Char"/>
    <w:basedOn w:val="Predvolenpsmoodseku"/>
    <w:link w:val="Nadpis4"/>
    <w:rsid w:val="00C57D73"/>
    <w:rPr>
      <w:rFonts w:asciiTheme="majorHAnsi" w:eastAsiaTheme="majorEastAsia" w:hAnsiTheme="majorHAnsi" w:cstheme="majorBidi"/>
      <w:i/>
      <w:iCs/>
      <w:color w:val="365F91" w:themeColor="accent1" w:themeShade="BF"/>
      <w:sz w:val="22"/>
      <w:lang w:val="sk-SK" w:eastAsia="sk-SK"/>
    </w:rPr>
  </w:style>
  <w:style w:type="paragraph" w:styleId="Zarkazkladnhotextu2">
    <w:name w:val="Body Text Indent 2"/>
    <w:basedOn w:val="Normlny"/>
    <w:link w:val="Zarkazkladnhotextu2Char"/>
    <w:unhideWhenUsed/>
    <w:rsid w:val="00C57D73"/>
    <w:pPr>
      <w:spacing w:after="120" w:line="480" w:lineRule="auto"/>
      <w:ind w:left="283"/>
    </w:pPr>
  </w:style>
  <w:style w:type="character" w:customStyle="1" w:styleId="Zarkazkladnhotextu2Char">
    <w:name w:val="Zarážka základného textu 2 Char"/>
    <w:basedOn w:val="Predvolenpsmoodseku"/>
    <w:link w:val="Zarkazkladnhotextu2"/>
    <w:rsid w:val="00C57D73"/>
    <w:rPr>
      <w:rFonts w:ascii="Arial" w:hAnsi="Arial"/>
      <w:sz w:val="22"/>
      <w:lang w:val="sk-SK" w:eastAsia="sk-SK"/>
    </w:rPr>
  </w:style>
  <w:style w:type="paragraph" w:customStyle="1" w:styleId="tl">
    <w:name w:val="Štýl"/>
    <w:rsid w:val="00C57D73"/>
    <w:pPr>
      <w:widowControl w:val="0"/>
      <w:autoSpaceDE w:val="0"/>
      <w:autoSpaceDN w:val="0"/>
      <w:adjustRightInd w:val="0"/>
    </w:pPr>
    <w:rPr>
      <w:rFonts w:ascii="Arial" w:hAnsi="Arial" w:cs="Arial"/>
      <w:lang w:val="sk-SK" w:eastAsia="sk-SK"/>
    </w:rPr>
  </w:style>
  <w:style w:type="paragraph" w:styleId="Nzov">
    <w:name w:val="Title"/>
    <w:aliases w:val="Názov state,Nadpis2"/>
    <w:basedOn w:val="Normlny"/>
    <w:link w:val="NzovChar"/>
    <w:qFormat/>
    <w:rsid w:val="00C57D73"/>
    <w:pPr>
      <w:overflowPunct w:val="0"/>
      <w:autoSpaceDE w:val="0"/>
      <w:autoSpaceDN w:val="0"/>
      <w:adjustRightInd w:val="0"/>
      <w:jc w:val="center"/>
    </w:pPr>
    <w:rPr>
      <w:rFonts w:ascii="Times New Roman" w:hAnsi="Times New Roman"/>
      <w:b/>
      <w:sz w:val="32"/>
      <w:lang w:val="x-none" w:eastAsia="x-none"/>
    </w:rPr>
  </w:style>
  <w:style w:type="character" w:customStyle="1" w:styleId="NzovChar">
    <w:name w:val="Názov Char"/>
    <w:aliases w:val="Názov state Char,Nadpis2 Char"/>
    <w:basedOn w:val="Predvolenpsmoodseku"/>
    <w:link w:val="Nzov"/>
    <w:rsid w:val="00C57D73"/>
    <w:rPr>
      <w:b/>
      <w:sz w:val="32"/>
      <w:lang w:val="x-none" w:eastAsia="x-none"/>
    </w:rPr>
  </w:style>
  <w:style w:type="character" w:customStyle="1" w:styleId="Nadpis5Char">
    <w:name w:val="Nadpis 5 Char"/>
    <w:basedOn w:val="Predvolenpsmoodseku"/>
    <w:link w:val="Nadpis5"/>
    <w:rsid w:val="00ED3761"/>
    <w:rPr>
      <w:rFonts w:ascii="Courier New" w:hAnsi="Courier New" w:cs="Courier New"/>
      <w:b/>
      <w:sz w:val="16"/>
      <w:szCs w:val="16"/>
      <w:lang w:val="sk-SK" w:eastAsia="ar-SA"/>
    </w:rPr>
  </w:style>
  <w:style w:type="character" w:customStyle="1" w:styleId="Nadpis6Char">
    <w:name w:val="Nadpis 6 Char"/>
    <w:basedOn w:val="Predvolenpsmoodseku"/>
    <w:link w:val="Nadpis6"/>
    <w:rsid w:val="00ED3761"/>
    <w:rPr>
      <w:b/>
      <w:lang w:val="sk-SK" w:eastAsia="ar-SA"/>
    </w:rPr>
  </w:style>
  <w:style w:type="character" w:customStyle="1" w:styleId="Absatz-Standardschriftart">
    <w:name w:val="Absatz-Standardschriftart"/>
    <w:rsid w:val="00ED3761"/>
  </w:style>
  <w:style w:type="character" w:customStyle="1" w:styleId="Standardnpsmoodstavce1">
    <w:name w:val="Standardní písmo odstavce1"/>
    <w:rsid w:val="00ED3761"/>
  </w:style>
  <w:style w:type="character" w:customStyle="1" w:styleId="Symbolypreslovanie">
    <w:name w:val="Symboly pre číslovanie"/>
    <w:rsid w:val="00ED3761"/>
  </w:style>
  <w:style w:type="paragraph" w:styleId="Zoznam">
    <w:name w:val="List"/>
    <w:basedOn w:val="Zkladntext"/>
    <w:rsid w:val="00ED3761"/>
    <w:pPr>
      <w:widowControl/>
      <w:suppressAutoHyphens/>
      <w:overflowPunct/>
      <w:autoSpaceDE/>
      <w:autoSpaceDN/>
      <w:adjustRightInd/>
      <w:ind w:left="0"/>
      <w:textAlignment w:val="auto"/>
    </w:pPr>
    <w:rPr>
      <w:rFonts w:cs="Tahoma"/>
      <w:i/>
      <w:color w:val="auto"/>
      <w:sz w:val="22"/>
      <w:lang w:val="sk-SK" w:eastAsia="ar-SA"/>
    </w:rPr>
  </w:style>
  <w:style w:type="paragraph" w:customStyle="1" w:styleId="Popisok">
    <w:name w:val="Popisok"/>
    <w:basedOn w:val="Normlny"/>
    <w:rsid w:val="00ED3761"/>
    <w:pPr>
      <w:suppressLineNumbers/>
      <w:suppressAutoHyphens/>
      <w:spacing w:before="120" w:after="120"/>
      <w:jc w:val="both"/>
    </w:pPr>
    <w:rPr>
      <w:rFonts w:ascii="Times New Roman" w:hAnsi="Times New Roman" w:cs="Tahoma"/>
      <w:i/>
      <w:iCs/>
      <w:sz w:val="24"/>
      <w:szCs w:val="24"/>
      <w:lang w:eastAsia="ar-SA"/>
    </w:rPr>
  </w:style>
  <w:style w:type="paragraph" w:customStyle="1" w:styleId="Index">
    <w:name w:val="Index"/>
    <w:basedOn w:val="Normlny"/>
    <w:rsid w:val="00ED3761"/>
    <w:pPr>
      <w:suppressLineNumbers/>
      <w:suppressAutoHyphens/>
      <w:jc w:val="both"/>
    </w:pPr>
    <w:rPr>
      <w:rFonts w:ascii="Times New Roman" w:hAnsi="Times New Roman" w:cs="Tahoma"/>
      <w:lang w:eastAsia="ar-SA"/>
    </w:rPr>
  </w:style>
  <w:style w:type="paragraph" w:customStyle="1" w:styleId="Prosttext1">
    <w:name w:val="Prostý text1"/>
    <w:basedOn w:val="Normlny"/>
    <w:rsid w:val="00ED3761"/>
    <w:pPr>
      <w:suppressAutoHyphens/>
    </w:pPr>
    <w:rPr>
      <w:rFonts w:ascii="Courier New" w:hAnsi="Courier New" w:cs="Courier New"/>
      <w:sz w:val="20"/>
      <w:lang w:eastAsia="ar-SA"/>
    </w:rPr>
  </w:style>
  <w:style w:type="paragraph" w:customStyle="1" w:styleId="Obsahtabuky">
    <w:name w:val="Obsah tabuľky"/>
    <w:basedOn w:val="Normlny"/>
    <w:rsid w:val="00ED3761"/>
    <w:pPr>
      <w:suppressLineNumbers/>
      <w:suppressAutoHyphens/>
      <w:jc w:val="both"/>
    </w:pPr>
    <w:rPr>
      <w:rFonts w:ascii="Times New Roman" w:hAnsi="Times New Roman"/>
      <w:lang w:eastAsia="ar-SA"/>
    </w:rPr>
  </w:style>
  <w:style w:type="paragraph" w:customStyle="1" w:styleId="Nadpistabuky">
    <w:name w:val="Nadpis tabuľky"/>
    <w:basedOn w:val="Obsahtabuky"/>
    <w:rsid w:val="00ED3761"/>
    <w:pPr>
      <w:jc w:val="center"/>
    </w:pPr>
    <w:rPr>
      <w:b/>
      <w:bCs/>
      <w:i/>
      <w:iCs/>
    </w:rPr>
  </w:style>
  <w:style w:type="paragraph" w:styleId="Textvysvetlivky">
    <w:name w:val="endnote text"/>
    <w:basedOn w:val="Normlny"/>
    <w:link w:val="TextvysvetlivkyChar"/>
    <w:semiHidden/>
    <w:rsid w:val="00ED3761"/>
    <w:pPr>
      <w:jc w:val="both"/>
    </w:pPr>
    <w:rPr>
      <w:sz w:val="20"/>
      <w:lang w:val="x-none" w:eastAsia="x-none"/>
    </w:rPr>
  </w:style>
  <w:style w:type="character" w:customStyle="1" w:styleId="TextvysvetlivkyChar">
    <w:name w:val="Text vysvetlivky Char"/>
    <w:basedOn w:val="Predvolenpsmoodseku"/>
    <w:link w:val="Textvysvetlivky"/>
    <w:semiHidden/>
    <w:rsid w:val="00ED3761"/>
    <w:rPr>
      <w:rFonts w:ascii="Arial" w:hAnsi="Arial"/>
      <w:lang w:val="x-none" w:eastAsia="x-none"/>
    </w:rPr>
  </w:style>
  <w:style w:type="paragraph" w:customStyle="1" w:styleId="peter">
    <w:name w:val="peter"/>
    <w:rsid w:val="00ED3761"/>
    <w:pPr>
      <w:jc w:val="both"/>
    </w:pPr>
    <w:rPr>
      <w:rFonts w:ascii="Arial" w:hAnsi="Arial"/>
      <w:lang w:val="sk-SK" w:eastAsia="sk-SK"/>
    </w:rPr>
  </w:style>
  <w:style w:type="paragraph" w:customStyle="1" w:styleId="Odstavecseseznamem">
    <w:name w:val="Odstavec se seznamem"/>
    <w:basedOn w:val="Normlny"/>
    <w:uiPriority w:val="34"/>
    <w:qFormat/>
    <w:rsid w:val="00ED3761"/>
    <w:pPr>
      <w:spacing w:after="200" w:line="276" w:lineRule="auto"/>
      <w:ind w:left="720"/>
      <w:contextualSpacing/>
    </w:pPr>
    <w:rPr>
      <w:rFonts w:ascii="Calibri" w:eastAsia="Calibri" w:hAnsi="Calibri"/>
      <w:szCs w:val="22"/>
      <w:lang w:eastAsia="en-US"/>
    </w:rPr>
  </w:style>
  <w:style w:type="character" w:customStyle="1" w:styleId="Nadpis1Char">
    <w:name w:val="Nadpis 1 Char"/>
    <w:aliases w:val="HLAVNA KAPITOLA Char"/>
    <w:link w:val="Nadpis1"/>
    <w:rsid w:val="00165ED7"/>
    <w:rPr>
      <w:rFonts w:asciiTheme="majorHAnsi" w:hAnsiTheme="majorHAnsi" w:cstheme="majorHAnsi"/>
      <w:b/>
      <w:bCs/>
      <w:kern w:val="32"/>
      <w:sz w:val="22"/>
      <w:lang w:val="sk-SK" w:eastAsia="sk-SK"/>
    </w:rPr>
  </w:style>
  <w:style w:type="paragraph" w:customStyle="1" w:styleId="Zkladntext21">
    <w:name w:val="Základný text 21"/>
    <w:basedOn w:val="Normlny"/>
    <w:rsid w:val="00ED3761"/>
    <w:pPr>
      <w:suppressAutoHyphens/>
      <w:ind w:firstLine="720"/>
      <w:jc w:val="both"/>
    </w:pPr>
    <w:rPr>
      <w:rFonts w:ascii="Times New Roman" w:hAnsi="Times New Roman"/>
      <w:sz w:val="24"/>
      <w:lang w:eastAsia="ar-SA"/>
    </w:rPr>
  </w:style>
  <w:style w:type="paragraph" w:customStyle="1" w:styleId="WW-Zkladntext3">
    <w:name w:val="WW-Základní text 3"/>
    <w:basedOn w:val="Normlny"/>
    <w:rsid w:val="00ED3761"/>
    <w:pPr>
      <w:suppressAutoHyphens/>
      <w:jc w:val="both"/>
    </w:pPr>
    <w:rPr>
      <w:rFonts w:ascii="Times New Roman" w:hAnsi="Times New Roman"/>
      <w:sz w:val="24"/>
      <w:lang w:eastAsia="ar-SA"/>
    </w:rPr>
  </w:style>
  <w:style w:type="paragraph" w:customStyle="1" w:styleId="Zarkazkladnhotextu21">
    <w:name w:val="Zarážka základného textu 21"/>
    <w:basedOn w:val="Normlny"/>
    <w:rsid w:val="00ED3761"/>
    <w:pPr>
      <w:suppressAutoHyphens/>
      <w:ind w:firstLine="851"/>
      <w:jc w:val="both"/>
    </w:pPr>
    <w:rPr>
      <w:rFonts w:ascii="Times New Roman" w:hAnsi="Times New Roman"/>
      <w:sz w:val="24"/>
      <w:lang w:eastAsia="ar-SA"/>
    </w:rPr>
  </w:style>
  <w:style w:type="paragraph" w:customStyle="1" w:styleId="Zarkazkladnhotextu31">
    <w:name w:val="Zarážka základného textu 31"/>
    <w:basedOn w:val="Normlny"/>
    <w:rsid w:val="00ED3761"/>
    <w:pPr>
      <w:pBdr>
        <w:top w:val="single" w:sz="4" w:space="1" w:color="000000"/>
        <w:left w:val="single" w:sz="4" w:space="4" w:color="000000"/>
        <w:bottom w:val="single" w:sz="4" w:space="1" w:color="000000"/>
        <w:right w:val="single" w:sz="4" w:space="4" w:color="000000"/>
      </w:pBdr>
      <w:suppressAutoHyphens/>
      <w:ind w:firstLine="851"/>
      <w:jc w:val="both"/>
    </w:pPr>
    <w:rPr>
      <w:rFonts w:ascii="Times New Roman" w:hAnsi="Times New Roman"/>
      <w:b/>
      <w:sz w:val="24"/>
      <w:lang w:eastAsia="ar-SA"/>
    </w:rPr>
  </w:style>
  <w:style w:type="paragraph" w:styleId="PredformtovanHTML">
    <w:name w:val="HTML Preformatted"/>
    <w:basedOn w:val="Normlny"/>
    <w:link w:val="PredformtovanHTMLChar"/>
    <w:uiPriority w:val="99"/>
    <w:rsid w:val="00ED37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Courier New" w:hAnsi="Courier New"/>
      <w:sz w:val="20"/>
      <w:lang w:eastAsia="ar-SA"/>
    </w:rPr>
  </w:style>
  <w:style w:type="character" w:customStyle="1" w:styleId="PredformtovanHTMLChar">
    <w:name w:val="Predformátované HTML Char"/>
    <w:basedOn w:val="Predvolenpsmoodseku"/>
    <w:link w:val="PredformtovanHTML"/>
    <w:uiPriority w:val="99"/>
    <w:rsid w:val="00ED3761"/>
    <w:rPr>
      <w:rFonts w:ascii="Courier New" w:eastAsia="Courier New" w:hAnsi="Courier New"/>
      <w:lang w:val="sk-SK" w:eastAsia="ar-SA"/>
    </w:rPr>
  </w:style>
  <w:style w:type="character" w:customStyle="1" w:styleId="BezriadkovaniaChar">
    <w:name w:val="Bez riadkovania Char"/>
    <w:link w:val="Bezriadkovania"/>
    <w:uiPriority w:val="1"/>
    <w:locked/>
    <w:rsid w:val="00ED3761"/>
    <w:rPr>
      <w:lang w:val="sk-SK" w:eastAsia="sk-SK"/>
    </w:rPr>
  </w:style>
  <w:style w:type="paragraph" w:styleId="Bezriadkovania">
    <w:name w:val="No Spacing"/>
    <w:link w:val="BezriadkovaniaChar"/>
    <w:uiPriority w:val="1"/>
    <w:qFormat/>
    <w:rsid w:val="00ED3761"/>
    <w:rPr>
      <w:lang w:val="sk-SK" w:eastAsia="sk-SK"/>
    </w:rPr>
  </w:style>
  <w:style w:type="paragraph" w:styleId="Normlnywebov">
    <w:name w:val="Normal (Web)"/>
    <w:basedOn w:val="Normlny"/>
    <w:rsid w:val="00ED3761"/>
    <w:pPr>
      <w:spacing w:before="100" w:beforeAutospacing="1" w:after="100" w:afterAutospacing="1"/>
    </w:pPr>
    <w:rPr>
      <w:rFonts w:ascii="Times New Roman" w:hAnsi="Times New Roman"/>
      <w:sz w:val="24"/>
      <w:szCs w:val="24"/>
    </w:rPr>
  </w:style>
  <w:style w:type="paragraph" w:customStyle="1" w:styleId="Style5">
    <w:name w:val="Style5"/>
    <w:basedOn w:val="Normlny"/>
    <w:uiPriority w:val="99"/>
    <w:rsid w:val="00ED3761"/>
    <w:pPr>
      <w:widowControl w:val="0"/>
      <w:autoSpaceDE w:val="0"/>
      <w:autoSpaceDN w:val="0"/>
      <w:adjustRightInd w:val="0"/>
      <w:spacing w:line="175" w:lineRule="exact"/>
      <w:ind w:firstLine="521"/>
      <w:jc w:val="both"/>
    </w:pPr>
    <w:rPr>
      <w:rFonts w:ascii="Century Gothic" w:hAnsi="Century Gothic"/>
      <w:sz w:val="24"/>
      <w:szCs w:val="24"/>
    </w:rPr>
  </w:style>
  <w:style w:type="character" w:customStyle="1" w:styleId="Nadpis3Char">
    <w:name w:val="Nadpis 3 Char"/>
    <w:aliases w:val="Názov podkapitoly Char"/>
    <w:link w:val="Nadpis3"/>
    <w:rsid w:val="00ED3761"/>
    <w:rPr>
      <w:lang w:eastAsia="sk-SK"/>
    </w:rPr>
  </w:style>
  <w:style w:type="character" w:styleId="Odkaznakomentr">
    <w:name w:val="annotation reference"/>
    <w:rsid w:val="00ED3761"/>
    <w:rPr>
      <w:sz w:val="16"/>
      <w:szCs w:val="16"/>
    </w:rPr>
  </w:style>
  <w:style w:type="paragraph" w:styleId="Textkomentra">
    <w:name w:val="annotation text"/>
    <w:basedOn w:val="Normlny"/>
    <w:link w:val="TextkomentraChar"/>
    <w:rsid w:val="00ED3761"/>
    <w:pPr>
      <w:suppressAutoHyphens/>
      <w:jc w:val="both"/>
    </w:pPr>
    <w:rPr>
      <w:rFonts w:ascii="Times New Roman" w:hAnsi="Times New Roman"/>
      <w:sz w:val="20"/>
      <w:lang w:val="x-none" w:eastAsia="ar-SA"/>
    </w:rPr>
  </w:style>
  <w:style w:type="character" w:customStyle="1" w:styleId="TextkomentraChar">
    <w:name w:val="Text komentára Char"/>
    <w:basedOn w:val="Predvolenpsmoodseku"/>
    <w:link w:val="Textkomentra"/>
    <w:rsid w:val="00ED3761"/>
    <w:rPr>
      <w:lang w:val="x-none" w:eastAsia="ar-SA"/>
    </w:rPr>
  </w:style>
  <w:style w:type="paragraph" w:styleId="Predmetkomentra">
    <w:name w:val="annotation subject"/>
    <w:basedOn w:val="Textkomentra"/>
    <w:next w:val="Textkomentra"/>
    <w:link w:val="PredmetkomentraChar"/>
    <w:uiPriority w:val="99"/>
    <w:rsid w:val="00ED3761"/>
    <w:rPr>
      <w:b/>
      <w:bCs/>
    </w:rPr>
  </w:style>
  <w:style w:type="character" w:customStyle="1" w:styleId="PredmetkomentraChar">
    <w:name w:val="Predmet komentára Char"/>
    <w:basedOn w:val="TextkomentraChar"/>
    <w:link w:val="Predmetkomentra"/>
    <w:uiPriority w:val="99"/>
    <w:rsid w:val="00ED3761"/>
    <w:rPr>
      <w:b/>
      <w:bCs/>
      <w:lang w:val="x-none" w:eastAsia="ar-SA"/>
    </w:rPr>
  </w:style>
  <w:style w:type="character" w:customStyle="1" w:styleId="FontStyle12">
    <w:name w:val="Font Style12"/>
    <w:rsid w:val="00F02B56"/>
    <w:rPr>
      <w:rFonts w:ascii="Times New Roman" w:hAnsi="Times New Roman" w:cs="Times New Roman"/>
      <w:sz w:val="24"/>
      <w:szCs w:val="24"/>
    </w:rPr>
  </w:style>
  <w:style w:type="paragraph" w:customStyle="1" w:styleId="NormalWeb1">
    <w:name w:val="Normal (Web)1"/>
    <w:basedOn w:val="Normlny"/>
    <w:rsid w:val="00D55998"/>
    <w:pPr>
      <w:suppressAutoHyphens/>
    </w:pPr>
    <w:rPr>
      <w:rFonts w:cs="Arial"/>
      <w:sz w:val="24"/>
      <w:lang w:eastAsia="zh-CN"/>
    </w:rPr>
  </w:style>
  <w:style w:type="character" w:styleId="Zvraznenie">
    <w:name w:val="Emphasis"/>
    <w:basedOn w:val="Predvolenpsmoodseku"/>
    <w:uiPriority w:val="20"/>
    <w:qFormat/>
    <w:rsid w:val="0009245A"/>
    <w:rPr>
      <w:i/>
      <w:iCs/>
    </w:rPr>
  </w:style>
  <w:style w:type="character" w:customStyle="1" w:styleId="Predvolenpsmoodseku4">
    <w:name w:val="Predvolené písmo odseku4"/>
    <w:rsid w:val="00800254"/>
  </w:style>
  <w:style w:type="character" w:customStyle="1" w:styleId="Predvolenpsmoodseku2">
    <w:name w:val="Predvolené písmo odseku2"/>
    <w:rsid w:val="00800254"/>
  </w:style>
  <w:style w:type="character" w:customStyle="1" w:styleId="Predvolenpsmoodseku1">
    <w:name w:val="Predvolené písmo odseku1"/>
    <w:rsid w:val="00800254"/>
  </w:style>
  <w:style w:type="character" w:customStyle="1" w:styleId="Predvolenpsmoodseku5">
    <w:name w:val="Predvolené písmo odseku5"/>
    <w:qFormat/>
    <w:rsid w:val="00800254"/>
  </w:style>
  <w:style w:type="paragraph" w:customStyle="1" w:styleId="Standard">
    <w:name w:val="Standard"/>
    <w:rsid w:val="00800254"/>
    <w:pPr>
      <w:widowControl w:val="0"/>
      <w:suppressAutoHyphens/>
      <w:autoSpaceDN w:val="0"/>
      <w:textAlignment w:val="baseline"/>
    </w:pPr>
    <w:rPr>
      <w:rFonts w:ascii="Arial" w:hAnsi="Arial"/>
      <w:kern w:val="3"/>
      <w:sz w:val="24"/>
      <w:lang w:val="sk-SK" w:eastAsia="sk-SK"/>
    </w:rPr>
  </w:style>
  <w:style w:type="paragraph" w:customStyle="1" w:styleId="a">
    <w:basedOn w:val="Normlny"/>
    <w:next w:val="Textvysvetlivky"/>
    <w:link w:val="TextkoncovejpoznmkyChar"/>
    <w:rsid w:val="009371A4"/>
    <w:pPr>
      <w:jc w:val="both"/>
    </w:pPr>
    <w:rPr>
      <w:sz w:val="20"/>
    </w:rPr>
  </w:style>
  <w:style w:type="character" w:customStyle="1" w:styleId="TextkoncovejpoznmkyChar">
    <w:name w:val="Text koncovej poznámky Char"/>
    <w:link w:val="a"/>
    <w:rsid w:val="00B473D2"/>
    <w:rPr>
      <w:rFonts w:ascii="Arial" w:hAnsi="Arial"/>
      <w:lang w:val="sk-SK" w:eastAsia="sk-SK"/>
    </w:rPr>
  </w:style>
  <w:style w:type="paragraph" w:customStyle="1" w:styleId="Zkladntext22">
    <w:name w:val="Základný text 22"/>
    <w:basedOn w:val="Normlny"/>
    <w:rsid w:val="00B473D2"/>
    <w:pPr>
      <w:suppressAutoHyphens/>
      <w:ind w:firstLine="720"/>
      <w:jc w:val="both"/>
    </w:pPr>
    <w:rPr>
      <w:rFonts w:ascii="Times New Roman" w:hAnsi="Times New Roman"/>
      <w:sz w:val="24"/>
      <w:lang w:eastAsia="ar-SA"/>
    </w:rPr>
  </w:style>
  <w:style w:type="paragraph" w:customStyle="1" w:styleId="Zkladntext220">
    <w:name w:val="Základný text 22"/>
    <w:basedOn w:val="Normlny"/>
    <w:rsid w:val="009371A4"/>
    <w:pPr>
      <w:suppressAutoHyphens/>
      <w:ind w:firstLine="720"/>
      <w:jc w:val="both"/>
    </w:pPr>
    <w:rPr>
      <w:rFonts w:ascii="Times New Roman" w:hAnsi="Times New Roman"/>
      <w:sz w:val="24"/>
      <w:lang w:eastAsia="ar-SA"/>
    </w:rPr>
  </w:style>
  <w:style w:type="paragraph" w:styleId="Hlavikaobsahu">
    <w:name w:val="TOC Heading"/>
    <w:basedOn w:val="Nadpis1"/>
    <w:next w:val="Normlny"/>
    <w:uiPriority w:val="39"/>
    <w:unhideWhenUsed/>
    <w:qFormat/>
    <w:rsid w:val="00CC0358"/>
    <w:pPr>
      <w:keepLines/>
      <w:widowControl w:val="0"/>
      <w:tabs>
        <w:tab w:val="left" w:pos="567"/>
      </w:tabs>
      <w:spacing w:after="120" w:line="276" w:lineRule="auto"/>
      <w:ind w:left="567" w:hanging="567"/>
      <w:outlineLvl w:val="9"/>
    </w:pPr>
    <w:rPr>
      <w:rFonts w:ascii="ISOCPEUR" w:eastAsiaTheme="majorEastAsia" w:hAnsi="ISOCPEUR" w:cstheme="majorBidi"/>
      <w:caps/>
      <w:color w:val="000000" w:themeColor="text1"/>
      <w:kern w:val="0"/>
      <w:lang w:eastAsia="en-US"/>
    </w:rPr>
  </w:style>
  <w:style w:type="paragraph" w:styleId="Obsah3">
    <w:name w:val="toc 3"/>
    <w:basedOn w:val="Normlny"/>
    <w:next w:val="Normlny"/>
    <w:autoRedefine/>
    <w:unhideWhenUsed/>
    <w:qFormat/>
    <w:rsid w:val="00CC0358"/>
    <w:pPr>
      <w:widowControl w:val="0"/>
      <w:tabs>
        <w:tab w:val="left" w:pos="567"/>
      </w:tabs>
      <w:overflowPunct w:val="0"/>
      <w:autoSpaceDE w:val="0"/>
      <w:autoSpaceDN w:val="0"/>
      <w:adjustRightInd w:val="0"/>
      <w:spacing w:line="276" w:lineRule="auto"/>
      <w:ind w:left="480"/>
    </w:pPr>
    <w:rPr>
      <w:rFonts w:asciiTheme="minorHAnsi" w:eastAsiaTheme="minorHAnsi" w:hAnsiTheme="minorHAnsi"/>
      <w:sz w:val="20"/>
      <w:lang w:eastAsia="en-US"/>
    </w:rPr>
  </w:style>
  <w:style w:type="character" w:styleId="Zstupntext">
    <w:name w:val="Placeholder Text"/>
    <w:basedOn w:val="Predvolenpsmoodseku"/>
    <w:uiPriority w:val="99"/>
    <w:semiHidden/>
    <w:rsid w:val="00CC0358"/>
    <w:rPr>
      <w:color w:val="808080"/>
    </w:rPr>
  </w:style>
  <w:style w:type="paragraph" w:styleId="Popis">
    <w:name w:val="caption"/>
    <w:basedOn w:val="Normlny"/>
    <w:next w:val="Normlny"/>
    <w:uiPriority w:val="35"/>
    <w:unhideWhenUsed/>
    <w:qFormat/>
    <w:rsid w:val="00CC0358"/>
    <w:pPr>
      <w:widowControl w:val="0"/>
      <w:tabs>
        <w:tab w:val="left" w:pos="567"/>
      </w:tabs>
      <w:overflowPunct w:val="0"/>
      <w:autoSpaceDE w:val="0"/>
      <w:autoSpaceDN w:val="0"/>
      <w:adjustRightInd w:val="0"/>
      <w:jc w:val="both"/>
    </w:pPr>
    <w:rPr>
      <w:rFonts w:ascii="ISOCPEUR" w:eastAsiaTheme="minorHAnsi" w:hAnsi="ISOCPEUR"/>
      <w:bCs/>
      <w:color w:val="000000" w:themeColor="text1"/>
      <w:sz w:val="20"/>
      <w:szCs w:val="18"/>
      <w:lang w:eastAsia="en-US"/>
    </w:rPr>
  </w:style>
  <w:style w:type="paragraph" w:styleId="Zoznamobrzkov">
    <w:name w:val="table of figures"/>
    <w:basedOn w:val="Normlny"/>
    <w:next w:val="Normlny"/>
    <w:uiPriority w:val="99"/>
    <w:unhideWhenUsed/>
    <w:rsid w:val="00CC0358"/>
    <w:pPr>
      <w:widowControl w:val="0"/>
      <w:tabs>
        <w:tab w:val="left" w:pos="567"/>
      </w:tabs>
      <w:overflowPunct w:val="0"/>
      <w:autoSpaceDE w:val="0"/>
      <w:autoSpaceDN w:val="0"/>
      <w:adjustRightInd w:val="0"/>
      <w:spacing w:line="276" w:lineRule="auto"/>
      <w:jc w:val="both"/>
    </w:pPr>
    <w:rPr>
      <w:rFonts w:ascii="ISOCPEUR" w:eastAsiaTheme="minorHAnsi" w:hAnsi="ISOCPEUR"/>
      <w:sz w:val="20"/>
      <w:szCs w:val="24"/>
      <w:lang w:eastAsia="en-US"/>
    </w:rPr>
  </w:style>
  <w:style w:type="paragraph" w:customStyle="1" w:styleId="ZPNazovPrace">
    <w:name w:val="ZP_NazovPrace"/>
    <w:autoRedefine/>
    <w:rsid w:val="00CC0358"/>
    <w:pPr>
      <w:spacing w:line="360" w:lineRule="auto"/>
      <w:jc w:val="center"/>
    </w:pPr>
    <w:rPr>
      <w:b/>
      <w:caps/>
      <w:sz w:val="32"/>
      <w:lang w:val="sk-SK"/>
    </w:rPr>
  </w:style>
  <w:style w:type="paragraph" w:customStyle="1" w:styleId="ZPTitulList">
    <w:name w:val="ZP_TitulList"/>
    <w:autoRedefine/>
    <w:rsid w:val="00CC0358"/>
    <w:pPr>
      <w:spacing w:line="360" w:lineRule="auto"/>
    </w:pPr>
    <w:rPr>
      <w:sz w:val="24"/>
      <w:lang w:val="sk-SK"/>
    </w:rPr>
  </w:style>
  <w:style w:type="paragraph" w:customStyle="1" w:styleId="Default">
    <w:name w:val="Default"/>
    <w:rsid w:val="00CC0358"/>
    <w:pPr>
      <w:autoSpaceDE w:val="0"/>
      <w:autoSpaceDN w:val="0"/>
      <w:adjustRightInd w:val="0"/>
    </w:pPr>
    <w:rPr>
      <w:rFonts w:eastAsiaTheme="minorHAnsi"/>
      <w:color w:val="000000"/>
      <w:sz w:val="24"/>
      <w:szCs w:val="24"/>
      <w:lang w:val="sk-SK"/>
    </w:rPr>
  </w:style>
  <w:style w:type="paragraph" w:styleId="Bibliografia">
    <w:name w:val="Bibliography"/>
    <w:basedOn w:val="Normlny"/>
    <w:next w:val="Normlny"/>
    <w:uiPriority w:val="37"/>
    <w:unhideWhenUsed/>
    <w:rsid w:val="00CC0358"/>
    <w:pPr>
      <w:widowControl w:val="0"/>
      <w:tabs>
        <w:tab w:val="left" w:pos="567"/>
      </w:tabs>
      <w:overflowPunct w:val="0"/>
      <w:autoSpaceDE w:val="0"/>
      <w:autoSpaceDN w:val="0"/>
      <w:adjustRightInd w:val="0"/>
      <w:spacing w:after="160" w:line="259" w:lineRule="auto"/>
    </w:pPr>
    <w:rPr>
      <w:rFonts w:asciiTheme="minorHAnsi" w:eastAsiaTheme="minorHAnsi" w:hAnsiTheme="minorHAnsi"/>
      <w:szCs w:val="24"/>
      <w:lang w:eastAsia="en-US"/>
    </w:rPr>
  </w:style>
  <w:style w:type="character" w:customStyle="1" w:styleId="watch-title">
    <w:name w:val="watch-title"/>
    <w:basedOn w:val="Predvolenpsmoodseku"/>
    <w:rsid w:val="00CC0358"/>
  </w:style>
  <w:style w:type="character" w:customStyle="1" w:styleId="wikiword">
    <w:name w:val="wikiword"/>
    <w:basedOn w:val="Predvolenpsmoodseku"/>
    <w:rsid w:val="00CC0358"/>
  </w:style>
  <w:style w:type="table" w:customStyle="1" w:styleId="Tabukasmriekou1svetlzvraznenie31">
    <w:name w:val="Tabuľka s mriežkou 1 – svetlá – zvýraznenie 31"/>
    <w:basedOn w:val="Normlnatabuka"/>
    <w:uiPriority w:val="46"/>
    <w:rsid w:val="00CC0358"/>
    <w:pPr>
      <w:spacing w:before="240"/>
      <w:jc w:val="both"/>
    </w:pPr>
    <w:rPr>
      <w:rFonts w:eastAsiaTheme="minorHAnsi" w:cstheme="minorBidi"/>
      <w:sz w:val="24"/>
      <w:szCs w:val="18"/>
      <w:lang w:val="sk-SK"/>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Tabukasmriekou1svetl1">
    <w:name w:val="Tabuľka s mriežkou 1 – svetlá1"/>
    <w:basedOn w:val="Normlnatabuka"/>
    <w:uiPriority w:val="46"/>
    <w:rsid w:val="00CC0358"/>
    <w:rPr>
      <w:rFonts w:asciiTheme="minorHAnsi" w:eastAsiaTheme="minorHAnsi" w:hAnsiTheme="minorHAnsi" w:cstheme="minorBidi"/>
      <w:sz w:val="22"/>
      <w:szCs w:val="22"/>
      <w:lang w:val="sk-SK"/>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Podtitul">
    <w:name w:val="Subtitle"/>
    <w:aliases w:val="Nadpis3"/>
    <w:basedOn w:val="Nzov"/>
    <w:next w:val="Normlny"/>
    <w:link w:val="PodtitulChar"/>
    <w:autoRedefine/>
    <w:qFormat/>
    <w:rsid w:val="00CC0358"/>
    <w:pPr>
      <w:keepNext/>
      <w:keepLines/>
      <w:widowControl w:val="0"/>
      <w:tabs>
        <w:tab w:val="left" w:pos="567"/>
        <w:tab w:val="left" w:pos="851"/>
      </w:tabs>
      <w:spacing w:before="200" w:after="120" w:line="276" w:lineRule="auto"/>
      <w:ind w:left="1440" w:hanging="1440"/>
      <w:jc w:val="both"/>
      <w:outlineLvl w:val="2"/>
    </w:pPr>
    <w:rPr>
      <w:rFonts w:ascii="ISOCPEUR" w:eastAsiaTheme="majorEastAsia" w:hAnsi="ISOCPEUR" w:cstheme="majorBidi"/>
      <w:bCs/>
      <w:caps/>
      <w:color w:val="000000" w:themeColor="text1"/>
      <w:sz w:val="26"/>
      <w:lang w:val="sk-SK" w:eastAsia="en-US"/>
    </w:rPr>
  </w:style>
  <w:style w:type="character" w:customStyle="1" w:styleId="PodtitulChar">
    <w:name w:val="Podtitul Char"/>
    <w:aliases w:val="Nadpis3 Char"/>
    <w:basedOn w:val="Predvolenpsmoodseku"/>
    <w:link w:val="Podtitul"/>
    <w:rsid w:val="00CC0358"/>
    <w:rPr>
      <w:rFonts w:ascii="ISOCPEUR" w:eastAsiaTheme="majorEastAsia" w:hAnsi="ISOCPEUR" w:cstheme="majorBidi"/>
      <w:b/>
      <w:bCs/>
      <w:caps/>
      <w:color w:val="000000" w:themeColor="text1"/>
      <w:sz w:val="26"/>
      <w:lang w:val="sk-SK"/>
    </w:rPr>
  </w:style>
  <w:style w:type="character" w:styleId="Jemnzvraznenie">
    <w:name w:val="Subtle Emphasis"/>
    <w:aliases w:val="Nadpis4"/>
    <w:basedOn w:val="Predvolenpsmoodseku"/>
    <w:uiPriority w:val="19"/>
    <w:qFormat/>
    <w:rsid w:val="00CC0358"/>
    <w:rPr>
      <w:rFonts w:ascii="Times New Roman" w:eastAsiaTheme="majorEastAsia" w:hAnsi="Times New Roman" w:cstheme="majorBidi"/>
      <w:b/>
      <w:i w:val="0"/>
      <w:color w:val="auto"/>
      <w:sz w:val="24"/>
      <w:szCs w:val="22"/>
    </w:rPr>
  </w:style>
  <w:style w:type="character" w:customStyle="1" w:styleId="ZkladntextChar">
    <w:name w:val="Základný text Char"/>
    <w:basedOn w:val="Predvolenpsmoodseku"/>
    <w:link w:val="Zkladntext"/>
    <w:rsid w:val="00CC0358"/>
    <w:rPr>
      <w:color w:val="000000"/>
      <w:lang w:eastAsia="sk-SK"/>
    </w:rPr>
  </w:style>
  <w:style w:type="paragraph" w:customStyle="1" w:styleId="odrazka">
    <w:name w:val="odrazka"/>
    <w:basedOn w:val="Normlny"/>
    <w:rsid w:val="00CC0358"/>
    <w:pPr>
      <w:tabs>
        <w:tab w:val="left" w:pos="567"/>
      </w:tabs>
      <w:spacing w:before="100" w:beforeAutospacing="1" w:after="100" w:afterAutospacing="1" w:line="276" w:lineRule="auto"/>
    </w:pPr>
    <w:rPr>
      <w:rFonts w:ascii="ISOCPEUR" w:hAnsi="ISOCPEUR"/>
      <w:sz w:val="20"/>
      <w:szCs w:val="24"/>
    </w:rPr>
  </w:style>
  <w:style w:type="table" w:customStyle="1" w:styleId="Mriekatabukysvetl1">
    <w:name w:val="Mriežka tabuľky – svetlá1"/>
    <w:basedOn w:val="Normlnatabuka"/>
    <w:uiPriority w:val="40"/>
    <w:rsid w:val="00CC0358"/>
    <w:pPr>
      <w:spacing w:before="240"/>
      <w:jc w:val="both"/>
    </w:pPr>
    <w:rPr>
      <w:rFonts w:eastAsiaTheme="minorHAnsi" w:cstheme="minorBidi"/>
      <w:sz w:val="24"/>
      <w:szCs w:val="18"/>
      <w:lang w:val="sk-SK"/>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Obsah4">
    <w:name w:val="toc 4"/>
    <w:basedOn w:val="Normlny"/>
    <w:next w:val="Normlny"/>
    <w:autoRedefine/>
    <w:unhideWhenUsed/>
    <w:rsid w:val="00CC0358"/>
    <w:pPr>
      <w:widowControl w:val="0"/>
      <w:tabs>
        <w:tab w:val="left" w:pos="567"/>
      </w:tabs>
      <w:overflowPunct w:val="0"/>
      <w:autoSpaceDE w:val="0"/>
      <w:autoSpaceDN w:val="0"/>
      <w:adjustRightInd w:val="0"/>
      <w:spacing w:line="276" w:lineRule="auto"/>
      <w:ind w:left="720"/>
    </w:pPr>
    <w:rPr>
      <w:rFonts w:asciiTheme="minorHAnsi" w:eastAsiaTheme="minorHAnsi" w:hAnsiTheme="minorHAnsi"/>
      <w:sz w:val="20"/>
      <w:lang w:eastAsia="en-US"/>
    </w:rPr>
  </w:style>
  <w:style w:type="paragraph" w:styleId="Obsah5">
    <w:name w:val="toc 5"/>
    <w:basedOn w:val="Normlny"/>
    <w:next w:val="Normlny"/>
    <w:autoRedefine/>
    <w:unhideWhenUsed/>
    <w:rsid w:val="00CC0358"/>
    <w:pPr>
      <w:widowControl w:val="0"/>
      <w:tabs>
        <w:tab w:val="left" w:pos="567"/>
      </w:tabs>
      <w:overflowPunct w:val="0"/>
      <w:autoSpaceDE w:val="0"/>
      <w:autoSpaceDN w:val="0"/>
      <w:adjustRightInd w:val="0"/>
      <w:spacing w:line="276" w:lineRule="auto"/>
      <w:ind w:left="960"/>
    </w:pPr>
    <w:rPr>
      <w:rFonts w:asciiTheme="minorHAnsi" w:eastAsiaTheme="minorHAnsi" w:hAnsiTheme="minorHAnsi"/>
      <w:sz w:val="20"/>
      <w:lang w:eastAsia="en-US"/>
    </w:rPr>
  </w:style>
  <w:style w:type="paragraph" w:styleId="Obsah6">
    <w:name w:val="toc 6"/>
    <w:basedOn w:val="Normlny"/>
    <w:next w:val="Normlny"/>
    <w:autoRedefine/>
    <w:unhideWhenUsed/>
    <w:rsid w:val="00CC0358"/>
    <w:pPr>
      <w:widowControl w:val="0"/>
      <w:tabs>
        <w:tab w:val="left" w:pos="567"/>
      </w:tabs>
      <w:overflowPunct w:val="0"/>
      <w:autoSpaceDE w:val="0"/>
      <w:autoSpaceDN w:val="0"/>
      <w:adjustRightInd w:val="0"/>
      <w:spacing w:line="276" w:lineRule="auto"/>
      <w:ind w:left="1200"/>
    </w:pPr>
    <w:rPr>
      <w:rFonts w:asciiTheme="minorHAnsi" w:eastAsiaTheme="minorHAnsi" w:hAnsiTheme="minorHAnsi"/>
      <w:sz w:val="20"/>
      <w:lang w:eastAsia="en-US"/>
    </w:rPr>
  </w:style>
  <w:style w:type="paragraph" w:styleId="Obsah7">
    <w:name w:val="toc 7"/>
    <w:basedOn w:val="Normlny"/>
    <w:next w:val="Normlny"/>
    <w:autoRedefine/>
    <w:unhideWhenUsed/>
    <w:rsid w:val="00CC0358"/>
    <w:pPr>
      <w:widowControl w:val="0"/>
      <w:tabs>
        <w:tab w:val="left" w:pos="567"/>
      </w:tabs>
      <w:overflowPunct w:val="0"/>
      <w:autoSpaceDE w:val="0"/>
      <w:autoSpaceDN w:val="0"/>
      <w:adjustRightInd w:val="0"/>
      <w:spacing w:line="276" w:lineRule="auto"/>
      <w:ind w:left="1440"/>
    </w:pPr>
    <w:rPr>
      <w:rFonts w:asciiTheme="minorHAnsi" w:eastAsiaTheme="minorHAnsi" w:hAnsiTheme="minorHAnsi"/>
      <w:sz w:val="20"/>
      <w:lang w:eastAsia="en-US"/>
    </w:rPr>
  </w:style>
  <w:style w:type="paragraph" w:styleId="Obsah8">
    <w:name w:val="toc 8"/>
    <w:basedOn w:val="Normlny"/>
    <w:next w:val="Normlny"/>
    <w:autoRedefine/>
    <w:unhideWhenUsed/>
    <w:rsid w:val="00CC0358"/>
    <w:pPr>
      <w:widowControl w:val="0"/>
      <w:tabs>
        <w:tab w:val="left" w:pos="567"/>
      </w:tabs>
      <w:overflowPunct w:val="0"/>
      <w:autoSpaceDE w:val="0"/>
      <w:autoSpaceDN w:val="0"/>
      <w:adjustRightInd w:val="0"/>
      <w:spacing w:line="276" w:lineRule="auto"/>
      <w:ind w:left="1680"/>
    </w:pPr>
    <w:rPr>
      <w:rFonts w:asciiTheme="minorHAnsi" w:eastAsiaTheme="minorHAnsi" w:hAnsiTheme="minorHAnsi"/>
      <w:sz w:val="20"/>
      <w:lang w:eastAsia="en-US"/>
    </w:rPr>
  </w:style>
  <w:style w:type="paragraph" w:styleId="Obsah9">
    <w:name w:val="toc 9"/>
    <w:basedOn w:val="Normlny"/>
    <w:next w:val="Normlny"/>
    <w:autoRedefine/>
    <w:unhideWhenUsed/>
    <w:rsid w:val="00CC0358"/>
    <w:pPr>
      <w:widowControl w:val="0"/>
      <w:tabs>
        <w:tab w:val="left" w:pos="567"/>
      </w:tabs>
      <w:overflowPunct w:val="0"/>
      <w:autoSpaceDE w:val="0"/>
      <w:autoSpaceDN w:val="0"/>
      <w:adjustRightInd w:val="0"/>
      <w:spacing w:line="276" w:lineRule="auto"/>
      <w:ind w:left="1920"/>
    </w:pPr>
    <w:rPr>
      <w:rFonts w:asciiTheme="minorHAnsi" w:eastAsiaTheme="minorHAnsi" w:hAnsiTheme="minorHAnsi"/>
      <w:sz w:val="20"/>
      <w:lang w:eastAsia="en-US"/>
    </w:rPr>
  </w:style>
  <w:style w:type="character" w:customStyle="1" w:styleId="Zmienka1">
    <w:name w:val="Zmienka1"/>
    <w:basedOn w:val="Predvolenpsmoodseku"/>
    <w:uiPriority w:val="99"/>
    <w:semiHidden/>
    <w:unhideWhenUsed/>
    <w:rsid w:val="00CC0358"/>
    <w:rPr>
      <w:color w:val="2B579A"/>
      <w:shd w:val="clear" w:color="auto" w:fill="E6E6E6"/>
    </w:rPr>
  </w:style>
  <w:style w:type="character" w:customStyle="1" w:styleId="formtitle">
    <w:name w:val="formtitle"/>
    <w:basedOn w:val="Predvolenpsmoodseku"/>
    <w:rsid w:val="00CC0358"/>
  </w:style>
  <w:style w:type="character" w:customStyle="1" w:styleId="formtext">
    <w:name w:val="formtext"/>
    <w:basedOn w:val="Predvolenpsmoodseku"/>
    <w:rsid w:val="00CC0358"/>
  </w:style>
  <w:style w:type="paragraph" w:customStyle="1" w:styleId="DefaultText">
    <w:name w:val="Default Text"/>
    <w:rsid w:val="00CC0358"/>
    <w:pPr>
      <w:autoSpaceDE w:val="0"/>
      <w:autoSpaceDN w:val="0"/>
      <w:adjustRightInd w:val="0"/>
    </w:pPr>
    <w:rPr>
      <w:color w:val="000000"/>
      <w:sz w:val="24"/>
      <w:szCs w:val="24"/>
      <w:lang w:val="sk-SK" w:eastAsia="sk-SK"/>
    </w:rPr>
  </w:style>
  <w:style w:type="character" w:customStyle="1" w:styleId="highlightedglossaryterm">
    <w:name w:val="highlightedglossaryterm"/>
    <w:basedOn w:val="Predvolenpsmoodseku"/>
    <w:rsid w:val="00CC0358"/>
  </w:style>
  <w:style w:type="character" w:customStyle="1" w:styleId="il">
    <w:name w:val="il"/>
    <w:basedOn w:val="Predvolenpsmoodseku"/>
    <w:rsid w:val="00CC0358"/>
  </w:style>
  <w:style w:type="character" w:customStyle="1" w:styleId="NormlnyzarovnanieChar">
    <w:name w:val="Normálny + zarovnanie Char"/>
    <w:link w:val="Normlnyzarovnanie"/>
    <w:locked/>
    <w:rsid w:val="00CC0358"/>
    <w:rPr>
      <w:rFonts w:ascii="Arial" w:hAnsi="Arial" w:cs="Arial"/>
      <w:sz w:val="24"/>
      <w:lang w:eastAsia="cs-CZ"/>
    </w:rPr>
  </w:style>
  <w:style w:type="paragraph" w:customStyle="1" w:styleId="Normlnyzarovnanie">
    <w:name w:val="Normálny + zarovnanie"/>
    <w:basedOn w:val="Normlny"/>
    <w:link w:val="NormlnyzarovnanieChar"/>
    <w:rsid w:val="00CC0358"/>
    <w:pPr>
      <w:jc w:val="both"/>
    </w:pPr>
    <w:rPr>
      <w:rFonts w:cs="Arial"/>
      <w:sz w:val="24"/>
      <w:lang w:val="cs-CZ" w:eastAsia="cs-CZ"/>
    </w:rPr>
  </w:style>
  <w:style w:type="paragraph" w:customStyle="1" w:styleId="tabulky">
    <w:name w:val="tabulky"/>
    <w:basedOn w:val="Normlny"/>
    <w:rsid w:val="00CC0358"/>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styleId="Zoznam4">
    <w:name w:val="List 4"/>
    <w:basedOn w:val="Normlny"/>
    <w:unhideWhenUsed/>
    <w:rsid w:val="00FF2B38"/>
    <w:pPr>
      <w:ind w:left="1132" w:hanging="283"/>
      <w:contextualSpacing/>
    </w:pPr>
  </w:style>
  <w:style w:type="paragraph" w:customStyle="1" w:styleId="normlny11">
    <w:name w:val="normálny 11"/>
    <w:basedOn w:val="Normlny"/>
    <w:rsid w:val="00FF2B38"/>
    <w:pPr>
      <w:numPr>
        <w:numId w:val="25"/>
      </w:numPr>
      <w:jc w:val="both"/>
    </w:pPr>
    <w:rPr>
      <w:rFonts w:ascii="Times New Roman" w:hAnsi="Times New Roman"/>
      <w:szCs w:val="22"/>
    </w:rPr>
  </w:style>
  <w:style w:type="character" w:customStyle="1" w:styleId="Nadpis7Char">
    <w:name w:val="Nadpis 7 Char"/>
    <w:basedOn w:val="Predvolenpsmoodseku"/>
    <w:link w:val="Nadpis7"/>
    <w:rsid w:val="00155242"/>
    <w:rPr>
      <w:rFonts w:ascii="Arial" w:hAnsi="Arial"/>
      <w:lang w:val="sk-SK" w:eastAsia="sk-SK"/>
    </w:rPr>
  </w:style>
  <w:style w:type="character" w:customStyle="1" w:styleId="Nadpis8Char">
    <w:name w:val="Nadpis 8 Char"/>
    <w:basedOn w:val="Predvolenpsmoodseku"/>
    <w:link w:val="Nadpis8"/>
    <w:rsid w:val="00155242"/>
    <w:rPr>
      <w:rFonts w:ascii="Arial" w:hAnsi="Arial"/>
      <w:i/>
      <w:lang w:val="sk-SK" w:eastAsia="sk-SK"/>
    </w:rPr>
  </w:style>
  <w:style w:type="character" w:customStyle="1" w:styleId="Nadpis9Char">
    <w:name w:val="Nadpis 9 Char"/>
    <w:basedOn w:val="Predvolenpsmoodseku"/>
    <w:link w:val="Nadpis9"/>
    <w:rsid w:val="00155242"/>
    <w:rPr>
      <w:rFonts w:ascii="Arial" w:hAnsi="Arial"/>
      <w:b/>
      <w:i/>
      <w:sz w:val="18"/>
      <w:lang w:val="sk-SK" w:eastAsia="sk-SK"/>
    </w:rPr>
  </w:style>
  <w:style w:type="paragraph" w:customStyle="1" w:styleId="Underlined">
    <w:name w:val="Underlined"/>
    <w:basedOn w:val="Normlny"/>
    <w:next w:val="Normlny"/>
    <w:rsid w:val="00155242"/>
    <w:pPr>
      <w:keepNext/>
      <w:keepLines/>
      <w:overflowPunct w:val="0"/>
      <w:autoSpaceDE w:val="0"/>
      <w:autoSpaceDN w:val="0"/>
      <w:adjustRightInd w:val="0"/>
      <w:spacing w:before="120" w:after="240"/>
      <w:jc w:val="both"/>
      <w:textAlignment w:val="baseline"/>
    </w:pPr>
    <w:rPr>
      <w:b/>
      <w:u w:val="single"/>
    </w:rPr>
  </w:style>
  <w:style w:type="paragraph" w:styleId="Zoznamsodrkami">
    <w:name w:val="List Bullet"/>
    <w:basedOn w:val="Normlny"/>
    <w:rsid w:val="00155242"/>
    <w:pPr>
      <w:overflowPunct w:val="0"/>
      <w:autoSpaceDE w:val="0"/>
      <w:autoSpaceDN w:val="0"/>
      <w:adjustRightInd w:val="0"/>
      <w:spacing w:after="240"/>
      <w:ind w:left="283" w:hanging="283"/>
      <w:jc w:val="both"/>
      <w:textAlignment w:val="baseline"/>
    </w:pPr>
    <w:rPr>
      <w:lang w:val="en-GB"/>
    </w:rPr>
  </w:style>
  <w:style w:type="paragraph" w:customStyle="1" w:styleId="Zkladntext31">
    <w:name w:val="Základný text 31"/>
    <w:basedOn w:val="Normlny"/>
    <w:rsid w:val="00155242"/>
    <w:pPr>
      <w:widowControl w:val="0"/>
      <w:overflowPunct w:val="0"/>
      <w:autoSpaceDE w:val="0"/>
      <w:autoSpaceDN w:val="0"/>
      <w:adjustRightInd w:val="0"/>
      <w:textAlignment w:val="baseline"/>
    </w:pPr>
    <w:rPr>
      <w:rFonts w:ascii="Times New Roman" w:hAnsi="Times New Roman"/>
      <w:sz w:val="24"/>
      <w:lang w:val="cs-CZ"/>
    </w:rPr>
  </w:style>
  <w:style w:type="character" w:customStyle="1" w:styleId="Hypertextovprepojenie1">
    <w:name w:val="Hypertextové prepojenie1"/>
    <w:rsid w:val="00155242"/>
    <w:rPr>
      <w:color w:val="0000FF"/>
      <w:u w:val="single"/>
    </w:rPr>
  </w:style>
  <w:style w:type="paragraph" w:customStyle="1" w:styleId="Zarkazkladnhotextu22">
    <w:name w:val="Zarážka základného textu 22"/>
    <w:basedOn w:val="Normlny"/>
    <w:rsid w:val="00155242"/>
    <w:pPr>
      <w:ind w:firstLine="567"/>
      <w:jc w:val="both"/>
    </w:pPr>
    <w:rPr>
      <w:noProof/>
      <w:lang w:val="en-US"/>
    </w:rPr>
  </w:style>
  <w:style w:type="paragraph" w:styleId="Normlnysozarkami">
    <w:name w:val="Normal Indent"/>
    <w:basedOn w:val="Normlny"/>
    <w:rsid w:val="00155242"/>
    <w:pPr>
      <w:overflowPunct w:val="0"/>
      <w:autoSpaceDE w:val="0"/>
      <w:autoSpaceDN w:val="0"/>
      <w:adjustRightInd w:val="0"/>
      <w:spacing w:after="240"/>
      <w:ind w:left="708"/>
      <w:jc w:val="both"/>
      <w:textAlignment w:val="baseline"/>
    </w:pPr>
  </w:style>
  <w:style w:type="paragraph" w:styleId="Obyajntext">
    <w:name w:val="Plain Text"/>
    <w:basedOn w:val="Normlny"/>
    <w:link w:val="ObyajntextChar"/>
    <w:rsid w:val="00155242"/>
    <w:pPr>
      <w:overflowPunct w:val="0"/>
      <w:autoSpaceDE w:val="0"/>
      <w:autoSpaceDN w:val="0"/>
      <w:adjustRightInd w:val="0"/>
      <w:spacing w:after="240"/>
      <w:jc w:val="both"/>
      <w:textAlignment w:val="baseline"/>
    </w:pPr>
    <w:rPr>
      <w:rFonts w:ascii="Courier New" w:hAnsi="Courier New" w:cs="Courier New"/>
      <w:sz w:val="20"/>
    </w:rPr>
  </w:style>
  <w:style w:type="character" w:customStyle="1" w:styleId="ObyajntextChar">
    <w:name w:val="Obyčajný text Char"/>
    <w:basedOn w:val="Predvolenpsmoodseku"/>
    <w:link w:val="Obyajntext"/>
    <w:rsid w:val="00155242"/>
    <w:rPr>
      <w:rFonts w:ascii="Courier New" w:hAnsi="Courier New" w:cs="Courier New"/>
      <w:lang w:val="sk-SK" w:eastAsia="sk-SK"/>
    </w:rPr>
  </w:style>
  <w:style w:type="paragraph" w:styleId="Zoznamsodrkami2">
    <w:name w:val="List Bullet 2"/>
    <w:basedOn w:val="Normlny"/>
    <w:rsid w:val="00155242"/>
    <w:pPr>
      <w:numPr>
        <w:numId w:val="37"/>
      </w:numPr>
      <w:overflowPunct w:val="0"/>
      <w:autoSpaceDE w:val="0"/>
      <w:autoSpaceDN w:val="0"/>
      <w:adjustRightInd w:val="0"/>
      <w:spacing w:after="240"/>
      <w:jc w:val="both"/>
      <w:textAlignment w:val="baseline"/>
    </w:pPr>
  </w:style>
  <w:style w:type="paragraph" w:styleId="Zoznamsodrkami3">
    <w:name w:val="List Bullet 3"/>
    <w:basedOn w:val="Normlny"/>
    <w:rsid w:val="00155242"/>
    <w:pPr>
      <w:numPr>
        <w:numId w:val="38"/>
      </w:numPr>
      <w:overflowPunct w:val="0"/>
      <w:autoSpaceDE w:val="0"/>
      <w:autoSpaceDN w:val="0"/>
      <w:adjustRightInd w:val="0"/>
      <w:spacing w:after="240"/>
      <w:jc w:val="both"/>
      <w:textAlignment w:val="baseline"/>
    </w:pPr>
  </w:style>
  <w:style w:type="paragraph" w:styleId="Zoznamsodrkami4">
    <w:name w:val="List Bullet 4"/>
    <w:basedOn w:val="Normlny"/>
    <w:rsid w:val="00155242"/>
    <w:pPr>
      <w:numPr>
        <w:numId w:val="39"/>
      </w:numPr>
      <w:overflowPunct w:val="0"/>
      <w:autoSpaceDE w:val="0"/>
      <w:autoSpaceDN w:val="0"/>
      <w:adjustRightInd w:val="0"/>
      <w:spacing w:after="240"/>
      <w:jc w:val="both"/>
      <w:textAlignment w:val="baseline"/>
    </w:pPr>
  </w:style>
  <w:style w:type="paragraph" w:styleId="Zoznam5">
    <w:name w:val="List 5"/>
    <w:basedOn w:val="Normlny"/>
    <w:rsid w:val="00155242"/>
    <w:pPr>
      <w:overflowPunct w:val="0"/>
      <w:autoSpaceDE w:val="0"/>
      <w:autoSpaceDN w:val="0"/>
      <w:adjustRightInd w:val="0"/>
      <w:spacing w:after="240"/>
      <w:ind w:left="1415" w:hanging="283"/>
      <w:jc w:val="both"/>
      <w:textAlignment w:val="baseline"/>
    </w:pPr>
  </w:style>
  <w:style w:type="paragraph" w:styleId="Zoznamsodrkami5">
    <w:name w:val="List Bullet 5"/>
    <w:basedOn w:val="Normlny"/>
    <w:rsid w:val="00155242"/>
    <w:pPr>
      <w:numPr>
        <w:numId w:val="40"/>
      </w:numPr>
      <w:overflowPunct w:val="0"/>
      <w:autoSpaceDE w:val="0"/>
      <w:autoSpaceDN w:val="0"/>
      <w:adjustRightInd w:val="0"/>
      <w:spacing w:after="240"/>
      <w:jc w:val="both"/>
      <w:textAlignment w:val="baseline"/>
    </w:pPr>
  </w:style>
  <w:style w:type="paragraph" w:customStyle="1" w:styleId="hruba">
    <w:name w:val="hruba"/>
    <w:rsid w:val="00155242"/>
    <w:rPr>
      <w:rFonts w:ascii="Bookman Old Style" w:hAnsi="Bookman Old Style"/>
      <w:b/>
      <w:noProof/>
      <w:sz w:val="22"/>
      <w:lang w:val="sk-SK" w:eastAsia="sk-SK"/>
    </w:rPr>
  </w:style>
  <w:style w:type="character" w:styleId="sloriadka">
    <w:name w:val="line number"/>
    <w:basedOn w:val="Predvolenpsmoodseku"/>
    <w:uiPriority w:val="99"/>
    <w:semiHidden/>
    <w:rsid w:val="00ED12C2"/>
  </w:style>
  <w:style w:type="paragraph" w:customStyle="1" w:styleId="a0">
    <w:basedOn w:val="Normlny"/>
    <w:next w:val="Textvysvetlivky"/>
    <w:rsid w:val="00C82AD7"/>
    <w:pPr>
      <w:jc w:val="both"/>
    </w:pPr>
    <w:rPr>
      <w:sz w:val="20"/>
    </w:rPr>
  </w:style>
  <w:style w:type="paragraph" w:customStyle="1" w:styleId="Zkladntext23">
    <w:name w:val="Základný text 23"/>
    <w:basedOn w:val="Normlny"/>
    <w:rsid w:val="00C82AD7"/>
    <w:pPr>
      <w:suppressAutoHyphens/>
      <w:ind w:firstLine="720"/>
      <w:jc w:val="both"/>
    </w:pPr>
    <w:rPr>
      <w:rFonts w:ascii="Times New Roman" w:hAnsi="Times New Roman"/>
      <w:sz w:val="24"/>
      <w:lang w:eastAsia="ar-SA"/>
    </w:rPr>
  </w:style>
  <w:style w:type="paragraph" w:customStyle="1" w:styleId="a1">
    <w:basedOn w:val="Normlny"/>
    <w:next w:val="Textvysvetlivky"/>
    <w:rsid w:val="00780C24"/>
    <w:pPr>
      <w:jc w:val="both"/>
    </w:pPr>
    <w:rPr>
      <w:sz w:val="20"/>
    </w:rPr>
  </w:style>
  <w:style w:type="paragraph" w:customStyle="1" w:styleId="BasicParagraph">
    <w:name w:val="[Basic Paragraph]"/>
    <w:basedOn w:val="Normlny"/>
    <w:uiPriority w:val="99"/>
    <w:rsid w:val="00E82F2B"/>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eastAsia="en-US"/>
    </w:rPr>
  </w:style>
  <w:style w:type="paragraph" w:customStyle="1" w:styleId="Zkladntext24">
    <w:name w:val="Základný text 24"/>
    <w:basedOn w:val="Normlny"/>
    <w:rsid w:val="00EA0B10"/>
    <w:pPr>
      <w:overflowPunct w:val="0"/>
      <w:autoSpaceDE w:val="0"/>
      <w:autoSpaceDN w:val="0"/>
      <w:adjustRightInd w:val="0"/>
      <w:textAlignment w:val="baseline"/>
    </w:pPr>
    <w:rPr>
      <w:b/>
      <w:lang w:val="en-GB"/>
    </w:rPr>
  </w:style>
  <w:style w:type="paragraph" w:customStyle="1" w:styleId="a2">
    <w:basedOn w:val="Normlny"/>
    <w:next w:val="Textvysvetlivky"/>
    <w:rsid w:val="00964D77"/>
    <w:pPr>
      <w:jc w:val="both"/>
    </w:pPr>
    <w:rPr>
      <w:sz w:val="20"/>
    </w:rPr>
  </w:style>
  <w:style w:type="character" w:styleId="PouitHypertextovPrepojenie">
    <w:name w:val="FollowedHyperlink"/>
    <w:basedOn w:val="Predvolenpsmoodseku"/>
    <w:uiPriority w:val="99"/>
    <w:unhideWhenUsed/>
    <w:rsid w:val="00EE6A26"/>
    <w:rPr>
      <w:color w:val="800080" w:themeColor="followedHyperlink"/>
      <w:u w:val="single"/>
    </w:rPr>
  </w:style>
  <w:style w:type="paragraph" w:customStyle="1" w:styleId="Zkladntext25">
    <w:name w:val="Základný text 25"/>
    <w:basedOn w:val="Normlny"/>
    <w:rsid w:val="00165ED7"/>
    <w:pPr>
      <w:widowControl w:val="0"/>
      <w:overflowPunct w:val="0"/>
      <w:autoSpaceDE w:val="0"/>
      <w:autoSpaceDN w:val="0"/>
      <w:adjustRightInd w:val="0"/>
      <w:jc w:val="both"/>
      <w:textAlignment w:val="baseline"/>
    </w:pPr>
    <w:rPr>
      <w:rFonts w:ascii="Times New Roman" w:hAnsi="Times New Roman"/>
      <w:sz w:val="24"/>
      <w:lang w:val="cs-CZ"/>
    </w:rPr>
  </w:style>
  <w:style w:type="paragraph" w:customStyle="1" w:styleId="Zkladntext32">
    <w:name w:val="Základný text 32"/>
    <w:basedOn w:val="Normlny"/>
    <w:rsid w:val="00165ED7"/>
    <w:pPr>
      <w:widowControl w:val="0"/>
      <w:overflowPunct w:val="0"/>
      <w:autoSpaceDE w:val="0"/>
      <w:autoSpaceDN w:val="0"/>
      <w:adjustRightInd w:val="0"/>
      <w:textAlignment w:val="baseline"/>
    </w:pPr>
    <w:rPr>
      <w:rFonts w:ascii="Times New Roman" w:hAnsi="Times New Roman"/>
      <w:sz w:val="24"/>
      <w:lang w:val="cs-CZ"/>
    </w:rPr>
  </w:style>
  <w:style w:type="character" w:customStyle="1" w:styleId="Hypertextovprepojenie2">
    <w:name w:val="Hypertextové prepojenie2"/>
    <w:rsid w:val="00165ED7"/>
    <w:rPr>
      <w:color w:val="0000FF"/>
      <w:u w:val="single"/>
    </w:rPr>
  </w:style>
  <w:style w:type="paragraph" w:customStyle="1" w:styleId="Zarkazkladnhotextu23">
    <w:name w:val="Zarážka základného textu 23"/>
    <w:basedOn w:val="Normlny"/>
    <w:rsid w:val="00165ED7"/>
    <w:pPr>
      <w:ind w:firstLine="567"/>
      <w:jc w:val="both"/>
    </w:pPr>
    <w:rPr>
      <w:noProo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8149238">
      <w:bodyDiv w:val="1"/>
      <w:marLeft w:val="0"/>
      <w:marRight w:val="0"/>
      <w:marTop w:val="0"/>
      <w:marBottom w:val="0"/>
      <w:divBdr>
        <w:top w:val="none" w:sz="0" w:space="0" w:color="auto"/>
        <w:left w:val="none" w:sz="0" w:space="0" w:color="auto"/>
        <w:bottom w:val="none" w:sz="0" w:space="0" w:color="auto"/>
        <w:right w:val="none" w:sz="0" w:space="0" w:color="auto"/>
      </w:divBdr>
    </w:div>
    <w:div w:id="856580230">
      <w:bodyDiv w:val="1"/>
      <w:marLeft w:val="0"/>
      <w:marRight w:val="0"/>
      <w:marTop w:val="0"/>
      <w:marBottom w:val="0"/>
      <w:divBdr>
        <w:top w:val="none" w:sz="0" w:space="0" w:color="auto"/>
        <w:left w:val="none" w:sz="0" w:space="0" w:color="auto"/>
        <w:bottom w:val="none" w:sz="0" w:space="0" w:color="auto"/>
        <w:right w:val="none" w:sz="0" w:space="0" w:color="auto"/>
      </w:divBdr>
    </w:div>
    <w:div w:id="960498792">
      <w:bodyDiv w:val="1"/>
      <w:marLeft w:val="0"/>
      <w:marRight w:val="0"/>
      <w:marTop w:val="0"/>
      <w:marBottom w:val="0"/>
      <w:divBdr>
        <w:top w:val="none" w:sz="0" w:space="0" w:color="auto"/>
        <w:left w:val="none" w:sz="0" w:space="0" w:color="auto"/>
        <w:bottom w:val="none" w:sz="0" w:space="0" w:color="auto"/>
        <w:right w:val="none" w:sz="0" w:space="0" w:color="auto"/>
      </w:divBdr>
    </w:div>
    <w:div w:id="1025443570">
      <w:bodyDiv w:val="1"/>
      <w:marLeft w:val="0"/>
      <w:marRight w:val="0"/>
      <w:marTop w:val="0"/>
      <w:marBottom w:val="0"/>
      <w:divBdr>
        <w:top w:val="none" w:sz="0" w:space="0" w:color="auto"/>
        <w:left w:val="none" w:sz="0" w:space="0" w:color="auto"/>
        <w:bottom w:val="none" w:sz="0" w:space="0" w:color="auto"/>
        <w:right w:val="none" w:sz="0" w:space="0" w:color="auto"/>
      </w:divBdr>
    </w:div>
    <w:div w:id="1647513606">
      <w:bodyDiv w:val="1"/>
      <w:marLeft w:val="0"/>
      <w:marRight w:val="0"/>
      <w:marTop w:val="0"/>
      <w:marBottom w:val="0"/>
      <w:divBdr>
        <w:top w:val="none" w:sz="0" w:space="0" w:color="auto"/>
        <w:left w:val="none" w:sz="0" w:space="0" w:color="auto"/>
        <w:bottom w:val="none" w:sz="0" w:space="0" w:color="auto"/>
        <w:right w:val="none" w:sz="0" w:space="0" w:color="auto"/>
      </w:divBdr>
    </w:div>
    <w:div w:id="1831363306">
      <w:bodyDiv w:val="1"/>
      <w:marLeft w:val="0"/>
      <w:marRight w:val="0"/>
      <w:marTop w:val="0"/>
      <w:marBottom w:val="0"/>
      <w:divBdr>
        <w:top w:val="none" w:sz="0" w:space="0" w:color="auto"/>
        <w:left w:val="none" w:sz="0" w:space="0" w:color="auto"/>
        <w:bottom w:val="none" w:sz="0" w:space="0" w:color="auto"/>
        <w:right w:val="none" w:sz="0" w:space="0" w:color="auto"/>
      </w:divBdr>
    </w:div>
    <w:div w:id="18342236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jpeg"/><Relationship Id="rId29" Type="http://schemas.openxmlformats.org/officeDocument/2006/relationships/hyperlink" Target="http://www.employment.gov.sk/index.php?id=208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yperlink" Target="http://www.employment.gov.sk/index.php?id=2088" TargetMode="External"/><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7D5951-114B-47E9-A021-CF04A5FACE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147</Pages>
  <Words>62201</Words>
  <Characters>354552</Characters>
  <Application>Microsoft Office Word</Application>
  <DocSecurity>0</DocSecurity>
  <Lines>2954</Lines>
  <Paragraphs>831</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415922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 Danka Takacova</dc:creator>
  <cp:keywords/>
  <dc:description/>
  <cp:lastModifiedBy>Jan Majernik</cp:lastModifiedBy>
  <cp:revision>11</cp:revision>
  <cp:lastPrinted>2019-09-05T17:36:00Z</cp:lastPrinted>
  <dcterms:created xsi:type="dcterms:W3CDTF">2019-09-05T17:07:00Z</dcterms:created>
  <dcterms:modified xsi:type="dcterms:W3CDTF">2020-03-21T19:54:00Z</dcterms:modified>
</cp:coreProperties>
</file>